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1E2226">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r w:rsidRPr="000F6395">
              <w:rPr>
                <w:b/>
                <w:smallCaps/>
                <w:sz w:val="30"/>
                <w:szCs w:val="30"/>
                <w:lang w:val="fr-CH"/>
              </w:rPr>
              <w:t>)</w:t>
            </w:r>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6A046E">
            <w:pPr>
              <w:spacing w:before="0" w:line="240" w:lineRule="atLeast"/>
              <w:rPr>
                <w:rFonts w:cstheme="minorHAnsi"/>
                <w:lang w:val="en-US"/>
              </w:rPr>
            </w:pPr>
            <w:bookmarkStart w:id="2" w:name="ditulogo"/>
            <w:bookmarkEnd w:id="2"/>
            <w:r w:rsidRPr="008C10D9">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6A046E">
        <w:trPr>
          <w:cantSplit/>
        </w:trPr>
        <w:tc>
          <w:tcPr>
            <w:tcW w:w="6911" w:type="dxa"/>
          </w:tcPr>
          <w:p w:rsidR="00BD1614" w:rsidRPr="008C10D9" w:rsidRDefault="00417658" w:rsidP="003D637A">
            <w:pPr>
              <w:pStyle w:val="Committee"/>
              <w:framePr w:hSpace="0" w:wrap="auto" w:hAnchor="text" w:yAlign="inline"/>
              <w:spacing w:after="0" w:line="240" w:lineRule="auto"/>
            </w:pPr>
            <w:r w:rsidRPr="008C10D9">
              <w:t>SÉANCE PLÉNIÈRE</w:t>
            </w:r>
          </w:p>
        </w:tc>
        <w:tc>
          <w:tcPr>
            <w:tcW w:w="3120" w:type="dxa"/>
          </w:tcPr>
          <w:p w:rsidR="00BD1614" w:rsidRPr="008C10D9" w:rsidRDefault="00417658" w:rsidP="004B314E">
            <w:pPr>
              <w:spacing w:before="0"/>
              <w:rPr>
                <w:rFonts w:cstheme="minorHAnsi"/>
                <w:szCs w:val="24"/>
                <w:lang w:val="en-US"/>
              </w:rPr>
            </w:pPr>
            <w:r>
              <w:rPr>
                <w:rFonts w:cstheme="minorHAnsi"/>
                <w:b/>
                <w:szCs w:val="24"/>
                <w:lang w:val="en-US"/>
              </w:rPr>
              <w:t xml:space="preserve">Document </w:t>
            </w:r>
            <w:r w:rsidR="004B314E">
              <w:rPr>
                <w:rFonts w:cstheme="minorHAnsi"/>
                <w:b/>
                <w:szCs w:val="24"/>
                <w:lang w:val="en-US"/>
              </w:rPr>
              <w:t>35</w:t>
            </w:r>
            <w:r>
              <w:rPr>
                <w:rFonts w:cstheme="minorHAnsi"/>
                <w:b/>
                <w:szCs w:val="24"/>
                <w:lang w:val="en-US"/>
              </w:rPr>
              <w:t>-F</w:t>
            </w:r>
          </w:p>
        </w:tc>
      </w:tr>
      <w:tr w:rsidR="00BD1614" w:rsidRPr="002A6F8F" w:rsidTr="006A046E">
        <w:trPr>
          <w:cantSplit/>
        </w:trPr>
        <w:tc>
          <w:tcPr>
            <w:tcW w:w="6911" w:type="dxa"/>
          </w:tcPr>
          <w:p w:rsidR="00BD1614" w:rsidRPr="00D0464B" w:rsidRDefault="00BD1614" w:rsidP="003D637A">
            <w:pPr>
              <w:spacing w:before="0"/>
              <w:rPr>
                <w:rFonts w:cstheme="minorHAnsi"/>
                <w:b/>
                <w:szCs w:val="24"/>
                <w:lang w:val="en-US"/>
              </w:rPr>
            </w:pPr>
          </w:p>
        </w:tc>
        <w:tc>
          <w:tcPr>
            <w:tcW w:w="3120" w:type="dxa"/>
          </w:tcPr>
          <w:p w:rsidR="00BD1614" w:rsidRPr="008C10D9" w:rsidRDefault="004B314E" w:rsidP="004B314E">
            <w:pPr>
              <w:spacing w:before="0"/>
              <w:rPr>
                <w:rFonts w:cstheme="minorHAnsi"/>
                <w:b/>
                <w:szCs w:val="24"/>
                <w:lang w:val="en-US"/>
              </w:rPr>
            </w:pPr>
            <w:r>
              <w:rPr>
                <w:rFonts w:cstheme="minorHAnsi"/>
                <w:b/>
                <w:szCs w:val="24"/>
                <w:lang w:val="en-US"/>
              </w:rPr>
              <w:t>29 juin 2018</w:t>
            </w:r>
          </w:p>
        </w:tc>
      </w:tr>
      <w:tr w:rsidR="00BD1614" w:rsidRPr="002A6F8F" w:rsidTr="006A046E">
        <w:trPr>
          <w:cantSplit/>
        </w:trPr>
        <w:tc>
          <w:tcPr>
            <w:tcW w:w="6911" w:type="dxa"/>
          </w:tcPr>
          <w:p w:rsidR="00BD1614" w:rsidRPr="008C10D9" w:rsidRDefault="00BD1614" w:rsidP="003D637A">
            <w:pPr>
              <w:spacing w:before="0"/>
              <w:rPr>
                <w:rFonts w:cstheme="minorHAnsi"/>
                <w:b/>
                <w:smallCaps/>
                <w:szCs w:val="24"/>
                <w:lang w:val="en-US"/>
              </w:rPr>
            </w:pPr>
          </w:p>
        </w:tc>
        <w:tc>
          <w:tcPr>
            <w:tcW w:w="3120" w:type="dxa"/>
          </w:tcPr>
          <w:p w:rsidR="00BD1614" w:rsidRPr="008C10D9" w:rsidRDefault="00417658" w:rsidP="003D637A">
            <w:pPr>
              <w:spacing w:before="0"/>
              <w:rPr>
                <w:rFonts w:cstheme="minorHAnsi"/>
                <w:b/>
                <w:szCs w:val="24"/>
                <w:lang w:val="en-US"/>
              </w:rPr>
            </w:pPr>
            <w:r w:rsidRPr="008C10D9">
              <w:rPr>
                <w:rFonts w:cstheme="minorHAnsi"/>
                <w:b/>
                <w:szCs w:val="24"/>
                <w:lang w:val="en-US"/>
              </w:rPr>
              <w:t>Original: anglais</w:t>
            </w:r>
          </w:p>
        </w:tc>
      </w:tr>
      <w:tr w:rsidR="00BD1614" w:rsidRPr="002A6F8F" w:rsidTr="006A046E">
        <w:trPr>
          <w:cantSplit/>
        </w:trPr>
        <w:tc>
          <w:tcPr>
            <w:tcW w:w="10031" w:type="dxa"/>
            <w:gridSpan w:val="2"/>
          </w:tcPr>
          <w:p w:rsidR="00BD1614" w:rsidRPr="008C10D9" w:rsidRDefault="00BD1614" w:rsidP="006A046E">
            <w:pPr>
              <w:spacing w:before="0" w:line="240" w:lineRule="atLeast"/>
              <w:rPr>
                <w:rFonts w:cstheme="minorHAnsi"/>
                <w:b/>
                <w:szCs w:val="24"/>
                <w:lang w:val="en-US"/>
              </w:rPr>
            </w:pPr>
          </w:p>
        </w:tc>
      </w:tr>
      <w:tr w:rsidR="00BD1614" w:rsidRPr="002A6F8F" w:rsidTr="006A046E">
        <w:trPr>
          <w:cantSplit/>
        </w:trPr>
        <w:tc>
          <w:tcPr>
            <w:tcW w:w="10031" w:type="dxa"/>
            <w:gridSpan w:val="2"/>
          </w:tcPr>
          <w:p w:rsidR="00BD1614" w:rsidRPr="002A6F8F" w:rsidRDefault="004B314E" w:rsidP="006A046E">
            <w:pPr>
              <w:pStyle w:val="Source"/>
              <w:rPr>
                <w:lang w:val="en-US"/>
              </w:rPr>
            </w:pPr>
            <w:bookmarkStart w:id="4" w:name="dsource" w:colFirst="0" w:colLast="0"/>
            <w:bookmarkEnd w:id="3"/>
            <w:r>
              <w:rPr>
                <w:lang w:val="en-US"/>
              </w:rPr>
              <w:t>Rapport du Conseil</w:t>
            </w:r>
          </w:p>
        </w:tc>
      </w:tr>
      <w:tr w:rsidR="00BD1614" w:rsidRPr="002A6F8F" w:rsidTr="006A046E">
        <w:trPr>
          <w:cantSplit/>
        </w:trPr>
        <w:tc>
          <w:tcPr>
            <w:tcW w:w="10031" w:type="dxa"/>
            <w:gridSpan w:val="2"/>
          </w:tcPr>
          <w:p w:rsidR="00BD1614" w:rsidRPr="009C4933" w:rsidRDefault="001E1F8D" w:rsidP="005D4D8A">
            <w:pPr>
              <w:pStyle w:val="Title1"/>
              <w:rPr>
                <w:lang w:val="fr-CH"/>
              </w:rPr>
            </w:pPr>
            <w:bookmarkStart w:id="5" w:name="dtitle1" w:colFirst="0" w:colLast="0"/>
            <w:bookmarkEnd w:id="4"/>
            <w:r>
              <w:t xml:space="preserve">Vues </w:t>
            </w:r>
            <w:r w:rsidR="00C206C3">
              <w:t xml:space="preserve">du conseil </w:t>
            </w:r>
            <w:r w:rsidR="009C4933">
              <w:rPr>
                <w:lang w:val="fr-CH"/>
              </w:rPr>
              <w:t>sur UNE p</w:t>
            </w:r>
            <w:r w:rsidR="009C4933" w:rsidRPr="006830D6">
              <w:rPr>
                <w:lang w:val="fr-CH"/>
              </w:rPr>
              <w:t xml:space="preserve">olitique publique internationale relative </w:t>
            </w:r>
            <w:r w:rsidR="005D4D8A">
              <w:rPr>
                <w:lang w:val="fr-CH"/>
              </w:rPr>
              <w:t>à </w:t>
            </w:r>
            <w:r w:rsidR="009C4933" w:rsidRPr="006830D6">
              <w:rPr>
                <w:lang w:val="fr-CH"/>
              </w:rPr>
              <w:t>l</w:t>
            </w:r>
            <w:r w:rsidR="009C4933">
              <w:rPr>
                <w:lang w:val="fr-CH"/>
              </w:rPr>
              <w:t>'</w:t>
            </w:r>
            <w:r w:rsidR="009C4933" w:rsidRPr="006830D6">
              <w:rPr>
                <w:lang w:val="fr-CH"/>
              </w:rPr>
              <w:t xml:space="preserve">accès des personnes handicapées et des personnes </w:t>
            </w:r>
            <w:r w:rsidR="005D4D8A">
              <w:rPr>
                <w:lang w:val="fr-CH"/>
              </w:rPr>
              <w:br/>
            </w:r>
            <w:r w:rsidR="009C4933" w:rsidRPr="006830D6">
              <w:rPr>
                <w:lang w:val="fr-CH"/>
              </w:rPr>
              <w:t>ayant des besoins particuliers à l</w:t>
            </w:r>
            <w:r w:rsidR="009C4933">
              <w:rPr>
                <w:lang w:val="fr-CH"/>
              </w:rPr>
              <w:t>'Internet</w:t>
            </w:r>
          </w:p>
        </w:tc>
      </w:tr>
      <w:tr w:rsidR="00BD1614" w:rsidRPr="002A6F8F" w:rsidTr="006A046E">
        <w:trPr>
          <w:cantSplit/>
        </w:trPr>
        <w:tc>
          <w:tcPr>
            <w:tcW w:w="10031" w:type="dxa"/>
            <w:gridSpan w:val="2"/>
          </w:tcPr>
          <w:p w:rsidR="00BD1614" w:rsidRPr="009C4933" w:rsidRDefault="00BD1614" w:rsidP="006A046E">
            <w:pPr>
              <w:pStyle w:val="Title2"/>
              <w:rPr>
                <w:lang w:val="fr-CH"/>
              </w:rPr>
            </w:pPr>
            <w:bookmarkStart w:id="6" w:name="dtitle2" w:colFirst="0" w:colLast="0"/>
            <w:bookmarkEnd w:id="5"/>
          </w:p>
        </w:tc>
      </w:tr>
      <w:tr w:rsidR="00BD1614" w:rsidTr="006A046E">
        <w:trPr>
          <w:cantSplit/>
        </w:trPr>
        <w:tc>
          <w:tcPr>
            <w:tcW w:w="10031" w:type="dxa"/>
            <w:gridSpan w:val="2"/>
          </w:tcPr>
          <w:p w:rsidR="00BD1614" w:rsidRDefault="00BD1614" w:rsidP="006A046E">
            <w:pPr>
              <w:pStyle w:val="Agendaitem"/>
            </w:pPr>
            <w:bookmarkStart w:id="7" w:name="dtitle3" w:colFirst="0" w:colLast="0"/>
            <w:bookmarkEnd w:id="6"/>
          </w:p>
        </w:tc>
      </w:tr>
      <w:bookmarkEnd w:id="7"/>
    </w:tbl>
    <w:p w:rsidR="004B314E" w:rsidRPr="009C4933" w:rsidRDefault="004B314E" w:rsidP="004B314E">
      <w:pPr>
        <w:spacing w:before="640"/>
        <w:rPr>
          <w:lang w:val="fr-CH"/>
        </w:rPr>
      </w:pPr>
    </w:p>
    <w:tbl>
      <w:tblPr>
        <w:tblStyle w:val="TableGrid"/>
        <w:tblW w:w="0" w:type="auto"/>
        <w:jc w:val="center"/>
        <w:tblLook w:val="04A0" w:firstRow="1" w:lastRow="0" w:firstColumn="1" w:lastColumn="0" w:noHBand="0" w:noVBand="1"/>
      </w:tblPr>
      <w:tblGrid>
        <w:gridCol w:w="9629"/>
      </w:tblGrid>
      <w:tr w:rsidR="004B314E" w:rsidRPr="001E1F8D" w:rsidTr="001279E5">
        <w:trPr>
          <w:jc w:val="center"/>
        </w:trPr>
        <w:tc>
          <w:tcPr>
            <w:tcW w:w="9629" w:type="dxa"/>
          </w:tcPr>
          <w:p w:rsidR="004B314E" w:rsidRPr="001E1F8D" w:rsidRDefault="001E1F8D" w:rsidP="001E1F8D">
            <w:pPr>
              <w:rPr>
                <w:lang w:val="fr-CH"/>
              </w:rPr>
            </w:pPr>
            <w:r w:rsidRPr="001E1F8D">
              <w:rPr>
                <w:lang w:val="fr-CH"/>
              </w:rPr>
              <w:t>Pendant la session de 2018 du Conseil, le Président du GTC</w:t>
            </w:r>
            <w:r w:rsidR="004B314E" w:rsidRPr="001E1F8D">
              <w:rPr>
                <w:lang w:val="fr-CH"/>
              </w:rPr>
              <w:t>-Internet</w:t>
            </w:r>
            <w:r w:rsidRPr="001E1F8D">
              <w:rPr>
                <w:lang w:val="fr-CH"/>
              </w:rPr>
              <w:t xml:space="preserve"> a présenté le </w:t>
            </w:r>
            <w:hyperlink r:id="rId8" w:history="1">
              <w:r w:rsidR="004B314E" w:rsidRPr="001E1F8D">
                <w:rPr>
                  <w:rStyle w:val="Hyperlink"/>
                  <w:lang w:val="fr-CH"/>
                </w:rPr>
                <w:t>Document C18/54</w:t>
              </w:r>
            </w:hyperlink>
            <w:r w:rsidR="004B314E" w:rsidRPr="001E1F8D">
              <w:rPr>
                <w:lang w:val="fr-CH"/>
              </w:rPr>
              <w:t xml:space="preserve"> </w:t>
            </w:r>
            <w:r w:rsidR="005D4D8A">
              <w:rPr>
                <w:lang w:val="fr-CH"/>
              </w:rPr>
              <w:t xml:space="preserve">et </w:t>
            </w:r>
            <w:r>
              <w:rPr>
                <w:color w:val="000000"/>
              </w:rPr>
              <w:t>rappelé qu'un projet de Résolution sur l'accès des personnes handicapées et des personnes ayant des besoins particuliers à l'Internet</w:t>
            </w:r>
            <w:r w:rsidRPr="001E1F8D">
              <w:rPr>
                <w:lang w:val="fr-CH"/>
              </w:rPr>
              <w:t xml:space="preserve"> </w:t>
            </w:r>
            <w:r>
              <w:rPr>
                <w:lang w:val="fr-CH"/>
              </w:rPr>
              <w:t>avait été examiné par le Conseil à ses sessions de 20</w:t>
            </w:r>
            <w:r w:rsidR="005D4D8A">
              <w:rPr>
                <w:lang w:val="fr-CH"/>
              </w:rPr>
              <w:t xml:space="preserve">17 et 2018. </w:t>
            </w:r>
          </w:p>
          <w:p w:rsidR="004B314E" w:rsidRPr="001E1F8D" w:rsidRDefault="005D4D8A" w:rsidP="005D4D8A">
            <w:pPr>
              <w:spacing w:after="120"/>
              <w:jc w:val="both"/>
            </w:pPr>
            <w:r>
              <w:rPr>
                <w:lang w:val="fr-CH"/>
              </w:rPr>
              <w:t>A</w:t>
            </w:r>
            <w:r w:rsidR="001E1F8D" w:rsidRPr="001E1F8D">
              <w:rPr>
                <w:lang w:val="fr-CH"/>
              </w:rPr>
              <w:t xml:space="preserve"> la demande du Conseil, un </w:t>
            </w:r>
            <w:r w:rsidR="001E1F8D" w:rsidRPr="001E1F8D">
              <w:rPr>
                <w:color w:val="000000"/>
                <w:lang w:val="fr-CH"/>
              </w:rPr>
              <w:t>extrait du compte rendu de la troisième séance plénière</w:t>
            </w:r>
            <w:r w:rsidR="001E1F8D" w:rsidRPr="001E1F8D">
              <w:rPr>
                <w:lang w:val="fr-CH"/>
              </w:rPr>
              <w:t xml:space="preserve"> de la session de 2018 du Conseil</w:t>
            </w:r>
            <w:r w:rsidR="001E1F8D">
              <w:rPr>
                <w:lang w:val="fr-CH"/>
              </w:rPr>
              <w:t>, qui reprend les vues exprimées pendant les débats,</w:t>
            </w:r>
            <w:r w:rsidR="001E1F8D" w:rsidRPr="001E1F8D">
              <w:rPr>
                <w:lang w:val="fr-CH"/>
              </w:rPr>
              <w:t xml:space="preserve"> </w:t>
            </w:r>
            <w:r w:rsidR="001E1F8D">
              <w:rPr>
                <w:color w:val="000000"/>
              </w:rPr>
              <w:t>est présenté en annexe.</w:t>
            </w:r>
          </w:p>
        </w:tc>
      </w:tr>
    </w:tbl>
    <w:p w:rsidR="004B314E" w:rsidRPr="00AF32D6" w:rsidRDefault="004B314E" w:rsidP="004B314E">
      <w:pPr>
        <w:spacing w:before="2000"/>
        <w:rPr>
          <w:lang w:val="fr-CH"/>
        </w:rPr>
      </w:pPr>
      <w:r w:rsidRPr="00AF32D6">
        <w:rPr>
          <w:b/>
          <w:bCs/>
          <w:lang w:val="fr-CH"/>
        </w:rPr>
        <w:t>Annexe</w:t>
      </w:r>
      <w:r w:rsidRPr="005D4D8A">
        <w:rPr>
          <w:lang w:val="fr-CH"/>
        </w:rPr>
        <w:t xml:space="preserve">: </w:t>
      </w:r>
      <w:r w:rsidRPr="00AF32D6">
        <w:rPr>
          <w:lang w:val="fr-CH"/>
        </w:rPr>
        <w:t>1</w:t>
      </w:r>
    </w:p>
    <w:p w:rsidR="004B314E" w:rsidRPr="00AF32D6" w:rsidRDefault="004B314E" w:rsidP="00E60DA1">
      <w:pPr>
        <w:rPr>
          <w:lang w:val="fr-CH"/>
        </w:rPr>
      </w:pPr>
    </w:p>
    <w:p w:rsidR="00BD1614" w:rsidRDefault="00BD1614">
      <w:pPr>
        <w:tabs>
          <w:tab w:val="clear" w:pos="567"/>
          <w:tab w:val="clear" w:pos="1134"/>
          <w:tab w:val="clear" w:pos="1701"/>
          <w:tab w:val="clear" w:pos="2268"/>
          <w:tab w:val="clear" w:pos="2835"/>
        </w:tabs>
        <w:overflowPunct/>
        <w:autoSpaceDE/>
        <w:autoSpaceDN/>
        <w:adjustRightInd/>
        <w:spacing w:before="0"/>
        <w:textAlignment w:val="auto"/>
      </w:pPr>
      <w:r>
        <w:br w:type="page"/>
      </w:r>
    </w:p>
    <w:p w:rsidR="004B314E" w:rsidRPr="00AF32D6" w:rsidRDefault="004B314E" w:rsidP="004B314E">
      <w:pPr>
        <w:pStyle w:val="AnnexNo"/>
        <w:rPr>
          <w:lang w:val="fr-CH"/>
        </w:rPr>
      </w:pPr>
      <w:r w:rsidRPr="00AF32D6">
        <w:rPr>
          <w:lang w:val="fr-CH"/>
        </w:rPr>
        <w:lastRenderedPageBreak/>
        <w:t>ANNEXe</w:t>
      </w:r>
    </w:p>
    <w:p w:rsidR="004B314E" w:rsidRPr="004B314E" w:rsidRDefault="004B314E" w:rsidP="004B314E">
      <w:pPr>
        <w:pStyle w:val="Annextitle"/>
        <w:rPr>
          <w:lang w:val="fr-CH"/>
        </w:rPr>
      </w:pPr>
      <w:r w:rsidRPr="004B314E">
        <w:rPr>
          <w:lang w:val="fr-CH"/>
        </w:rPr>
        <w:t xml:space="preserve">Extrait du Document C18/106 – Compte rendu de la troisième </w:t>
      </w:r>
      <w:r>
        <w:rPr>
          <w:lang w:val="fr-CH"/>
        </w:rPr>
        <w:br/>
      </w:r>
      <w:r w:rsidRPr="004B314E">
        <w:rPr>
          <w:lang w:val="fr-CH"/>
        </w:rPr>
        <w:t>séance plénière de la session</w:t>
      </w:r>
      <w:r>
        <w:rPr>
          <w:lang w:val="fr-CH"/>
        </w:rPr>
        <w:t xml:space="preserve"> </w:t>
      </w:r>
      <w:r w:rsidRPr="004B314E">
        <w:rPr>
          <w:lang w:val="fr-CH"/>
        </w:rPr>
        <w:t xml:space="preserve">2018 </w:t>
      </w:r>
      <w:r>
        <w:rPr>
          <w:lang w:val="fr-CH"/>
        </w:rPr>
        <w:t>du Conseil</w:t>
      </w:r>
    </w:p>
    <w:p w:rsidR="004B314E" w:rsidRPr="004B314E" w:rsidRDefault="004B314E">
      <w:pPr>
        <w:tabs>
          <w:tab w:val="clear" w:pos="567"/>
          <w:tab w:val="clear" w:pos="1134"/>
          <w:tab w:val="clear" w:pos="1701"/>
          <w:tab w:val="clear" w:pos="2268"/>
          <w:tab w:val="clear" w:pos="2835"/>
        </w:tabs>
        <w:overflowPunct/>
        <w:autoSpaceDE/>
        <w:autoSpaceDN/>
        <w:adjustRightInd/>
        <w:spacing w:before="0"/>
        <w:textAlignment w:val="auto"/>
        <w:rPr>
          <w:lang w:val="fr-CH"/>
        </w:rPr>
      </w:pPr>
    </w:p>
    <w:tbl>
      <w:tblPr>
        <w:tblW w:w="10173" w:type="dxa"/>
        <w:tblLayout w:type="fixed"/>
        <w:tblLook w:val="0000" w:firstRow="0" w:lastRow="0" w:firstColumn="0" w:lastColumn="0" w:noHBand="0" w:noVBand="0"/>
      </w:tblPr>
      <w:tblGrid>
        <w:gridCol w:w="6912"/>
        <w:gridCol w:w="3261"/>
      </w:tblGrid>
      <w:tr w:rsidR="004B314E" w:rsidRPr="008700E9" w:rsidTr="004B314E">
        <w:trPr>
          <w:cantSplit/>
        </w:trPr>
        <w:tc>
          <w:tcPr>
            <w:tcW w:w="6912" w:type="dxa"/>
          </w:tcPr>
          <w:p w:rsidR="004B314E" w:rsidRPr="008700E9" w:rsidRDefault="004B314E" w:rsidP="004B314E">
            <w:pPr>
              <w:spacing w:before="360"/>
              <w:rPr>
                <w:lang w:val="fr-CH"/>
              </w:rPr>
            </w:pPr>
            <w:bookmarkStart w:id="8" w:name="dc06"/>
            <w:bookmarkEnd w:id="8"/>
            <w:r w:rsidRPr="008700E9">
              <w:rPr>
                <w:b/>
                <w:bCs/>
                <w:sz w:val="30"/>
                <w:szCs w:val="30"/>
                <w:lang w:val="fr-CH"/>
              </w:rPr>
              <w:t>Conseil 2018</w:t>
            </w:r>
            <w:r w:rsidRPr="008700E9">
              <w:rPr>
                <w:rFonts w:ascii="Verdana" w:hAnsi="Verdana"/>
                <w:b/>
                <w:bCs/>
                <w:sz w:val="26"/>
                <w:szCs w:val="26"/>
                <w:lang w:val="fr-CH"/>
              </w:rPr>
              <w:br/>
            </w:r>
            <w:r w:rsidRPr="008700E9">
              <w:rPr>
                <w:b/>
                <w:bCs/>
                <w:szCs w:val="24"/>
                <w:lang w:val="fr-CH"/>
              </w:rPr>
              <w:t>Genève, 17-27 avril 2018</w:t>
            </w:r>
          </w:p>
        </w:tc>
        <w:tc>
          <w:tcPr>
            <w:tcW w:w="3261" w:type="dxa"/>
          </w:tcPr>
          <w:p w:rsidR="004B314E" w:rsidRPr="008700E9" w:rsidRDefault="004B314E" w:rsidP="004B314E">
            <w:pPr>
              <w:spacing w:before="0"/>
              <w:jc w:val="right"/>
              <w:rPr>
                <w:lang w:val="fr-CH"/>
              </w:rPr>
            </w:pPr>
            <w:r w:rsidRPr="008700E9">
              <w:rPr>
                <w:rFonts w:cstheme="minorHAnsi"/>
                <w:b/>
                <w:bCs/>
                <w:noProof/>
                <w:lang w:val="en-US" w:eastAsia="zh-CN"/>
              </w:rPr>
              <w:drawing>
                <wp:inline distT="0" distB="0" distL="0" distR="0" wp14:anchorId="5321F7B0" wp14:editId="5927EC88">
                  <wp:extent cx="1781175" cy="695325"/>
                  <wp:effectExtent l="0" t="0" r="9525" b="9525"/>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4B314E" w:rsidRPr="008700E9" w:rsidTr="004B314E">
        <w:trPr>
          <w:cantSplit/>
          <w:trHeight w:val="20"/>
        </w:trPr>
        <w:tc>
          <w:tcPr>
            <w:tcW w:w="6912" w:type="dxa"/>
            <w:tcBorders>
              <w:bottom w:val="single" w:sz="12" w:space="0" w:color="auto"/>
            </w:tcBorders>
            <w:vAlign w:val="center"/>
          </w:tcPr>
          <w:p w:rsidR="004B314E" w:rsidRPr="008700E9" w:rsidRDefault="004B314E" w:rsidP="004B314E">
            <w:pPr>
              <w:spacing w:before="0"/>
              <w:rPr>
                <w:b/>
                <w:bCs/>
                <w:sz w:val="26"/>
                <w:szCs w:val="26"/>
                <w:lang w:val="fr-CH"/>
              </w:rPr>
            </w:pPr>
          </w:p>
        </w:tc>
        <w:tc>
          <w:tcPr>
            <w:tcW w:w="3261" w:type="dxa"/>
            <w:tcBorders>
              <w:bottom w:val="single" w:sz="12" w:space="0" w:color="auto"/>
            </w:tcBorders>
          </w:tcPr>
          <w:p w:rsidR="004B314E" w:rsidRPr="008700E9" w:rsidRDefault="004B314E" w:rsidP="004B314E">
            <w:pPr>
              <w:spacing w:before="0"/>
              <w:rPr>
                <w:b/>
                <w:bCs/>
                <w:lang w:val="fr-CH"/>
              </w:rPr>
            </w:pPr>
          </w:p>
        </w:tc>
      </w:tr>
      <w:tr w:rsidR="004B314E" w:rsidRPr="008700E9" w:rsidTr="004B314E">
        <w:trPr>
          <w:cantSplit/>
          <w:trHeight w:val="20"/>
        </w:trPr>
        <w:tc>
          <w:tcPr>
            <w:tcW w:w="6912" w:type="dxa"/>
            <w:tcBorders>
              <w:top w:val="single" w:sz="12" w:space="0" w:color="auto"/>
            </w:tcBorders>
          </w:tcPr>
          <w:p w:rsidR="004B314E" w:rsidRPr="008700E9" w:rsidRDefault="004B314E" w:rsidP="004B314E">
            <w:pPr>
              <w:spacing w:before="0"/>
              <w:rPr>
                <w:smallCaps/>
                <w:sz w:val="22"/>
                <w:lang w:val="fr-CH"/>
              </w:rPr>
            </w:pPr>
          </w:p>
        </w:tc>
        <w:tc>
          <w:tcPr>
            <w:tcW w:w="3261" w:type="dxa"/>
            <w:tcBorders>
              <w:top w:val="single" w:sz="12" w:space="0" w:color="auto"/>
            </w:tcBorders>
          </w:tcPr>
          <w:p w:rsidR="004B314E" w:rsidRPr="008700E9" w:rsidRDefault="004B314E" w:rsidP="004B314E">
            <w:pPr>
              <w:spacing w:before="0"/>
              <w:rPr>
                <w:b/>
                <w:bCs/>
                <w:lang w:val="fr-CH"/>
              </w:rPr>
            </w:pPr>
          </w:p>
        </w:tc>
      </w:tr>
      <w:tr w:rsidR="004B314E" w:rsidRPr="008700E9" w:rsidTr="004B314E">
        <w:trPr>
          <w:cantSplit/>
          <w:trHeight w:val="20"/>
        </w:trPr>
        <w:tc>
          <w:tcPr>
            <w:tcW w:w="6912" w:type="dxa"/>
            <w:vMerge w:val="restart"/>
          </w:tcPr>
          <w:p w:rsidR="004B314E" w:rsidRPr="008700E9" w:rsidRDefault="004B314E" w:rsidP="004B314E">
            <w:pPr>
              <w:spacing w:before="0"/>
              <w:rPr>
                <w:rFonts w:cs="Times"/>
                <w:b/>
                <w:bCs/>
                <w:szCs w:val="24"/>
                <w:lang w:val="fr-CH"/>
              </w:rPr>
            </w:pPr>
            <w:bookmarkStart w:id="9" w:name="dnum" w:colFirst="1" w:colLast="1"/>
            <w:bookmarkStart w:id="10" w:name="dmeeting" w:colFirst="0" w:colLast="0"/>
          </w:p>
        </w:tc>
        <w:tc>
          <w:tcPr>
            <w:tcW w:w="3261" w:type="dxa"/>
          </w:tcPr>
          <w:p w:rsidR="004B314E" w:rsidRPr="008700E9" w:rsidRDefault="004B314E" w:rsidP="004B314E">
            <w:pPr>
              <w:spacing w:before="0"/>
              <w:rPr>
                <w:b/>
                <w:bCs/>
                <w:lang w:val="fr-CH"/>
              </w:rPr>
            </w:pPr>
            <w:r w:rsidRPr="008700E9">
              <w:rPr>
                <w:b/>
                <w:bCs/>
                <w:lang w:val="fr-CH"/>
              </w:rPr>
              <w:t>Document C18/106-F</w:t>
            </w:r>
          </w:p>
        </w:tc>
      </w:tr>
      <w:tr w:rsidR="004B314E" w:rsidRPr="008700E9" w:rsidTr="004B314E">
        <w:trPr>
          <w:cantSplit/>
          <w:trHeight w:val="20"/>
        </w:trPr>
        <w:tc>
          <w:tcPr>
            <w:tcW w:w="6912" w:type="dxa"/>
            <w:vMerge/>
          </w:tcPr>
          <w:p w:rsidR="004B314E" w:rsidRPr="008700E9" w:rsidRDefault="004B314E" w:rsidP="004B314E">
            <w:pPr>
              <w:shd w:val="solid" w:color="FFFFFF" w:fill="FFFFFF"/>
              <w:spacing w:before="180"/>
              <w:rPr>
                <w:smallCaps/>
                <w:lang w:val="fr-CH"/>
              </w:rPr>
            </w:pPr>
            <w:bookmarkStart w:id="11" w:name="ddate" w:colFirst="1" w:colLast="1"/>
            <w:bookmarkEnd w:id="9"/>
            <w:bookmarkEnd w:id="10"/>
          </w:p>
        </w:tc>
        <w:tc>
          <w:tcPr>
            <w:tcW w:w="3261" w:type="dxa"/>
          </w:tcPr>
          <w:p w:rsidR="004B314E" w:rsidRPr="008700E9" w:rsidRDefault="004B314E" w:rsidP="004B314E">
            <w:pPr>
              <w:spacing w:before="0"/>
              <w:rPr>
                <w:b/>
                <w:bCs/>
                <w:lang w:val="fr-CH"/>
              </w:rPr>
            </w:pPr>
            <w:r>
              <w:rPr>
                <w:b/>
                <w:bCs/>
                <w:lang w:val="fr-CH"/>
              </w:rPr>
              <w:t>17 mai</w:t>
            </w:r>
            <w:r w:rsidRPr="008700E9">
              <w:rPr>
                <w:b/>
                <w:bCs/>
                <w:lang w:val="fr-CH"/>
              </w:rPr>
              <w:t xml:space="preserve"> 2018</w:t>
            </w:r>
          </w:p>
        </w:tc>
      </w:tr>
      <w:tr w:rsidR="004B314E" w:rsidRPr="008700E9" w:rsidTr="004B314E">
        <w:trPr>
          <w:cantSplit/>
          <w:trHeight w:val="20"/>
        </w:trPr>
        <w:tc>
          <w:tcPr>
            <w:tcW w:w="6912" w:type="dxa"/>
            <w:vMerge/>
          </w:tcPr>
          <w:p w:rsidR="004B314E" w:rsidRPr="008700E9" w:rsidRDefault="004B314E" w:rsidP="004B314E">
            <w:pPr>
              <w:shd w:val="solid" w:color="FFFFFF" w:fill="FFFFFF"/>
              <w:spacing w:before="180"/>
              <w:rPr>
                <w:smallCaps/>
                <w:lang w:val="fr-CH"/>
              </w:rPr>
            </w:pPr>
            <w:bookmarkStart w:id="12" w:name="dorlang" w:colFirst="1" w:colLast="1"/>
            <w:bookmarkEnd w:id="11"/>
          </w:p>
        </w:tc>
        <w:tc>
          <w:tcPr>
            <w:tcW w:w="3261" w:type="dxa"/>
          </w:tcPr>
          <w:p w:rsidR="004B314E" w:rsidRPr="008700E9" w:rsidRDefault="004B314E" w:rsidP="004B314E">
            <w:pPr>
              <w:spacing w:before="0"/>
              <w:rPr>
                <w:b/>
                <w:bCs/>
                <w:lang w:val="fr-CH"/>
              </w:rPr>
            </w:pPr>
            <w:r w:rsidRPr="008700E9">
              <w:rPr>
                <w:b/>
                <w:bCs/>
                <w:lang w:val="fr-CH"/>
              </w:rPr>
              <w:t>Original: anglais</w:t>
            </w:r>
          </w:p>
        </w:tc>
      </w:tr>
      <w:bookmarkEnd w:id="12"/>
      <w:tr w:rsidR="004B314E" w:rsidRPr="008700E9" w:rsidTr="004B314E">
        <w:trPr>
          <w:cantSplit/>
        </w:trPr>
        <w:tc>
          <w:tcPr>
            <w:tcW w:w="10173" w:type="dxa"/>
            <w:gridSpan w:val="2"/>
          </w:tcPr>
          <w:p w:rsidR="004B314E" w:rsidRPr="008700E9" w:rsidRDefault="004B314E" w:rsidP="004B314E">
            <w:pPr>
              <w:pStyle w:val="Source"/>
              <w:rPr>
                <w:lang w:val="fr-CH"/>
              </w:rPr>
            </w:pPr>
          </w:p>
        </w:tc>
      </w:tr>
      <w:tr w:rsidR="004B314E" w:rsidRPr="008700E9" w:rsidTr="004B314E">
        <w:trPr>
          <w:cantSplit/>
        </w:trPr>
        <w:tc>
          <w:tcPr>
            <w:tcW w:w="10173" w:type="dxa"/>
            <w:gridSpan w:val="2"/>
          </w:tcPr>
          <w:p w:rsidR="004B314E" w:rsidRPr="008700E9" w:rsidRDefault="004B314E" w:rsidP="004B314E">
            <w:pPr>
              <w:pStyle w:val="Title1"/>
              <w:rPr>
                <w:lang w:val="fr-CH"/>
              </w:rPr>
            </w:pPr>
            <w:r w:rsidRPr="008700E9">
              <w:rPr>
                <w:lang w:val="fr-CH"/>
              </w:rPr>
              <w:t xml:space="preserve">COMPTE RENDU </w:t>
            </w:r>
          </w:p>
          <w:p w:rsidR="004B314E" w:rsidRPr="008700E9" w:rsidRDefault="0018005A" w:rsidP="004B314E">
            <w:pPr>
              <w:pStyle w:val="Title1"/>
              <w:rPr>
                <w:lang w:val="fr-CH"/>
              </w:rPr>
            </w:pPr>
            <w:r>
              <w:rPr>
                <w:lang w:val="fr-CH"/>
              </w:rPr>
              <w:t>DE LA</w:t>
            </w:r>
          </w:p>
          <w:p w:rsidR="004B314E" w:rsidRPr="008700E9" w:rsidRDefault="004B314E" w:rsidP="004B314E">
            <w:pPr>
              <w:pStyle w:val="Title1"/>
              <w:rPr>
                <w:lang w:val="fr-CH"/>
              </w:rPr>
            </w:pPr>
            <w:r w:rsidRPr="008700E9">
              <w:rPr>
                <w:lang w:val="fr-CH"/>
              </w:rPr>
              <w:t>TROISIÈME SÉANCE PLENIÈRE</w:t>
            </w:r>
          </w:p>
        </w:tc>
      </w:tr>
      <w:tr w:rsidR="004B314E" w:rsidRPr="008700E9" w:rsidTr="004B314E">
        <w:trPr>
          <w:cantSplit/>
        </w:trPr>
        <w:tc>
          <w:tcPr>
            <w:tcW w:w="10173" w:type="dxa"/>
            <w:gridSpan w:val="2"/>
          </w:tcPr>
          <w:p w:rsidR="004B314E" w:rsidRPr="008700E9" w:rsidRDefault="004B314E" w:rsidP="004B314E">
            <w:pPr>
              <w:pStyle w:val="Title1"/>
              <w:rPr>
                <w:caps w:val="0"/>
                <w:sz w:val="24"/>
                <w:szCs w:val="24"/>
                <w:lang w:val="fr-CH"/>
              </w:rPr>
            </w:pPr>
            <w:r w:rsidRPr="008700E9">
              <w:rPr>
                <w:caps w:val="0"/>
                <w:sz w:val="24"/>
                <w:szCs w:val="24"/>
                <w:lang w:val="fr-CH"/>
              </w:rPr>
              <w:t>Jeudi 19 avril 2018, de 9 h 30 à 12 h 25</w:t>
            </w:r>
          </w:p>
          <w:p w:rsidR="004B314E" w:rsidRPr="008700E9" w:rsidRDefault="004B314E" w:rsidP="004B314E">
            <w:pPr>
              <w:pStyle w:val="Title1"/>
              <w:rPr>
                <w:sz w:val="24"/>
                <w:szCs w:val="24"/>
                <w:lang w:val="fr-CH"/>
              </w:rPr>
            </w:pPr>
            <w:r w:rsidRPr="008700E9">
              <w:rPr>
                <w:b/>
                <w:bCs/>
                <w:sz w:val="24"/>
                <w:szCs w:val="24"/>
                <w:lang w:val="fr-CH"/>
              </w:rPr>
              <w:t>P</w:t>
            </w:r>
            <w:r w:rsidRPr="008700E9">
              <w:rPr>
                <w:b/>
                <w:bCs/>
                <w:caps w:val="0"/>
                <w:sz w:val="24"/>
                <w:szCs w:val="24"/>
                <w:lang w:val="fr-CH"/>
              </w:rPr>
              <w:t>résident</w:t>
            </w:r>
            <w:r w:rsidRPr="008700E9">
              <w:rPr>
                <w:sz w:val="24"/>
                <w:szCs w:val="24"/>
                <w:lang w:val="fr-CH"/>
              </w:rPr>
              <w:t>: M. R. ISMAILOV (</w:t>
            </w:r>
            <w:r w:rsidRPr="008700E9">
              <w:rPr>
                <w:caps w:val="0"/>
                <w:sz w:val="24"/>
                <w:szCs w:val="24"/>
                <w:lang w:val="fr-CH"/>
              </w:rPr>
              <w:t xml:space="preserve">Fédération de </w:t>
            </w:r>
            <w:r w:rsidRPr="008700E9">
              <w:rPr>
                <w:sz w:val="24"/>
                <w:szCs w:val="24"/>
                <w:lang w:val="fr-CH"/>
              </w:rPr>
              <w:t>R</w:t>
            </w:r>
            <w:r w:rsidRPr="008700E9">
              <w:rPr>
                <w:caps w:val="0"/>
                <w:sz w:val="24"/>
                <w:szCs w:val="24"/>
                <w:lang w:val="fr-CH"/>
              </w:rPr>
              <w:t>ussie</w:t>
            </w:r>
            <w:r w:rsidRPr="008700E9">
              <w:rPr>
                <w:sz w:val="24"/>
                <w:szCs w:val="24"/>
                <w:lang w:val="fr-CH"/>
              </w:rPr>
              <w:t>)</w:t>
            </w:r>
          </w:p>
        </w:tc>
      </w:tr>
    </w:tbl>
    <w:p w:rsidR="004B314E" w:rsidRPr="008700E9" w:rsidRDefault="004B314E" w:rsidP="004B314E">
      <w:pPr>
        <w:rPr>
          <w:lang w:val="fr-CH"/>
        </w:rPr>
      </w:pPr>
    </w:p>
    <w:p w:rsidR="004B314E" w:rsidRPr="008700E9" w:rsidRDefault="004B314E" w:rsidP="004B314E">
      <w:pPr>
        <w:rPr>
          <w:lang w:val="fr-CH"/>
        </w:rPr>
      </w:pPr>
    </w:p>
    <w:tbl>
      <w:tblPr>
        <w:tblW w:w="5221" w:type="pct"/>
        <w:tblLook w:val="04A0" w:firstRow="1" w:lastRow="0" w:firstColumn="1" w:lastColumn="0" w:noHBand="0" w:noVBand="1"/>
      </w:tblPr>
      <w:tblGrid>
        <w:gridCol w:w="506"/>
        <w:gridCol w:w="7579"/>
        <w:gridCol w:w="1986"/>
      </w:tblGrid>
      <w:tr w:rsidR="004B314E" w:rsidRPr="008700E9" w:rsidTr="001279E5">
        <w:tc>
          <w:tcPr>
            <w:tcW w:w="251" w:type="pct"/>
          </w:tcPr>
          <w:p w:rsidR="004B314E" w:rsidRPr="008700E9" w:rsidRDefault="004B314E" w:rsidP="001279E5">
            <w:pPr>
              <w:tabs>
                <w:tab w:val="clear" w:pos="567"/>
                <w:tab w:val="clear" w:pos="1134"/>
                <w:tab w:val="clear" w:pos="1701"/>
                <w:tab w:val="clear" w:pos="2268"/>
                <w:tab w:val="clear" w:pos="2835"/>
                <w:tab w:val="right" w:pos="9781"/>
              </w:tabs>
              <w:spacing w:after="120" w:line="276" w:lineRule="auto"/>
              <w:textAlignment w:val="auto"/>
              <w:rPr>
                <w:b/>
                <w:lang w:val="fr-CH"/>
              </w:rPr>
            </w:pPr>
            <w:r w:rsidRPr="008700E9">
              <w:rPr>
                <w:b/>
                <w:lang w:val="fr-CH"/>
              </w:rPr>
              <w:br w:type="page"/>
            </w:r>
            <w:r w:rsidRPr="008700E9">
              <w:rPr>
                <w:b/>
                <w:lang w:val="fr-CH"/>
              </w:rPr>
              <w:br w:type="page"/>
            </w:r>
          </w:p>
        </w:tc>
        <w:tc>
          <w:tcPr>
            <w:tcW w:w="3763" w:type="pct"/>
            <w:hideMark/>
          </w:tcPr>
          <w:p w:rsidR="004B314E" w:rsidRPr="008700E9" w:rsidRDefault="004B314E" w:rsidP="001279E5">
            <w:pPr>
              <w:tabs>
                <w:tab w:val="clear" w:pos="567"/>
                <w:tab w:val="clear" w:pos="1134"/>
                <w:tab w:val="clear" w:pos="1701"/>
                <w:tab w:val="clear" w:pos="2268"/>
                <w:tab w:val="clear" w:pos="2835"/>
                <w:tab w:val="right" w:pos="9781"/>
              </w:tabs>
              <w:spacing w:after="120" w:line="276" w:lineRule="auto"/>
              <w:textAlignment w:val="auto"/>
              <w:rPr>
                <w:b/>
                <w:lang w:val="fr-CH"/>
              </w:rPr>
            </w:pPr>
            <w:r w:rsidRPr="008700E9">
              <w:rPr>
                <w:b/>
                <w:lang w:val="fr-CH"/>
              </w:rPr>
              <w:t>Sujets traités</w:t>
            </w:r>
          </w:p>
        </w:tc>
        <w:tc>
          <w:tcPr>
            <w:tcW w:w="986" w:type="pct"/>
            <w:hideMark/>
          </w:tcPr>
          <w:p w:rsidR="004B314E" w:rsidRPr="008700E9" w:rsidRDefault="004B314E" w:rsidP="001279E5">
            <w:pPr>
              <w:tabs>
                <w:tab w:val="clear" w:pos="567"/>
                <w:tab w:val="clear" w:pos="1134"/>
                <w:tab w:val="clear" w:pos="1701"/>
                <w:tab w:val="clear" w:pos="2268"/>
                <w:tab w:val="clear" w:pos="2835"/>
                <w:tab w:val="right" w:pos="9781"/>
              </w:tabs>
              <w:spacing w:after="120" w:line="276" w:lineRule="auto"/>
              <w:jc w:val="center"/>
              <w:textAlignment w:val="auto"/>
              <w:rPr>
                <w:b/>
                <w:lang w:val="fr-CH"/>
              </w:rPr>
            </w:pPr>
            <w:r w:rsidRPr="008700E9">
              <w:rPr>
                <w:b/>
                <w:lang w:val="fr-CH"/>
              </w:rPr>
              <w:t>Documents</w:t>
            </w:r>
          </w:p>
        </w:tc>
      </w:tr>
      <w:tr w:rsidR="004B314E" w:rsidRPr="008700E9" w:rsidTr="001279E5">
        <w:tc>
          <w:tcPr>
            <w:tcW w:w="251" w:type="pct"/>
            <w:hideMark/>
          </w:tcPr>
          <w:p w:rsidR="004B314E" w:rsidRPr="008700E9" w:rsidRDefault="004B314E" w:rsidP="001279E5">
            <w:pPr>
              <w:spacing w:line="276" w:lineRule="auto"/>
              <w:textAlignment w:val="auto"/>
              <w:rPr>
                <w:lang w:val="fr-CH"/>
              </w:rPr>
            </w:pPr>
            <w:r w:rsidRPr="008700E9">
              <w:rPr>
                <w:lang w:val="fr-CH"/>
              </w:rPr>
              <w:t>1</w:t>
            </w:r>
          </w:p>
        </w:tc>
        <w:tc>
          <w:tcPr>
            <w:tcW w:w="3763" w:type="pct"/>
            <w:hideMark/>
          </w:tcPr>
          <w:p w:rsidR="004B314E" w:rsidRPr="008700E9" w:rsidRDefault="004B314E" w:rsidP="001279E5">
            <w:pPr>
              <w:spacing w:line="276" w:lineRule="auto"/>
              <w:textAlignment w:val="auto"/>
              <w:rPr>
                <w:lang w:val="fr-CH"/>
              </w:rPr>
            </w:pPr>
            <w:r w:rsidRPr="008700E9">
              <w:rPr>
                <w:lang w:val="fr-CH"/>
              </w:rPr>
              <w:t>Rapport sur la Conférence mondiale de développement des télécommunications (CMDT-17)</w:t>
            </w:r>
          </w:p>
        </w:tc>
        <w:tc>
          <w:tcPr>
            <w:tcW w:w="986" w:type="pct"/>
            <w:hideMark/>
          </w:tcPr>
          <w:p w:rsidR="004B314E" w:rsidRPr="008700E9" w:rsidRDefault="005B2D9E" w:rsidP="001279E5">
            <w:pPr>
              <w:spacing w:line="276" w:lineRule="auto"/>
              <w:jc w:val="center"/>
              <w:textAlignment w:val="auto"/>
              <w:rPr>
                <w:lang w:val="fr-CH"/>
              </w:rPr>
            </w:pPr>
            <w:hyperlink r:id="rId9" w:history="1">
              <w:r w:rsidR="004B314E" w:rsidRPr="008700E9">
                <w:rPr>
                  <w:color w:val="0000FF"/>
                  <w:u w:val="single"/>
                  <w:lang w:val="fr-CH"/>
                </w:rPr>
                <w:t>C18/10</w:t>
              </w:r>
            </w:hyperlink>
          </w:p>
        </w:tc>
      </w:tr>
      <w:tr w:rsidR="004B314E" w:rsidRPr="008700E9" w:rsidTr="001279E5">
        <w:tc>
          <w:tcPr>
            <w:tcW w:w="251" w:type="pct"/>
            <w:hideMark/>
          </w:tcPr>
          <w:p w:rsidR="004B314E" w:rsidRPr="008700E9" w:rsidRDefault="004B314E" w:rsidP="001279E5">
            <w:pPr>
              <w:spacing w:line="276" w:lineRule="auto"/>
              <w:textAlignment w:val="auto"/>
              <w:rPr>
                <w:lang w:val="fr-CH"/>
              </w:rPr>
            </w:pPr>
            <w:r w:rsidRPr="008700E9">
              <w:rPr>
                <w:lang w:val="fr-CH"/>
              </w:rPr>
              <w:t>2</w:t>
            </w:r>
          </w:p>
        </w:tc>
        <w:tc>
          <w:tcPr>
            <w:tcW w:w="3763" w:type="pct"/>
            <w:hideMark/>
          </w:tcPr>
          <w:p w:rsidR="004B314E" w:rsidRPr="008700E9" w:rsidRDefault="004B314E" w:rsidP="001279E5">
            <w:pPr>
              <w:spacing w:line="276" w:lineRule="auto"/>
              <w:textAlignment w:val="auto"/>
              <w:rPr>
                <w:lang w:val="fr-CH"/>
              </w:rPr>
            </w:pPr>
            <w:r w:rsidRPr="008700E9">
              <w:rPr>
                <w:lang w:val="fr-CH"/>
              </w:rPr>
              <w:t xml:space="preserve">Activités relatives à l'Internet </w:t>
            </w:r>
          </w:p>
        </w:tc>
        <w:tc>
          <w:tcPr>
            <w:tcW w:w="986" w:type="pct"/>
            <w:hideMark/>
          </w:tcPr>
          <w:p w:rsidR="004B314E" w:rsidRPr="008700E9" w:rsidRDefault="005B2D9E" w:rsidP="001279E5">
            <w:pPr>
              <w:spacing w:line="276" w:lineRule="auto"/>
              <w:jc w:val="center"/>
              <w:textAlignment w:val="auto"/>
              <w:rPr>
                <w:lang w:val="fr-CH"/>
              </w:rPr>
            </w:pPr>
            <w:hyperlink r:id="rId10" w:history="1">
              <w:r w:rsidR="004B314E" w:rsidRPr="008700E9">
                <w:rPr>
                  <w:color w:val="0000FF"/>
                  <w:u w:val="single"/>
                  <w:lang w:val="fr-CH"/>
                </w:rPr>
                <w:t>C18/33</w:t>
              </w:r>
            </w:hyperlink>
          </w:p>
        </w:tc>
      </w:tr>
      <w:tr w:rsidR="004B314E" w:rsidRPr="008700E9" w:rsidTr="001279E5">
        <w:tc>
          <w:tcPr>
            <w:tcW w:w="251" w:type="pct"/>
            <w:hideMark/>
          </w:tcPr>
          <w:p w:rsidR="004B314E" w:rsidRPr="008700E9" w:rsidRDefault="004B314E" w:rsidP="001279E5">
            <w:pPr>
              <w:spacing w:line="276" w:lineRule="auto"/>
              <w:textAlignment w:val="auto"/>
              <w:rPr>
                <w:lang w:val="fr-CH"/>
              </w:rPr>
            </w:pPr>
            <w:r w:rsidRPr="008700E9">
              <w:rPr>
                <w:lang w:val="fr-CH"/>
              </w:rPr>
              <w:t>3</w:t>
            </w:r>
          </w:p>
        </w:tc>
        <w:tc>
          <w:tcPr>
            <w:tcW w:w="3763" w:type="pct"/>
            <w:hideMark/>
          </w:tcPr>
          <w:p w:rsidR="004B314E" w:rsidRPr="008700E9" w:rsidRDefault="004B314E" w:rsidP="001279E5">
            <w:pPr>
              <w:spacing w:line="276" w:lineRule="auto"/>
              <w:textAlignment w:val="auto"/>
              <w:rPr>
                <w:lang w:val="fr-CH"/>
              </w:rPr>
            </w:pPr>
            <w:r w:rsidRPr="008700E9">
              <w:rPr>
                <w:rFonts w:cs="Calibri"/>
                <w:bCs/>
                <w:szCs w:val="24"/>
                <w:lang w:val="fr-CH"/>
              </w:rPr>
              <w:t>Rapport du Président du Groupe de travail du Conseil sur les questions de politiques publiques internationales relatives à l'Internet (GTC-Internet)</w:t>
            </w:r>
          </w:p>
        </w:tc>
        <w:tc>
          <w:tcPr>
            <w:tcW w:w="986" w:type="pct"/>
            <w:hideMark/>
          </w:tcPr>
          <w:p w:rsidR="004B314E" w:rsidRPr="008700E9" w:rsidRDefault="005B2D9E" w:rsidP="001279E5">
            <w:pPr>
              <w:spacing w:line="276" w:lineRule="auto"/>
              <w:jc w:val="center"/>
              <w:textAlignment w:val="auto"/>
              <w:rPr>
                <w:lang w:val="fr-CH"/>
              </w:rPr>
            </w:pPr>
            <w:hyperlink r:id="rId11" w:history="1">
              <w:r w:rsidR="004B314E" w:rsidRPr="008700E9">
                <w:rPr>
                  <w:color w:val="0000FF"/>
                  <w:u w:val="single"/>
                  <w:lang w:val="fr-CH"/>
                </w:rPr>
                <w:t>C18/51</w:t>
              </w:r>
            </w:hyperlink>
            <w:r w:rsidR="004B314E" w:rsidRPr="008700E9">
              <w:rPr>
                <w:lang w:val="fr-CH"/>
              </w:rPr>
              <w:t xml:space="preserve">, </w:t>
            </w:r>
            <w:hyperlink r:id="rId12" w:history="1">
              <w:r w:rsidR="004B314E" w:rsidRPr="008700E9">
                <w:rPr>
                  <w:color w:val="0000FF"/>
                  <w:u w:val="single"/>
                  <w:lang w:val="fr-CH"/>
                </w:rPr>
                <w:t>C18/54</w:t>
              </w:r>
            </w:hyperlink>
            <w:r w:rsidR="004B314E" w:rsidRPr="008700E9">
              <w:rPr>
                <w:lang w:val="fr-CH"/>
              </w:rPr>
              <w:t xml:space="preserve">, </w:t>
            </w:r>
            <w:hyperlink r:id="rId13" w:history="1">
              <w:r w:rsidR="004B314E" w:rsidRPr="008700E9">
                <w:rPr>
                  <w:color w:val="0000FF"/>
                  <w:u w:val="single"/>
                  <w:lang w:val="fr-CH"/>
                </w:rPr>
                <w:t>C18/93</w:t>
              </w:r>
            </w:hyperlink>
            <w:r w:rsidR="004B314E" w:rsidRPr="008700E9">
              <w:rPr>
                <w:lang w:val="fr-CH"/>
              </w:rPr>
              <w:t xml:space="preserve">, </w:t>
            </w:r>
            <w:hyperlink r:id="rId14" w:history="1">
              <w:r w:rsidR="004B314E" w:rsidRPr="008700E9">
                <w:rPr>
                  <w:color w:val="0000FF"/>
                  <w:u w:val="single"/>
                  <w:lang w:val="fr-CH"/>
                </w:rPr>
                <w:t>C18/94</w:t>
              </w:r>
            </w:hyperlink>
          </w:p>
        </w:tc>
      </w:tr>
      <w:tr w:rsidR="004B314E" w:rsidRPr="008700E9" w:rsidTr="001279E5">
        <w:tc>
          <w:tcPr>
            <w:tcW w:w="251" w:type="pct"/>
            <w:hideMark/>
          </w:tcPr>
          <w:p w:rsidR="004B314E" w:rsidRPr="008700E9" w:rsidRDefault="004B314E" w:rsidP="001279E5">
            <w:pPr>
              <w:spacing w:line="276" w:lineRule="auto"/>
              <w:textAlignment w:val="auto"/>
              <w:rPr>
                <w:lang w:val="fr-CH"/>
              </w:rPr>
            </w:pPr>
            <w:r w:rsidRPr="008700E9">
              <w:rPr>
                <w:lang w:val="fr-CH"/>
              </w:rPr>
              <w:t>4</w:t>
            </w:r>
          </w:p>
        </w:tc>
        <w:tc>
          <w:tcPr>
            <w:tcW w:w="3763" w:type="pct"/>
            <w:hideMark/>
          </w:tcPr>
          <w:p w:rsidR="004B314E" w:rsidRPr="008700E9" w:rsidRDefault="004B314E" w:rsidP="001279E5">
            <w:pPr>
              <w:spacing w:line="276" w:lineRule="auto"/>
              <w:textAlignment w:val="auto"/>
              <w:rPr>
                <w:rFonts w:cs="Calibri"/>
                <w:bCs/>
                <w:szCs w:val="24"/>
                <w:lang w:val="fr-CH"/>
              </w:rPr>
            </w:pPr>
            <w:r w:rsidRPr="008700E9">
              <w:rPr>
                <w:rFonts w:cs="Calibri"/>
                <w:bCs/>
                <w:szCs w:val="24"/>
                <w:lang w:val="fr-CH"/>
              </w:rPr>
              <w:t>Activités de l'UIT relatives au renforcement du rôle de l'Union dans l'instauration de la confiance et de la sécurité dans l'utilisation des TIC</w:t>
            </w:r>
          </w:p>
        </w:tc>
        <w:tc>
          <w:tcPr>
            <w:tcW w:w="986" w:type="pct"/>
            <w:hideMark/>
          </w:tcPr>
          <w:p w:rsidR="004B314E" w:rsidRPr="008700E9" w:rsidRDefault="005B2D9E" w:rsidP="001279E5">
            <w:pPr>
              <w:spacing w:line="276" w:lineRule="auto"/>
              <w:jc w:val="center"/>
              <w:textAlignment w:val="auto"/>
              <w:rPr>
                <w:lang w:val="fr-CH"/>
              </w:rPr>
            </w:pPr>
            <w:hyperlink r:id="rId15" w:history="1">
              <w:r w:rsidR="004B314E" w:rsidRPr="008700E9">
                <w:rPr>
                  <w:color w:val="0000FF"/>
                  <w:u w:val="single"/>
                  <w:lang w:val="fr-CH"/>
                </w:rPr>
                <w:t>C18/18</w:t>
              </w:r>
            </w:hyperlink>
            <w:r w:rsidR="004B314E" w:rsidRPr="008700E9">
              <w:rPr>
                <w:lang w:val="fr-CH"/>
              </w:rPr>
              <w:t xml:space="preserve">, </w:t>
            </w:r>
            <w:hyperlink r:id="rId16" w:history="1">
              <w:r w:rsidR="004B314E" w:rsidRPr="008700E9">
                <w:rPr>
                  <w:color w:val="0000FF"/>
                  <w:u w:val="single"/>
                  <w:lang w:val="fr-CH"/>
                </w:rPr>
                <w:t>C18/76</w:t>
              </w:r>
            </w:hyperlink>
          </w:p>
        </w:tc>
      </w:tr>
      <w:tr w:rsidR="004B314E" w:rsidRPr="008700E9" w:rsidTr="001279E5">
        <w:tc>
          <w:tcPr>
            <w:tcW w:w="251" w:type="pct"/>
            <w:hideMark/>
          </w:tcPr>
          <w:p w:rsidR="004B314E" w:rsidRPr="008700E9" w:rsidRDefault="004B314E" w:rsidP="001279E5">
            <w:pPr>
              <w:spacing w:line="276" w:lineRule="auto"/>
              <w:textAlignment w:val="auto"/>
              <w:rPr>
                <w:lang w:val="fr-CH"/>
              </w:rPr>
            </w:pPr>
            <w:r w:rsidRPr="008700E9">
              <w:rPr>
                <w:lang w:val="fr-CH"/>
              </w:rPr>
              <w:t>5</w:t>
            </w:r>
          </w:p>
        </w:tc>
        <w:tc>
          <w:tcPr>
            <w:tcW w:w="3763" w:type="pct"/>
            <w:hideMark/>
          </w:tcPr>
          <w:p w:rsidR="004B314E" w:rsidRPr="008700E9" w:rsidRDefault="004B314E" w:rsidP="001279E5">
            <w:pPr>
              <w:spacing w:line="276" w:lineRule="auto"/>
              <w:textAlignment w:val="auto"/>
              <w:rPr>
                <w:rFonts w:cs="Calibri"/>
                <w:bCs/>
                <w:szCs w:val="24"/>
                <w:lang w:val="fr-CH"/>
              </w:rPr>
            </w:pPr>
            <w:r w:rsidRPr="008700E9">
              <w:rPr>
                <w:rFonts w:cs="Calibri"/>
                <w:bCs/>
                <w:szCs w:val="24"/>
                <w:lang w:val="fr-CH"/>
              </w:rPr>
              <w:t xml:space="preserve">Rapports du Président du Groupe de travail du Conseil sur la protection en ligne des enfants (GTC-COP) </w:t>
            </w:r>
          </w:p>
        </w:tc>
        <w:tc>
          <w:tcPr>
            <w:tcW w:w="986" w:type="pct"/>
            <w:hideMark/>
          </w:tcPr>
          <w:p w:rsidR="004B314E" w:rsidRPr="008700E9" w:rsidRDefault="005B2D9E" w:rsidP="001279E5">
            <w:pPr>
              <w:spacing w:line="276" w:lineRule="auto"/>
              <w:jc w:val="center"/>
              <w:textAlignment w:val="auto"/>
              <w:rPr>
                <w:lang w:val="fr-CH"/>
              </w:rPr>
            </w:pPr>
            <w:hyperlink r:id="rId17" w:history="1">
              <w:r w:rsidR="004B314E" w:rsidRPr="008700E9">
                <w:rPr>
                  <w:color w:val="0000FF"/>
                  <w:u w:val="single"/>
                  <w:lang w:val="fr-CH"/>
                </w:rPr>
                <w:t>C18/15</w:t>
              </w:r>
            </w:hyperlink>
            <w:r w:rsidR="004B314E" w:rsidRPr="008700E9">
              <w:rPr>
                <w:lang w:val="fr-CH"/>
              </w:rPr>
              <w:t xml:space="preserve">, </w:t>
            </w:r>
            <w:hyperlink r:id="rId18" w:history="1">
              <w:r w:rsidR="004B314E" w:rsidRPr="008700E9">
                <w:rPr>
                  <w:color w:val="0000FF"/>
                  <w:u w:val="single"/>
                  <w:lang w:val="fr-CH"/>
                </w:rPr>
                <w:t>C18/62</w:t>
              </w:r>
            </w:hyperlink>
          </w:p>
        </w:tc>
      </w:tr>
      <w:tr w:rsidR="004B314E" w:rsidRPr="008700E9" w:rsidTr="001279E5">
        <w:tc>
          <w:tcPr>
            <w:tcW w:w="251" w:type="pct"/>
            <w:hideMark/>
          </w:tcPr>
          <w:p w:rsidR="004B314E" w:rsidRPr="008700E9" w:rsidRDefault="004B314E" w:rsidP="001279E5">
            <w:pPr>
              <w:spacing w:line="276" w:lineRule="auto"/>
              <w:textAlignment w:val="auto"/>
              <w:rPr>
                <w:lang w:val="fr-CH"/>
              </w:rPr>
            </w:pPr>
            <w:r w:rsidRPr="008700E9">
              <w:rPr>
                <w:lang w:val="fr-CH"/>
              </w:rPr>
              <w:t>6</w:t>
            </w:r>
          </w:p>
        </w:tc>
        <w:tc>
          <w:tcPr>
            <w:tcW w:w="3763" w:type="pct"/>
            <w:hideMark/>
          </w:tcPr>
          <w:p w:rsidR="004B314E" w:rsidRPr="008700E9" w:rsidRDefault="004B314E" w:rsidP="001279E5">
            <w:pPr>
              <w:spacing w:line="276" w:lineRule="auto"/>
              <w:textAlignment w:val="auto"/>
              <w:rPr>
                <w:rFonts w:cs="Calibri"/>
                <w:bCs/>
                <w:szCs w:val="24"/>
                <w:lang w:val="fr-CH"/>
              </w:rPr>
            </w:pPr>
            <w:r w:rsidRPr="008700E9">
              <w:rPr>
                <w:rFonts w:cs="Calibri"/>
                <w:bCs/>
                <w:szCs w:val="24"/>
                <w:lang w:val="fr-CH"/>
              </w:rPr>
              <w:t>Déclarations et annonces des conseillers</w:t>
            </w:r>
          </w:p>
        </w:tc>
        <w:tc>
          <w:tcPr>
            <w:tcW w:w="986" w:type="pct"/>
            <w:hideMark/>
          </w:tcPr>
          <w:p w:rsidR="004B314E" w:rsidRPr="008700E9" w:rsidRDefault="004B314E" w:rsidP="001279E5">
            <w:pPr>
              <w:spacing w:line="276" w:lineRule="auto"/>
              <w:jc w:val="center"/>
              <w:textAlignment w:val="auto"/>
              <w:rPr>
                <w:lang w:val="fr-CH"/>
              </w:rPr>
            </w:pPr>
            <w:r>
              <w:rPr>
                <w:lang w:val="fr-CH"/>
              </w:rPr>
              <w:t>–</w:t>
            </w:r>
          </w:p>
        </w:tc>
      </w:tr>
    </w:tbl>
    <w:p w:rsidR="004B314E" w:rsidRPr="005D4D8A" w:rsidRDefault="004B314E" w:rsidP="004B314E">
      <w:pPr>
        <w:tabs>
          <w:tab w:val="clear" w:pos="567"/>
          <w:tab w:val="clear" w:pos="1134"/>
          <w:tab w:val="clear" w:pos="1701"/>
          <w:tab w:val="clear" w:pos="2268"/>
          <w:tab w:val="clear" w:pos="2835"/>
        </w:tabs>
        <w:snapToGrid w:val="0"/>
        <w:spacing w:after="120"/>
        <w:rPr>
          <w:b/>
          <w:sz w:val="22"/>
        </w:rPr>
      </w:pPr>
      <w:r w:rsidRPr="005D4D8A">
        <w:lastRenderedPageBreak/>
        <w:t>…………..</w:t>
      </w:r>
      <w:r w:rsidRPr="005D4D8A">
        <w:rPr>
          <w:b/>
          <w:sz w:val="22"/>
        </w:rPr>
        <w:t xml:space="preserve"> </w:t>
      </w:r>
    </w:p>
    <w:p w:rsidR="004B314E" w:rsidRPr="008700E9" w:rsidRDefault="004B314E" w:rsidP="004B314E">
      <w:pPr>
        <w:pStyle w:val="Heading1"/>
        <w:rPr>
          <w:lang w:val="fr-CH"/>
        </w:rPr>
      </w:pPr>
      <w:r w:rsidRPr="008700E9">
        <w:rPr>
          <w:lang w:val="fr-CH"/>
        </w:rPr>
        <w:t>3</w:t>
      </w:r>
      <w:r w:rsidRPr="008700E9">
        <w:rPr>
          <w:lang w:val="fr-CH"/>
        </w:rPr>
        <w:tab/>
        <w:t xml:space="preserve">Rapport du Président du Groupe de travail du Conseil sur les questions de politiques publiques internationales relatives à l'Internet (GTC-Internet) (Documents </w:t>
      </w:r>
      <w:hyperlink r:id="rId19" w:history="1">
        <w:r w:rsidRPr="008700E9">
          <w:rPr>
            <w:rStyle w:val="Hyperlink"/>
            <w:bCs/>
            <w:lang w:val="fr-CH"/>
          </w:rPr>
          <w:t>C18/51</w:t>
        </w:r>
      </w:hyperlink>
      <w:r w:rsidRPr="008700E9">
        <w:rPr>
          <w:lang w:val="fr-CH"/>
        </w:rPr>
        <w:t xml:space="preserve">, </w:t>
      </w:r>
      <w:hyperlink r:id="rId20" w:history="1">
        <w:r w:rsidRPr="008700E9">
          <w:rPr>
            <w:rStyle w:val="Hyperlink"/>
            <w:bCs/>
            <w:lang w:val="fr-CH"/>
          </w:rPr>
          <w:t>C18/54</w:t>
        </w:r>
      </w:hyperlink>
      <w:r w:rsidRPr="008700E9">
        <w:rPr>
          <w:lang w:val="fr-CH"/>
        </w:rPr>
        <w:t xml:space="preserve">, </w:t>
      </w:r>
      <w:hyperlink r:id="rId21" w:history="1">
        <w:r w:rsidRPr="008700E9">
          <w:rPr>
            <w:rStyle w:val="Hyperlink"/>
            <w:bCs/>
            <w:lang w:val="fr-CH"/>
          </w:rPr>
          <w:t>C18/93</w:t>
        </w:r>
      </w:hyperlink>
      <w:r w:rsidRPr="008700E9">
        <w:rPr>
          <w:lang w:val="fr-CH"/>
        </w:rPr>
        <w:t xml:space="preserve"> et </w:t>
      </w:r>
      <w:hyperlink r:id="rId22" w:history="1">
        <w:r w:rsidRPr="008700E9">
          <w:rPr>
            <w:rStyle w:val="Hyperlink"/>
            <w:bCs/>
            <w:lang w:val="fr-CH"/>
          </w:rPr>
          <w:t>C18/94</w:t>
        </w:r>
      </w:hyperlink>
      <w:r w:rsidRPr="008700E9">
        <w:rPr>
          <w:lang w:val="fr-CH"/>
        </w:rPr>
        <w:t>)</w:t>
      </w:r>
    </w:p>
    <w:p w:rsidR="004B314E" w:rsidRPr="008700E9" w:rsidRDefault="004B314E" w:rsidP="004B314E">
      <w:pPr>
        <w:rPr>
          <w:lang w:val="fr-CH"/>
        </w:rPr>
      </w:pPr>
      <w:r w:rsidRPr="008700E9">
        <w:rPr>
          <w:lang w:val="fr-CH"/>
        </w:rPr>
        <w:t>3.1</w:t>
      </w:r>
      <w:r w:rsidRPr="008700E9">
        <w:rPr>
          <w:lang w:val="fr-CH"/>
        </w:rPr>
        <w:tab/>
        <w:t>Le Président du GTC-Internet présente le Document C18/51, q</w:t>
      </w:r>
      <w:r>
        <w:rPr>
          <w:lang w:val="fr-CH"/>
        </w:rPr>
        <w:t>ui contient son rapport sur les </w:t>
      </w:r>
      <w:r w:rsidRPr="008700E9">
        <w:rPr>
          <w:lang w:val="fr-CH"/>
        </w:rPr>
        <w:t>activités du Groupe</w:t>
      </w:r>
      <w:r>
        <w:rPr>
          <w:lang w:val="fr-CH"/>
        </w:rPr>
        <w:t xml:space="preserve"> et donne les principaux résultats des 10ème et 11ème réunions du GTC</w:t>
      </w:r>
      <w:r>
        <w:rPr>
          <w:lang w:val="fr-CH"/>
        </w:rPr>
        <w:noBreakHyphen/>
        <w:t xml:space="preserve">Internet. Il fait savoir au Conseil que le GTC a en outre tenu deux séries de consultations </w:t>
      </w:r>
      <w:r w:rsidRPr="00F512DE">
        <w:t>ouvertes en ligne et traditionnelles</w:t>
      </w:r>
      <w:r>
        <w:t>, l'une sur les considérations relatives aux politiques publiques pour les OTT, l'autre sur la réduction de la fracture numérique entre les hommes et les femmes. Différentes régions ont répondu; les réponses présentaient de nombreuses mesures et points de vue et montraient différentes opinions concernant les questions des consultations</w:t>
      </w:r>
      <w:r w:rsidRPr="008700E9">
        <w:rPr>
          <w:lang w:val="fr-CH"/>
        </w:rPr>
        <w:t>.</w:t>
      </w:r>
    </w:p>
    <w:p w:rsidR="004B314E" w:rsidRPr="008700E9" w:rsidRDefault="004B314E" w:rsidP="004B314E">
      <w:pPr>
        <w:rPr>
          <w:lang w:val="fr-CH"/>
        </w:rPr>
      </w:pPr>
      <w:r w:rsidRPr="008700E9">
        <w:rPr>
          <w:lang w:val="fr-CH"/>
        </w:rPr>
        <w:t>3.2</w:t>
      </w:r>
      <w:r w:rsidRPr="008700E9">
        <w:rPr>
          <w:lang w:val="fr-CH"/>
        </w:rPr>
        <w:tab/>
        <w:t xml:space="preserve">Il est </w:t>
      </w:r>
      <w:r w:rsidRPr="008700E9">
        <w:rPr>
          <w:b/>
          <w:bCs/>
          <w:lang w:val="fr-CH"/>
        </w:rPr>
        <w:t>pris note</w:t>
      </w:r>
      <w:r w:rsidRPr="008700E9">
        <w:rPr>
          <w:lang w:val="fr-CH"/>
        </w:rPr>
        <w:t xml:space="preserve"> du Document C18/51.</w:t>
      </w:r>
    </w:p>
    <w:p w:rsidR="004B314E" w:rsidRPr="008700E9" w:rsidRDefault="004B314E" w:rsidP="004B314E">
      <w:pPr>
        <w:rPr>
          <w:lang w:val="fr-CH"/>
        </w:rPr>
      </w:pPr>
      <w:r w:rsidRPr="008700E9">
        <w:rPr>
          <w:lang w:val="fr-CH"/>
        </w:rPr>
        <w:t>3.3</w:t>
      </w:r>
      <w:r w:rsidRPr="008700E9">
        <w:rPr>
          <w:lang w:val="fr-CH"/>
        </w:rPr>
        <w:tab/>
        <w:t>Le Président du GTC-Internet présente le Document C18/54 et rappelle qu'un projet de Résolution sur l'accès des personnes handicapées et des personnes ayant des besoins particuliers à l'Internet proposé par l'Administration de l'Arabie saoudite a été examiné. Des opinions divergentes ont été exprimées et le Conseil, à sa session de 2017, a décidé, faute de temps et en raison du domaine application de la proposition, de saisir le Conseil de cette question à sa session de 2018. Le Conseil souhaitera peut-être transmettre son avis sur la proposition à la PP-18.</w:t>
      </w:r>
    </w:p>
    <w:p w:rsidR="004B314E" w:rsidRPr="008700E9" w:rsidRDefault="004B314E" w:rsidP="004B314E">
      <w:pPr>
        <w:rPr>
          <w:lang w:val="fr-CH"/>
        </w:rPr>
      </w:pPr>
      <w:r w:rsidRPr="008700E9">
        <w:rPr>
          <w:lang w:val="fr-CH"/>
        </w:rPr>
        <w:t>3.4</w:t>
      </w:r>
      <w:r w:rsidRPr="008700E9">
        <w:rPr>
          <w:lang w:val="fr-CH"/>
        </w:rPr>
        <w:tab/>
        <w:t>Plusieurs conseillers appuient le projet de Résolution, qui traite d'une question particulièrement importante et vaste. Toutefois, deux conseillers ne pensent pas qu'une nouvelle Résolution du Conseil sur cette question soit nécessaire, étant donné que de nombreux aspects sont déjà couverts par la Résolution 175 (Rév. Busan, 2014) de la Conférence de plénipotentiaires. Il sera plus judicieux de réviser cette Résolution dans le cadre de la PP-18.</w:t>
      </w:r>
    </w:p>
    <w:p w:rsidR="004B314E" w:rsidRPr="008700E9" w:rsidRDefault="004B314E" w:rsidP="004B314E">
      <w:pPr>
        <w:rPr>
          <w:lang w:val="fr-CH"/>
        </w:rPr>
      </w:pPr>
      <w:r w:rsidRPr="008700E9">
        <w:rPr>
          <w:lang w:val="fr-CH"/>
        </w:rPr>
        <w:t>3.5</w:t>
      </w:r>
      <w:r w:rsidRPr="008700E9">
        <w:rPr>
          <w:lang w:val="fr-CH"/>
        </w:rPr>
        <w:tab/>
        <w:t xml:space="preserve">Le Conseil </w:t>
      </w:r>
      <w:r w:rsidRPr="008700E9">
        <w:rPr>
          <w:b/>
          <w:bCs/>
          <w:lang w:val="fr-CH"/>
        </w:rPr>
        <w:t>décide</w:t>
      </w:r>
      <w:r w:rsidRPr="008700E9">
        <w:rPr>
          <w:lang w:val="fr-CH"/>
        </w:rPr>
        <w:t xml:space="preserve"> de prendre note du Document C18/54 et de transmettre les avis exprimés à ce sujet à la PP-18.</w:t>
      </w:r>
    </w:p>
    <w:p w:rsidR="004B314E" w:rsidRPr="008700E9" w:rsidRDefault="004B314E" w:rsidP="004B314E">
      <w:pPr>
        <w:rPr>
          <w:lang w:val="fr-CH"/>
        </w:rPr>
      </w:pPr>
      <w:r w:rsidRPr="008700E9">
        <w:rPr>
          <w:lang w:val="fr-CH"/>
        </w:rPr>
        <w:t>3.6</w:t>
      </w:r>
      <w:r w:rsidRPr="008700E9">
        <w:rPr>
          <w:lang w:val="fr-CH"/>
        </w:rPr>
        <w:tab/>
        <w:t>Le Conseiller du Brésil présente les Documents C18/93 et C18/94, qui contiennent chacun une contribution soumise par son pays. Le premier est une proposition visant à charger le Conseil, à ses sessions annuelles, de déterminer le thème des consultations ouvertes menées par le GTC</w:t>
      </w:r>
      <w:r w:rsidRPr="008700E9">
        <w:rPr>
          <w:lang w:val="fr-CH"/>
        </w:rPr>
        <w:noBreakHyphen/>
        <w:t>Internet, motivée par la volonté d'utiliser plus efficacement le temps disponible lors des réunions du GTC-Internet et de décider de manière plus éclairée et représentative des thèmes, étant donné que le Conseil rassemble un nombre bien plus élevé de participants que le GTC</w:t>
      </w:r>
      <w:r w:rsidRPr="008700E9">
        <w:rPr>
          <w:lang w:val="fr-CH"/>
        </w:rPr>
        <w:noBreakHyphen/>
        <w:t>Internet. Le second document contient une proposition visant à ouvrir la participation aux travaux du GTC-Internet aux Membres de Secteur de l'UIT.</w:t>
      </w:r>
    </w:p>
    <w:p w:rsidR="004B314E" w:rsidRPr="008700E9" w:rsidRDefault="004B314E" w:rsidP="004B314E">
      <w:pPr>
        <w:rPr>
          <w:lang w:val="fr-CH"/>
        </w:rPr>
      </w:pPr>
      <w:r w:rsidRPr="008700E9">
        <w:rPr>
          <w:lang w:val="fr-CH"/>
        </w:rPr>
        <w:t>3.7</w:t>
      </w:r>
      <w:r w:rsidRPr="008700E9">
        <w:rPr>
          <w:lang w:val="fr-CH"/>
        </w:rPr>
        <w:tab/>
        <w:t>Des avis divergents sont exprimés concernant la proposition figurant dans le Document C18/93. Pour plusieurs conseillers, le choix des thèmes doit continuer d'incomber a</w:t>
      </w:r>
      <w:bookmarkStart w:id="13" w:name="_GoBack"/>
      <w:bookmarkEnd w:id="13"/>
      <w:r w:rsidRPr="008700E9">
        <w:rPr>
          <w:lang w:val="fr-CH"/>
        </w:rPr>
        <w:t xml:space="preserve">u GTC-Internet; d'autres conseillers, reconnaissant la validité de l'argument selon lequel la participation au Conseil est </w:t>
      </w:r>
      <w:r w:rsidRPr="008700E9">
        <w:rPr>
          <w:i/>
          <w:iCs/>
          <w:lang w:val="fr-CH"/>
        </w:rPr>
        <w:t>de facto</w:t>
      </w:r>
      <w:r w:rsidRPr="008700E9">
        <w:rPr>
          <w:lang w:val="fr-CH"/>
        </w:rPr>
        <w:t xml:space="preserve"> plus large qu'au GTC-Internet, sont en désaccord. Un conseiller propose que le Conseil puisse choisir les thèmes à partir de listes restreintes préparées par le GTC-Internet.</w:t>
      </w:r>
    </w:p>
    <w:p w:rsidR="005D4D8A" w:rsidRDefault="005D4D8A" w:rsidP="004B314E">
      <w:pPr>
        <w:rPr>
          <w:lang w:val="fr-CH"/>
        </w:rPr>
      </w:pPr>
      <w:r>
        <w:rPr>
          <w:lang w:val="fr-CH"/>
        </w:rPr>
        <w:br w:type="page"/>
      </w:r>
    </w:p>
    <w:p w:rsidR="004B314E" w:rsidRPr="008700E9" w:rsidRDefault="004B314E" w:rsidP="004B314E">
      <w:pPr>
        <w:rPr>
          <w:lang w:val="fr-CH"/>
        </w:rPr>
      </w:pPr>
      <w:r w:rsidRPr="008700E9">
        <w:rPr>
          <w:lang w:val="fr-CH"/>
        </w:rPr>
        <w:lastRenderedPageBreak/>
        <w:t>3.8</w:t>
      </w:r>
      <w:r w:rsidRPr="008700E9">
        <w:rPr>
          <w:lang w:val="fr-CH"/>
        </w:rPr>
        <w:tab/>
        <w:t xml:space="preserve">La proposition figurant dans le Document C18/94 recueille un certain soutien, mais différentes suggestions sont faites concernant le niveau de participation qui devrait être accordé aux Membres de Secteur. Un conseiller désapprouve la proposition, arguant que des possibilités suffisantes sont déjà offertes aux autres parties prenantes </w:t>
      </w:r>
      <w:r>
        <w:rPr>
          <w:lang w:val="fr-CH"/>
        </w:rPr>
        <w:t>pour participer aux réunions du </w:t>
      </w:r>
      <w:r w:rsidRPr="008700E9">
        <w:rPr>
          <w:lang w:val="fr-CH"/>
        </w:rPr>
        <w:t>GTC</w:t>
      </w:r>
      <w:r w:rsidRPr="008700E9">
        <w:rPr>
          <w:lang w:val="fr-CH"/>
        </w:rPr>
        <w:noBreakHyphen/>
        <w:t>Internet dans le cadre des délégations des Etats Membres, ainsi qu'aux consultations ouvertes en ligne. Un autre conseiller explique que cette question sort du cadre des attributions du Conseil et devrait être examinée par la Conférence de plénipotentiaires.</w:t>
      </w:r>
    </w:p>
    <w:p w:rsidR="004B314E" w:rsidRPr="008700E9" w:rsidRDefault="004B314E" w:rsidP="004B314E">
      <w:pPr>
        <w:keepNext/>
        <w:keepLines/>
        <w:rPr>
          <w:lang w:val="fr-CH"/>
        </w:rPr>
      </w:pPr>
      <w:r w:rsidRPr="008700E9">
        <w:rPr>
          <w:lang w:val="fr-CH"/>
        </w:rPr>
        <w:t>3.9</w:t>
      </w:r>
      <w:r w:rsidRPr="008700E9">
        <w:rPr>
          <w:lang w:val="fr-CH"/>
        </w:rPr>
        <w:tab/>
        <w:t>Le Président considère que le Conseil souhaite prendre note des Documents C18/93 et C18/94 et inviter les Etats Membres à tenir compte des questions soulevées dans ces contributions lorsqu'ils discuteront de la Résolution 102 (Rév. Busan, 2014) de la Conférence de plénipotentiaires à la PP-18.</w:t>
      </w:r>
    </w:p>
    <w:p w:rsidR="004B314E" w:rsidRPr="008700E9" w:rsidRDefault="004B314E" w:rsidP="004B314E">
      <w:pPr>
        <w:rPr>
          <w:lang w:val="fr-CH"/>
        </w:rPr>
      </w:pPr>
      <w:r w:rsidRPr="008700E9">
        <w:rPr>
          <w:lang w:val="fr-CH"/>
        </w:rPr>
        <w:t>3.10</w:t>
      </w:r>
      <w:r w:rsidRPr="008700E9">
        <w:rPr>
          <w:lang w:val="fr-CH"/>
        </w:rPr>
        <w:tab/>
        <w:t xml:space="preserve">Il en est ainsi </w:t>
      </w:r>
      <w:r w:rsidRPr="008700E9">
        <w:rPr>
          <w:b/>
          <w:bCs/>
          <w:lang w:val="fr-CH"/>
        </w:rPr>
        <w:t>décidé</w:t>
      </w:r>
      <w:r w:rsidRPr="008700E9">
        <w:rPr>
          <w:lang w:val="fr-CH"/>
        </w:rPr>
        <w:t>.</w:t>
      </w:r>
    </w:p>
    <w:p w:rsidR="004B314E" w:rsidRDefault="004B314E" w:rsidP="004B314E">
      <w:pPr>
        <w:tabs>
          <w:tab w:val="clear" w:pos="567"/>
          <w:tab w:val="clear" w:pos="1134"/>
          <w:tab w:val="clear" w:pos="1701"/>
          <w:tab w:val="clear" w:pos="2268"/>
          <w:tab w:val="clear" w:pos="2835"/>
          <w:tab w:val="left" w:pos="6521"/>
        </w:tabs>
        <w:snapToGrid w:val="0"/>
        <w:spacing w:before="840" w:after="120"/>
        <w:rPr>
          <w:szCs w:val="24"/>
          <w:lang w:val="fr-CH"/>
        </w:rPr>
      </w:pPr>
      <w:r w:rsidRPr="008700E9">
        <w:rPr>
          <w:szCs w:val="24"/>
          <w:lang w:val="fr-CH"/>
        </w:rPr>
        <w:t>Le Secrétaire général:</w:t>
      </w:r>
      <w:r w:rsidRPr="008700E9">
        <w:rPr>
          <w:szCs w:val="24"/>
          <w:lang w:val="fr-CH"/>
        </w:rPr>
        <w:tab/>
        <w:t>Le Président:</w:t>
      </w:r>
    </w:p>
    <w:p w:rsidR="004B314E" w:rsidRPr="008700E9" w:rsidRDefault="004B314E" w:rsidP="004B314E">
      <w:pPr>
        <w:tabs>
          <w:tab w:val="clear" w:pos="567"/>
          <w:tab w:val="clear" w:pos="1134"/>
          <w:tab w:val="clear" w:pos="1701"/>
          <w:tab w:val="clear" w:pos="2268"/>
          <w:tab w:val="clear" w:pos="2835"/>
          <w:tab w:val="left" w:pos="6521"/>
        </w:tabs>
        <w:snapToGrid w:val="0"/>
        <w:spacing w:before="0" w:after="120"/>
        <w:rPr>
          <w:szCs w:val="24"/>
          <w:lang w:val="fr-CH"/>
        </w:rPr>
      </w:pPr>
      <w:r w:rsidRPr="008700E9">
        <w:rPr>
          <w:szCs w:val="24"/>
          <w:lang w:val="fr-CH"/>
        </w:rPr>
        <w:t>H. ZHAO</w:t>
      </w:r>
      <w:r>
        <w:rPr>
          <w:szCs w:val="24"/>
          <w:lang w:val="fr-CH"/>
        </w:rPr>
        <w:tab/>
      </w:r>
      <w:r w:rsidRPr="008700E9">
        <w:rPr>
          <w:szCs w:val="24"/>
          <w:lang w:val="fr-CH"/>
        </w:rPr>
        <w:t>R. ISMAILOV</w:t>
      </w:r>
    </w:p>
    <w:sectPr w:rsidR="004B314E" w:rsidRPr="008700E9" w:rsidSect="003A0B7D">
      <w:headerReference w:type="default" r:id="rId23"/>
      <w:footerReference w:type="first" r:id="rId2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D9E" w:rsidRDefault="005B2D9E">
      <w:r>
        <w:separator/>
      </w:r>
    </w:p>
  </w:endnote>
  <w:endnote w:type="continuationSeparator" w:id="0">
    <w:p w:rsidR="005B2D9E" w:rsidRDefault="005B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D9E" w:rsidRDefault="005B2D9E">
      <w:r>
        <w:t>____________________</w:t>
      </w:r>
    </w:p>
  </w:footnote>
  <w:footnote w:type="continuationSeparator" w:id="0">
    <w:p w:rsidR="005B2D9E" w:rsidRDefault="005B2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2927FB">
      <w:rPr>
        <w:noProof/>
      </w:rPr>
      <w:t>4</w:t>
    </w:r>
    <w:r>
      <w:fldChar w:fldCharType="end"/>
    </w:r>
  </w:p>
  <w:p w:rsidR="00BD1614" w:rsidRDefault="00BD1614" w:rsidP="005D4D8A">
    <w:pPr>
      <w:pStyle w:val="Header"/>
    </w:pPr>
    <w:r>
      <w:t>PP1</w:t>
    </w:r>
    <w:r w:rsidR="001E2226">
      <w:t>8</w:t>
    </w:r>
    <w:r w:rsidR="00417658">
      <w:t>/</w:t>
    </w:r>
    <w:r w:rsidR="005D4D8A">
      <w:t>35</w:t>
    </w:r>
    <w:r w:rsidR="00417658">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96AE01F-A822-4984-ABB6-445B55248D59}"/>
    <w:docVar w:name="dgnword-eventsink" w:val="648244944"/>
  </w:docVars>
  <w:rsids>
    <w:rsidRoot w:val="00F51A87"/>
    <w:rsid w:val="000054D8"/>
    <w:rsid w:val="00060D74"/>
    <w:rsid w:val="00072D5C"/>
    <w:rsid w:val="0008398C"/>
    <w:rsid w:val="00084308"/>
    <w:rsid w:val="000B14B6"/>
    <w:rsid w:val="000C467B"/>
    <w:rsid w:val="000D15FB"/>
    <w:rsid w:val="000F58F7"/>
    <w:rsid w:val="001051E4"/>
    <w:rsid w:val="001354EA"/>
    <w:rsid w:val="00136FCE"/>
    <w:rsid w:val="00153BA4"/>
    <w:rsid w:val="0018005A"/>
    <w:rsid w:val="001941AD"/>
    <w:rsid w:val="001A0682"/>
    <w:rsid w:val="001B4D8D"/>
    <w:rsid w:val="001D31B2"/>
    <w:rsid w:val="001E1B9B"/>
    <w:rsid w:val="001E1F8D"/>
    <w:rsid w:val="001E2226"/>
    <w:rsid w:val="001F6233"/>
    <w:rsid w:val="002355CD"/>
    <w:rsid w:val="00270B2F"/>
    <w:rsid w:val="002927FB"/>
    <w:rsid w:val="002A0E1B"/>
    <w:rsid w:val="002C1059"/>
    <w:rsid w:val="002C2F9C"/>
    <w:rsid w:val="00322DEA"/>
    <w:rsid w:val="00355FBD"/>
    <w:rsid w:val="00381461"/>
    <w:rsid w:val="00382DA9"/>
    <w:rsid w:val="003A0B7D"/>
    <w:rsid w:val="003A45C2"/>
    <w:rsid w:val="003C4BE2"/>
    <w:rsid w:val="003D147D"/>
    <w:rsid w:val="003D637A"/>
    <w:rsid w:val="00417658"/>
    <w:rsid w:val="00430015"/>
    <w:rsid w:val="004678D0"/>
    <w:rsid w:val="00482954"/>
    <w:rsid w:val="004951C0"/>
    <w:rsid w:val="004B314E"/>
    <w:rsid w:val="00524001"/>
    <w:rsid w:val="00564B63"/>
    <w:rsid w:val="00575DC7"/>
    <w:rsid w:val="005836C2"/>
    <w:rsid w:val="005A4EFD"/>
    <w:rsid w:val="005A5ABE"/>
    <w:rsid w:val="005B2D9E"/>
    <w:rsid w:val="005C2ECC"/>
    <w:rsid w:val="005C6744"/>
    <w:rsid w:val="005D4D8A"/>
    <w:rsid w:val="005E419E"/>
    <w:rsid w:val="005F63BD"/>
    <w:rsid w:val="00611CF1"/>
    <w:rsid w:val="006201D9"/>
    <w:rsid w:val="006277DB"/>
    <w:rsid w:val="00635B7B"/>
    <w:rsid w:val="00655B98"/>
    <w:rsid w:val="006710E6"/>
    <w:rsid w:val="00686973"/>
    <w:rsid w:val="006A2656"/>
    <w:rsid w:val="006A6342"/>
    <w:rsid w:val="006B6C9C"/>
    <w:rsid w:val="006C7AE3"/>
    <w:rsid w:val="006D55E8"/>
    <w:rsid w:val="006E1921"/>
    <w:rsid w:val="006F36F9"/>
    <w:rsid w:val="0070576B"/>
    <w:rsid w:val="00713335"/>
    <w:rsid w:val="00727C2F"/>
    <w:rsid w:val="00735F13"/>
    <w:rsid w:val="007717F2"/>
    <w:rsid w:val="00772E3B"/>
    <w:rsid w:val="0078134C"/>
    <w:rsid w:val="007A5830"/>
    <w:rsid w:val="00801256"/>
    <w:rsid w:val="008703CB"/>
    <w:rsid w:val="008B61AF"/>
    <w:rsid w:val="008C33C2"/>
    <w:rsid w:val="008C6137"/>
    <w:rsid w:val="008E2DB4"/>
    <w:rsid w:val="00901DD5"/>
    <w:rsid w:val="0090735B"/>
    <w:rsid w:val="00912D5E"/>
    <w:rsid w:val="00934340"/>
    <w:rsid w:val="00956DC7"/>
    <w:rsid w:val="00966CD3"/>
    <w:rsid w:val="00987A20"/>
    <w:rsid w:val="009A0E15"/>
    <w:rsid w:val="009C4933"/>
    <w:rsid w:val="009D4037"/>
    <w:rsid w:val="009F0592"/>
    <w:rsid w:val="00A20E72"/>
    <w:rsid w:val="00A246DC"/>
    <w:rsid w:val="00A47BAF"/>
    <w:rsid w:val="00A542D3"/>
    <w:rsid w:val="00A5784F"/>
    <w:rsid w:val="00A8436E"/>
    <w:rsid w:val="00A95B66"/>
    <w:rsid w:val="00AE0667"/>
    <w:rsid w:val="00AF32D6"/>
    <w:rsid w:val="00B41E0A"/>
    <w:rsid w:val="00B56DE0"/>
    <w:rsid w:val="00B71F12"/>
    <w:rsid w:val="00B96B1E"/>
    <w:rsid w:val="00BB2A6F"/>
    <w:rsid w:val="00BD1614"/>
    <w:rsid w:val="00BD5DA6"/>
    <w:rsid w:val="00BF7D25"/>
    <w:rsid w:val="00C010C0"/>
    <w:rsid w:val="00C206C3"/>
    <w:rsid w:val="00C40CB5"/>
    <w:rsid w:val="00C54CE6"/>
    <w:rsid w:val="00C575E2"/>
    <w:rsid w:val="00C7368B"/>
    <w:rsid w:val="00C92746"/>
    <w:rsid w:val="00CC4DC5"/>
    <w:rsid w:val="00CE1A7C"/>
    <w:rsid w:val="00D0464B"/>
    <w:rsid w:val="00D12C74"/>
    <w:rsid w:val="00D13080"/>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34BBF"/>
    <w:rsid w:val="00E443FA"/>
    <w:rsid w:val="00E54FCE"/>
    <w:rsid w:val="00E60DA1"/>
    <w:rsid w:val="00E93D35"/>
    <w:rsid w:val="00EA45DB"/>
    <w:rsid w:val="00ED2CD9"/>
    <w:rsid w:val="00F07DA7"/>
    <w:rsid w:val="00F51A8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aliases w:val="超级链接,Style 58,超?级链"/>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table" w:styleId="TableGrid">
    <w:name w:val="Table Grid"/>
    <w:basedOn w:val="TableNormal"/>
    <w:rsid w:val="004B314E"/>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B314E"/>
    <w:rPr>
      <w:rFonts w:ascii="Calibri" w:hAnsi="Calibri"/>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054/en" TargetMode="External"/><Relationship Id="rId13" Type="http://schemas.openxmlformats.org/officeDocument/2006/relationships/hyperlink" Target="https://www.itu.int/md/S18-CL-C-0093/en" TargetMode="External"/><Relationship Id="rId18" Type="http://schemas.openxmlformats.org/officeDocument/2006/relationships/hyperlink" Target="https://www.itu.int/md/S18-CL-C-0062/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tu.int/md/S18-CL-C-0093/en" TargetMode="External"/><Relationship Id="rId7" Type="http://schemas.openxmlformats.org/officeDocument/2006/relationships/image" Target="media/image1.jpeg"/><Relationship Id="rId12" Type="http://schemas.openxmlformats.org/officeDocument/2006/relationships/hyperlink" Target="https://www.itu.int/md/S18-CL-C-0054/en" TargetMode="External"/><Relationship Id="rId17" Type="http://schemas.openxmlformats.org/officeDocument/2006/relationships/hyperlink" Target="https://www.itu.int/md/S18-CL-C-0015/e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S18-CL-C-0076/en" TargetMode="External"/><Relationship Id="rId20" Type="http://schemas.openxmlformats.org/officeDocument/2006/relationships/hyperlink" Target="https://www.itu.int/md/S18-CL-C-0054/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8-CL-C-0051/e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md/S18-CL-C-0018/en" TargetMode="External"/><Relationship Id="rId23" Type="http://schemas.openxmlformats.org/officeDocument/2006/relationships/header" Target="header1.xml"/><Relationship Id="rId10" Type="http://schemas.openxmlformats.org/officeDocument/2006/relationships/hyperlink" Target="https://www.itu.int/md/S18-CL-C-0033/en" TargetMode="External"/><Relationship Id="rId19" Type="http://schemas.openxmlformats.org/officeDocument/2006/relationships/hyperlink" Target="https://www.itu.int/md/S18-CL-C-0051en" TargetMode="External"/><Relationship Id="rId4" Type="http://schemas.openxmlformats.org/officeDocument/2006/relationships/webSettings" Target="webSettings.xml"/><Relationship Id="rId9" Type="http://schemas.openxmlformats.org/officeDocument/2006/relationships/hyperlink" Target="https://www.itu.int/md/S18-CL-C-0010/en" TargetMode="External"/><Relationship Id="rId14" Type="http://schemas.openxmlformats.org/officeDocument/2006/relationships/hyperlink" Target="https://www.itu.int/md/S18-CL-C-0094/en" TargetMode="External"/><Relationship Id="rId22" Type="http://schemas.openxmlformats.org/officeDocument/2006/relationships/hyperlink" Target="https://www.itu.int/md/S18-CL-C-009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aroqu\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PF_PP18.dotx</Template>
  <TotalTime>0</TotalTime>
  <Pages>4</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6965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du Conseil: Vues du Conseil sur une politique publique internationale relative à l'accès des personnes handicapées et des personnes ayant des besoins particuliers à l'internet</dc:title>
  <dc:subject>Plenipotentiary Conference (PP-18)</dc:subject>
  <dc:creator/>
  <cp:keywords>P-18, Plenipotentiary</cp:keywords>
  <dc:description/>
  <cp:lastModifiedBy/>
  <cp:revision>1</cp:revision>
  <dcterms:created xsi:type="dcterms:W3CDTF">2018-07-17T09:06:00Z</dcterms:created>
  <dcterms:modified xsi:type="dcterms:W3CDTF">2018-07-17T09:06:00Z</dcterms:modified>
  <cp:category>Conference document</cp:category>
</cp:coreProperties>
</file>