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E205A7">
        <w:trPr>
          <w:cantSplit/>
        </w:trPr>
        <w:tc>
          <w:tcPr>
            <w:tcW w:w="6911" w:type="dxa"/>
            <w:vAlign w:val="center"/>
          </w:tcPr>
          <w:p w:rsidR="00255FA1" w:rsidRPr="0032644F" w:rsidRDefault="00255FA1" w:rsidP="00E205A7">
            <w:pPr>
              <w:rPr>
                <w:b/>
                <w:bCs/>
                <w:szCs w:val="22"/>
              </w:rPr>
            </w:pPr>
            <w:bookmarkStart w:id="0" w:name="dbreak"/>
            <w:bookmarkStart w:id="1" w:name="dpp"/>
            <w:bookmarkStart w:id="2" w:name="_GoBack"/>
            <w:bookmarkEnd w:id="0"/>
            <w:bookmarkEnd w:id="1"/>
            <w:bookmarkEnd w:id="2"/>
            <w:r w:rsidRPr="007F6EBC">
              <w:rPr>
                <w:rStyle w:val="PageNumber"/>
                <w:rFonts w:cs="Times"/>
                <w:b/>
                <w:sz w:val="30"/>
                <w:szCs w:val="30"/>
              </w:rPr>
              <w:t>Conferencia de Plenipotenciarios (PP-1</w:t>
            </w:r>
            <w:r w:rsidR="00C43474">
              <w:rPr>
                <w:rStyle w:val="PageNumber"/>
                <w:rFonts w:cs="Times"/>
                <w:b/>
                <w:sz w:val="30"/>
                <w:szCs w:val="30"/>
              </w:rPr>
              <w:t>8</w:t>
            </w:r>
            <w:r w:rsidRPr="007F6EBC">
              <w:rPr>
                <w:rStyle w:val="PageNumber"/>
                <w:rFonts w:cs="Times"/>
                <w:b/>
                <w:sz w:val="30"/>
                <w:szCs w:val="30"/>
              </w:rPr>
              <w:t>)</w:t>
            </w:r>
            <w:r w:rsidRPr="007F6EBC">
              <w:rPr>
                <w:rStyle w:val="PageNumber"/>
                <w:rFonts w:cs="Times"/>
                <w:sz w:val="26"/>
                <w:szCs w:val="26"/>
              </w:rPr>
              <w:br/>
            </w:r>
            <w:r w:rsidR="00C43474" w:rsidRPr="007219F3">
              <w:rPr>
                <w:rStyle w:val="PageNumber"/>
                <w:b/>
                <w:szCs w:val="24"/>
              </w:rPr>
              <w:t>Dub</w:t>
            </w:r>
            <w:r w:rsidR="008C3FA8" w:rsidRPr="007219F3">
              <w:rPr>
                <w:rStyle w:val="PageNumber"/>
                <w:b/>
                <w:szCs w:val="24"/>
              </w:rPr>
              <w:t>á</w:t>
            </w:r>
            <w:r w:rsidR="00C43474" w:rsidRPr="007219F3">
              <w:rPr>
                <w:rStyle w:val="PageNumber"/>
                <w:b/>
                <w:szCs w:val="24"/>
              </w:rPr>
              <w:t>i</w:t>
            </w:r>
            <w:r w:rsidRPr="007F6EBC">
              <w:rPr>
                <w:rStyle w:val="PageNumber"/>
                <w:b/>
                <w:bCs/>
                <w:szCs w:val="24"/>
              </w:rPr>
              <w:t xml:space="preserve">, </w:t>
            </w:r>
            <w:r w:rsidRPr="004B07DB">
              <w:rPr>
                <w:rStyle w:val="PageNumber"/>
                <w:b/>
                <w:szCs w:val="24"/>
              </w:rPr>
              <w:t>2</w:t>
            </w:r>
            <w:r w:rsidR="00C43474">
              <w:rPr>
                <w:rStyle w:val="PageNumber"/>
                <w:b/>
                <w:szCs w:val="24"/>
              </w:rPr>
              <w:t>9</w:t>
            </w:r>
            <w:r w:rsidRPr="004B07DB">
              <w:rPr>
                <w:rStyle w:val="PageNumber"/>
                <w:b/>
                <w:szCs w:val="24"/>
              </w:rPr>
              <w:t xml:space="preserve"> de octubre </w:t>
            </w:r>
            <w:r w:rsidR="00491A25">
              <w:rPr>
                <w:rStyle w:val="PageNumber"/>
                <w:b/>
                <w:szCs w:val="24"/>
              </w:rPr>
              <w:t>–</w:t>
            </w:r>
            <w:r w:rsidRPr="004B07DB">
              <w:rPr>
                <w:rStyle w:val="PageNumber"/>
                <w:b/>
                <w:szCs w:val="24"/>
              </w:rPr>
              <w:t xml:space="preserve"> </w:t>
            </w:r>
            <w:r w:rsidR="00C43474">
              <w:rPr>
                <w:rStyle w:val="PageNumber"/>
                <w:b/>
                <w:szCs w:val="24"/>
              </w:rPr>
              <w:t>16</w:t>
            </w:r>
            <w:r w:rsidRPr="004B07DB">
              <w:rPr>
                <w:rStyle w:val="PageNumber"/>
                <w:b/>
                <w:szCs w:val="24"/>
              </w:rPr>
              <w:t xml:space="preserve"> de noviembre de 201</w:t>
            </w:r>
            <w:r w:rsidR="00C43474">
              <w:rPr>
                <w:rStyle w:val="PageNumber"/>
                <w:b/>
                <w:szCs w:val="24"/>
              </w:rPr>
              <w:t>8</w:t>
            </w:r>
          </w:p>
        </w:tc>
        <w:tc>
          <w:tcPr>
            <w:tcW w:w="3120" w:type="dxa"/>
          </w:tcPr>
          <w:p w:rsidR="00255FA1" w:rsidRPr="004C22ED" w:rsidRDefault="00255FA1" w:rsidP="00682B62">
            <w:pPr>
              <w:spacing w:before="0" w:line="240" w:lineRule="atLeast"/>
              <w:rPr>
                <w:rFonts w:cstheme="minorHAnsi"/>
                <w:lang w:val="en-US"/>
              </w:rPr>
            </w:pPr>
            <w:bookmarkStart w:id="3" w:name="ditulogo"/>
            <w:bookmarkEnd w:id="3"/>
            <w:r w:rsidRPr="004C22ED">
              <w:rPr>
                <w:rFonts w:cstheme="minorHAnsi"/>
                <w:b/>
                <w:bCs/>
                <w:noProof/>
                <w:szCs w:val="24"/>
                <w:lang w:val="en-US" w:eastAsia="zh-CN"/>
              </w:rPr>
              <w:drawing>
                <wp:inline distT="0" distB="0" distL="0" distR="0">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930E84" w:rsidTr="00682B62">
        <w:trPr>
          <w:cantSplit/>
        </w:trPr>
        <w:tc>
          <w:tcPr>
            <w:tcW w:w="6911" w:type="dxa"/>
            <w:tcBorders>
              <w:bottom w:val="single" w:sz="12" w:space="0" w:color="auto"/>
            </w:tcBorders>
          </w:tcPr>
          <w:p w:rsidR="00255FA1" w:rsidRPr="004C22ED" w:rsidRDefault="00255FA1" w:rsidP="00682B62">
            <w:pPr>
              <w:spacing w:before="0" w:after="48" w:line="240" w:lineRule="atLeast"/>
              <w:rPr>
                <w:rFonts w:cstheme="minorHAnsi"/>
                <w:b/>
                <w:smallCaps/>
                <w:szCs w:val="24"/>
                <w:lang w:val="en-US"/>
              </w:rPr>
            </w:pPr>
            <w:bookmarkStart w:id="4" w:name="dhead"/>
          </w:p>
        </w:tc>
        <w:tc>
          <w:tcPr>
            <w:tcW w:w="3120" w:type="dxa"/>
            <w:tcBorders>
              <w:bottom w:val="single" w:sz="12" w:space="0" w:color="auto"/>
            </w:tcBorders>
          </w:tcPr>
          <w:p w:rsidR="00255FA1" w:rsidRPr="00930E84" w:rsidRDefault="00255FA1" w:rsidP="00930E84">
            <w:pPr>
              <w:spacing w:before="0" w:after="48" w:line="240" w:lineRule="atLeast"/>
              <w:rPr>
                <w:rFonts w:cstheme="minorHAnsi"/>
                <w:b/>
                <w:smallCaps/>
                <w:szCs w:val="24"/>
                <w:lang w:val="en-US"/>
              </w:rPr>
            </w:pPr>
          </w:p>
        </w:tc>
      </w:tr>
      <w:tr w:rsidR="00255FA1" w:rsidRPr="0002785D" w:rsidTr="00682B62">
        <w:trPr>
          <w:cantSplit/>
        </w:trPr>
        <w:tc>
          <w:tcPr>
            <w:tcW w:w="6911" w:type="dxa"/>
            <w:tcBorders>
              <w:top w:val="single" w:sz="12" w:space="0" w:color="auto"/>
            </w:tcBorders>
          </w:tcPr>
          <w:p w:rsidR="00255FA1" w:rsidRPr="004C22ED" w:rsidRDefault="00255FA1" w:rsidP="004F4BB1">
            <w:pPr>
              <w:spacing w:before="0"/>
              <w:ind w:firstLine="720"/>
              <w:rPr>
                <w:rFonts w:cstheme="minorHAnsi"/>
                <w:b/>
                <w:smallCaps/>
                <w:szCs w:val="24"/>
                <w:lang w:val="en-US"/>
              </w:rPr>
            </w:pPr>
          </w:p>
        </w:tc>
        <w:tc>
          <w:tcPr>
            <w:tcW w:w="3120" w:type="dxa"/>
            <w:tcBorders>
              <w:top w:val="single" w:sz="12" w:space="0" w:color="auto"/>
            </w:tcBorders>
          </w:tcPr>
          <w:p w:rsidR="00255FA1" w:rsidRPr="004C22ED" w:rsidRDefault="00255FA1" w:rsidP="004F4BB1">
            <w:pPr>
              <w:spacing w:before="0"/>
              <w:rPr>
                <w:rFonts w:cstheme="minorHAnsi"/>
                <w:szCs w:val="24"/>
                <w:lang w:val="en-US"/>
              </w:rPr>
            </w:pPr>
          </w:p>
        </w:tc>
      </w:tr>
      <w:tr w:rsidR="00255FA1" w:rsidRPr="0002785D" w:rsidTr="00682B62">
        <w:trPr>
          <w:cantSplit/>
        </w:trPr>
        <w:tc>
          <w:tcPr>
            <w:tcW w:w="6911" w:type="dxa"/>
          </w:tcPr>
          <w:p w:rsidR="00255FA1" w:rsidRPr="004C22ED" w:rsidRDefault="00255FA1" w:rsidP="004F4BB1">
            <w:pPr>
              <w:pStyle w:val="Committee"/>
              <w:framePr w:hSpace="0" w:wrap="auto" w:hAnchor="text" w:yAlign="inline"/>
              <w:spacing w:after="0" w:line="240" w:lineRule="auto"/>
            </w:pPr>
            <w:r w:rsidRPr="004C22ED">
              <w:t>SESIÓN PLENARIA</w:t>
            </w:r>
          </w:p>
        </w:tc>
        <w:tc>
          <w:tcPr>
            <w:tcW w:w="3120" w:type="dxa"/>
          </w:tcPr>
          <w:p w:rsidR="00255FA1" w:rsidRPr="004C22ED" w:rsidRDefault="00255FA1" w:rsidP="00A71684">
            <w:pPr>
              <w:spacing w:before="0"/>
              <w:rPr>
                <w:rFonts w:cstheme="minorHAnsi"/>
                <w:szCs w:val="24"/>
                <w:lang w:val="en-US"/>
              </w:rPr>
            </w:pPr>
            <w:proofErr w:type="spellStart"/>
            <w:r>
              <w:rPr>
                <w:rFonts w:cstheme="minorHAnsi"/>
                <w:b/>
                <w:szCs w:val="24"/>
                <w:lang w:val="en-US"/>
              </w:rPr>
              <w:t>Addéndum</w:t>
            </w:r>
            <w:proofErr w:type="spellEnd"/>
            <w:r>
              <w:rPr>
                <w:rFonts w:cstheme="minorHAnsi"/>
                <w:b/>
                <w:szCs w:val="24"/>
                <w:lang w:val="en-US"/>
              </w:rPr>
              <w:t xml:space="preserve"> </w:t>
            </w:r>
            <w:r w:rsidR="00B05327">
              <w:rPr>
                <w:rFonts w:cstheme="minorHAnsi"/>
                <w:b/>
                <w:szCs w:val="24"/>
                <w:lang w:val="en-US"/>
              </w:rPr>
              <w:t>3</w:t>
            </w:r>
            <w:r>
              <w:rPr>
                <w:rFonts w:cstheme="minorHAnsi"/>
                <w:b/>
                <w:szCs w:val="24"/>
                <w:lang w:val="en-US"/>
              </w:rPr>
              <w:t xml:space="preserve"> al</w:t>
            </w:r>
            <w:r>
              <w:rPr>
                <w:rFonts w:cstheme="minorHAnsi"/>
                <w:b/>
                <w:szCs w:val="24"/>
                <w:lang w:val="en-US"/>
              </w:rPr>
              <w:br/>
            </w:r>
            <w:proofErr w:type="spellStart"/>
            <w:r>
              <w:rPr>
                <w:rFonts w:cstheme="minorHAnsi"/>
                <w:b/>
                <w:szCs w:val="24"/>
                <w:lang w:val="en-US"/>
              </w:rPr>
              <w:t>Documento</w:t>
            </w:r>
            <w:proofErr w:type="spellEnd"/>
            <w:r>
              <w:rPr>
                <w:rFonts w:cstheme="minorHAnsi"/>
                <w:b/>
                <w:szCs w:val="24"/>
                <w:lang w:val="en-US"/>
              </w:rPr>
              <w:t xml:space="preserve"> 24</w:t>
            </w:r>
            <w:r w:rsidR="00262FF4" w:rsidRPr="00F44B1A">
              <w:rPr>
                <w:rFonts w:cstheme="minorHAnsi"/>
                <w:b/>
                <w:szCs w:val="24"/>
              </w:rPr>
              <w:t>-S</w:t>
            </w:r>
          </w:p>
        </w:tc>
      </w:tr>
      <w:tr w:rsidR="00255FA1" w:rsidRPr="0002785D" w:rsidTr="00682B62">
        <w:trPr>
          <w:cantSplit/>
        </w:trPr>
        <w:tc>
          <w:tcPr>
            <w:tcW w:w="6911" w:type="dxa"/>
          </w:tcPr>
          <w:p w:rsidR="00255FA1" w:rsidRPr="00BF5475" w:rsidRDefault="00255FA1" w:rsidP="004F4BB1">
            <w:pPr>
              <w:spacing w:before="0"/>
              <w:rPr>
                <w:rFonts w:cstheme="minorHAnsi"/>
                <w:b/>
                <w:szCs w:val="24"/>
                <w:lang w:val="en-US"/>
              </w:rPr>
            </w:pPr>
          </w:p>
        </w:tc>
        <w:tc>
          <w:tcPr>
            <w:tcW w:w="3120" w:type="dxa"/>
          </w:tcPr>
          <w:p w:rsidR="00255FA1" w:rsidRPr="004C22ED" w:rsidRDefault="00255FA1" w:rsidP="004F4BB1">
            <w:pPr>
              <w:spacing w:before="0"/>
              <w:rPr>
                <w:rFonts w:cstheme="minorHAnsi"/>
                <w:b/>
                <w:szCs w:val="24"/>
                <w:lang w:val="en-US"/>
              </w:rPr>
            </w:pPr>
            <w:r w:rsidRPr="004C22ED">
              <w:rPr>
                <w:rFonts w:cstheme="minorHAnsi"/>
                <w:b/>
                <w:szCs w:val="24"/>
                <w:lang w:val="en-US"/>
              </w:rPr>
              <w:t xml:space="preserve">29 </w:t>
            </w:r>
            <w:proofErr w:type="spellStart"/>
            <w:r w:rsidRPr="004C22ED">
              <w:rPr>
                <w:rFonts w:cstheme="minorHAnsi"/>
                <w:b/>
                <w:szCs w:val="24"/>
                <w:lang w:val="en-US"/>
              </w:rPr>
              <w:t>junio</w:t>
            </w:r>
            <w:proofErr w:type="spellEnd"/>
            <w:r w:rsidRPr="004C22ED">
              <w:rPr>
                <w:rFonts w:cstheme="minorHAnsi"/>
                <w:b/>
                <w:szCs w:val="24"/>
                <w:lang w:val="en-US"/>
              </w:rPr>
              <w:t xml:space="preserve"> 2018</w:t>
            </w:r>
          </w:p>
        </w:tc>
      </w:tr>
      <w:tr w:rsidR="00255FA1" w:rsidRPr="0002785D" w:rsidTr="00682B62">
        <w:trPr>
          <w:cantSplit/>
        </w:trPr>
        <w:tc>
          <w:tcPr>
            <w:tcW w:w="6911" w:type="dxa"/>
          </w:tcPr>
          <w:p w:rsidR="00255FA1" w:rsidRPr="004C22ED" w:rsidRDefault="00255FA1" w:rsidP="004F4BB1">
            <w:pPr>
              <w:spacing w:before="0"/>
              <w:rPr>
                <w:rFonts w:cstheme="minorHAnsi"/>
                <w:b/>
                <w:smallCaps/>
                <w:szCs w:val="24"/>
                <w:lang w:val="en-US"/>
              </w:rPr>
            </w:pPr>
          </w:p>
        </w:tc>
        <w:tc>
          <w:tcPr>
            <w:tcW w:w="3120" w:type="dxa"/>
          </w:tcPr>
          <w:p w:rsidR="00255FA1" w:rsidRPr="004C22ED" w:rsidRDefault="00255FA1" w:rsidP="004F4BB1">
            <w:pPr>
              <w:spacing w:before="0"/>
              <w:rPr>
                <w:rFonts w:cstheme="minorHAnsi"/>
                <w:b/>
                <w:szCs w:val="24"/>
                <w:lang w:val="en-US"/>
              </w:rPr>
            </w:pPr>
            <w:r w:rsidRPr="004C22ED">
              <w:rPr>
                <w:rFonts w:cstheme="minorHAnsi"/>
                <w:b/>
                <w:szCs w:val="24"/>
                <w:lang w:val="en-US"/>
              </w:rPr>
              <w:t xml:space="preserve">Original: </w:t>
            </w:r>
            <w:proofErr w:type="spellStart"/>
            <w:r w:rsidRPr="004C22ED">
              <w:rPr>
                <w:rFonts w:cstheme="minorHAnsi"/>
                <w:b/>
                <w:szCs w:val="24"/>
                <w:lang w:val="en-US"/>
              </w:rPr>
              <w:t>inglés</w:t>
            </w:r>
            <w:proofErr w:type="spellEnd"/>
          </w:p>
        </w:tc>
      </w:tr>
      <w:tr w:rsidR="00255FA1" w:rsidRPr="0002785D" w:rsidTr="00682B62">
        <w:trPr>
          <w:cantSplit/>
        </w:trPr>
        <w:tc>
          <w:tcPr>
            <w:tcW w:w="10031" w:type="dxa"/>
            <w:gridSpan w:val="2"/>
          </w:tcPr>
          <w:p w:rsidR="00255FA1" w:rsidRPr="004C22ED" w:rsidRDefault="00255FA1" w:rsidP="00682B62">
            <w:pPr>
              <w:spacing w:before="0" w:line="240" w:lineRule="atLeast"/>
              <w:rPr>
                <w:rFonts w:cstheme="minorHAnsi"/>
                <w:b/>
                <w:szCs w:val="24"/>
                <w:lang w:val="en-US"/>
              </w:rPr>
            </w:pPr>
          </w:p>
        </w:tc>
      </w:tr>
      <w:tr w:rsidR="00255FA1" w:rsidRPr="0002785D" w:rsidTr="00682B62">
        <w:trPr>
          <w:cantSplit/>
        </w:trPr>
        <w:tc>
          <w:tcPr>
            <w:tcW w:w="10031" w:type="dxa"/>
            <w:gridSpan w:val="2"/>
          </w:tcPr>
          <w:p w:rsidR="00255FA1" w:rsidRPr="0002785D" w:rsidRDefault="00860D21" w:rsidP="00682B62">
            <w:pPr>
              <w:pStyle w:val="Source"/>
              <w:rPr>
                <w:lang w:val="en-US"/>
              </w:rPr>
            </w:pPr>
            <w:bookmarkStart w:id="5" w:name="dsource" w:colFirst="0" w:colLast="0"/>
            <w:bookmarkEnd w:id="4"/>
            <w:proofErr w:type="spellStart"/>
            <w:r>
              <w:rPr>
                <w:lang w:val="en-US"/>
              </w:rPr>
              <w:t>Informe</w:t>
            </w:r>
            <w:proofErr w:type="spellEnd"/>
            <w:r>
              <w:rPr>
                <w:lang w:val="en-US"/>
              </w:rPr>
              <w:t xml:space="preserve"> del </w:t>
            </w:r>
            <w:proofErr w:type="spellStart"/>
            <w:r w:rsidR="00255FA1" w:rsidRPr="0002785D">
              <w:rPr>
                <w:lang w:val="en-US"/>
              </w:rPr>
              <w:t>Consejo</w:t>
            </w:r>
            <w:proofErr w:type="spellEnd"/>
          </w:p>
        </w:tc>
      </w:tr>
      <w:tr w:rsidR="00255FA1" w:rsidRPr="0002785D" w:rsidTr="00682B62">
        <w:trPr>
          <w:cantSplit/>
        </w:trPr>
        <w:tc>
          <w:tcPr>
            <w:tcW w:w="10031" w:type="dxa"/>
            <w:gridSpan w:val="2"/>
          </w:tcPr>
          <w:p w:rsidR="00255FA1" w:rsidRPr="00860D21" w:rsidRDefault="00860D21" w:rsidP="00682B62">
            <w:pPr>
              <w:pStyle w:val="Title1"/>
            </w:pPr>
            <w:bookmarkStart w:id="6" w:name="dtitle1" w:colFirst="0" w:colLast="0"/>
            <w:bookmarkEnd w:id="5"/>
            <w:r w:rsidRPr="00D839A5">
              <w:rPr>
                <w:bCs/>
                <w:szCs w:val="28"/>
              </w:rPr>
              <w:t xml:space="preserve">INFORME DEL GRUPO DE TRABAJO DEL CONSEJO SOBRE LOS PLANES </w:t>
            </w:r>
            <w:r w:rsidRPr="00D839A5">
              <w:rPr>
                <w:bCs/>
                <w:szCs w:val="28"/>
              </w:rPr>
              <w:br/>
              <w:t>ESTRATÉGICO Y FINANCIERO PARA 2020-2023 (GTC-PEF)</w:t>
            </w:r>
          </w:p>
        </w:tc>
      </w:tr>
      <w:tr w:rsidR="00255FA1" w:rsidRPr="0002785D" w:rsidTr="00682B62">
        <w:trPr>
          <w:cantSplit/>
        </w:trPr>
        <w:tc>
          <w:tcPr>
            <w:tcW w:w="10031" w:type="dxa"/>
            <w:gridSpan w:val="2"/>
          </w:tcPr>
          <w:p w:rsidR="00255FA1" w:rsidRPr="00860D21" w:rsidRDefault="00860D21" w:rsidP="00B05327">
            <w:pPr>
              <w:pStyle w:val="Title2"/>
            </w:pPr>
            <w:bookmarkStart w:id="7" w:name="dtitle2" w:colFirst="0" w:colLast="0"/>
            <w:bookmarkEnd w:id="6"/>
            <w:r w:rsidRPr="00A8024D">
              <w:t xml:space="preserve">ANEXO </w:t>
            </w:r>
            <w:r w:rsidR="00B05327">
              <w:t>3</w:t>
            </w:r>
            <w:r w:rsidRPr="00A8024D">
              <w:t xml:space="preserve"> a la Resolución 71: </w:t>
            </w:r>
            <w:r w:rsidR="00B05327" w:rsidRPr="008D0597">
              <w:t>Glosario de términos</w:t>
            </w:r>
          </w:p>
        </w:tc>
      </w:tr>
      <w:bookmarkEnd w:id="7"/>
    </w:tbl>
    <w:p w:rsidR="00504FD4" w:rsidRPr="00860D21" w:rsidRDefault="00504FD4" w:rsidP="00930E84"/>
    <w:p w:rsidR="00255FA1"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r>
        <w:rPr>
          <w:rStyle w:val="PageNumber"/>
        </w:rPr>
        <w:br w:type="page"/>
      </w:r>
    </w:p>
    <w:p w:rsidR="0002219A" w:rsidRDefault="00CB0FAD" w:rsidP="00B05327">
      <w:pPr>
        <w:pStyle w:val="Proposal"/>
        <w:rPr>
          <w:lang w:val="es-ES_tradnl"/>
        </w:rPr>
      </w:pPr>
      <w:r w:rsidRPr="00860D21">
        <w:rPr>
          <w:lang w:val="es-ES_tradnl"/>
        </w:rPr>
        <w:lastRenderedPageBreak/>
        <w:t>MOD</w:t>
      </w:r>
      <w:r w:rsidRPr="00860D21">
        <w:rPr>
          <w:lang w:val="es-ES_tradnl"/>
        </w:rPr>
        <w:tab/>
        <w:t>CL/24</w:t>
      </w:r>
      <w:r w:rsidR="00B05327">
        <w:rPr>
          <w:lang w:val="es-ES_tradnl"/>
        </w:rPr>
        <w:t>A3</w:t>
      </w:r>
      <w:r w:rsidRPr="00860D21">
        <w:rPr>
          <w:lang w:val="es-ES_tradnl"/>
        </w:rPr>
        <w:t>/1</w:t>
      </w:r>
    </w:p>
    <w:p w:rsidR="00B05327" w:rsidRDefault="00B05327" w:rsidP="00B05327">
      <w:pPr>
        <w:pStyle w:val="AnnexNo"/>
      </w:pPr>
      <w:r w:rsidRPr="008D0597">
        <w:t>ANEXO 3 A LA RESOLUCIÓN 71</w:t>
      </w:r>
      <w:r>
        <w:t xml:space="preserve"> (rev. dubái, 2018)</w:t>
      </w:r>
    </w:p>
    <w:p w:rsidR="00B05327" w:rsidRDefault="00B05327" w:rsidP="00B05327">
      <w:pPr>
        <w:pStyle w:val="Annextitle"/>
      </w:pPr>
      <w:r w:rsidRPr="008D0597">
        <w:t>Glosario de términos</w:t>
      </w:r>
    </w:p>
    <w:p w:rsidR="00B05327" w:rsidRPr="00B05327" w:rsidRDefault="00B05327" w:rsidP="00B0532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7465"/>
      </w:tblGrid>
      <w:tr w:rsidR="00B05327" w:rsidRPr="008D0597" w:rsidTr="007F746C">
        <w:trPr>
          <w:tblHeader/>
        </w:trPr>
        <w:tc>
          <w:tcPr>
            <w:tcW w:w="1913" w:type="dxa"/>
            <w:shd w:val="clear" w:color="auto" w:fill="B8CCE4"/>
          </w:tcPr>
          <w:p w:rsidR="00B05327" w:rsidRPr="008D0597" w:rsidRDefault="00B05327" w:rsidP="007F746C">
            <w:pPr>
              <w:pStyle w:val="Tablehead"/>
            </w:pPr>
            <w:r w:rsidRPr="008D0597">
              <w:t>Término</w:t>
            </w:r>
          </w:p>
        </w:tc>
        <w:tc>
          <w:tcPr>
            <w:tcW w:w="7716" w:type="dxa"/>
            <w:shd w:val="clear" w:color="auto" w:fill="B8CCE4"/>
          </w:tcPr>
          <w:p w:rsidR="00B05327" w:rsidRPr="008D0597" w:rsidRDefault="00B05327" w:rsidP="007F746C">
            <w:pPr>
              <w:pStyle w:val="Tablehead"/>
            </w:pPr>
            <w:r w:rsidRPr="008D0597">
              <w:t>Versión de trabajo</w:t>
            </w:r>
          </w:p>
        </w:tc>
      </w:tr>
      <w:tr w:rsidR="00B05327" w:rsidRPr="008D0597" w:rsidTr="007F746C">
        <w:tc>
          <w:tcPr>
            <w:tcW w:w="1913" w:type="dxa"/>
          </w:tcPr>
          <w:p w:rsidR="00B05327" w:rsidRPr="008D0597" w:rsidRDefault="00B05327" w:rsidP="007F746C">
            <w:pPr>
              <w:pStyle w:val="Tabletext"/>
            </w:pPr>
            <w:r w:rsidRPr="008D0597">
              <w:t>Actividades</w:t>
            </w:r>
          </w:p>
        </w:tc>
        <w:tc>
          <w:tcPr>
            <w:tcW w:w="7716" w:type="dxa"/>
          </w:tcPr>
          <w:p w:rsidR="00B05327" w:rsidRPr="008D0597" w:rsidRDefault="00B05327" w:rsidP="007F746C">
            <w:pPr>
              <w:pStyle w:val="Tabletext"/>
            </w:pPr>
            <w:r w:rsidRPr="008D0597">
              <w:t>Las actividades son diversas acciones/servicios para transformar los recursos (aportaciones) en resultados</w:t>
            </w:r>
            <w:r w:rsidRPr="008D0597">
              <w:rPr>
                <w:rStyle w:val="FootnoteReference"/>
              </w:rPr>
              <w:footnoteReference w:id="1"/>
            </w:r>
            <w:r w:rsidRPr="008D0597">
              <w:t>.</w:t>
            </w:r>
          </w:p>
        </w:tc>
      </w:tr>
      <w:tr w:rsidR="00B05327" w:rsidRPr="008D0597" w:rsidTr="007F746C">
        <w:tc>
          <w:tcPr>
            <w:tcW w:w="1913" w:type="dxa"/>
          </w:tcPr>
          <w:p w:rsidR="00B05327" w:rsidRPr="008D0597" w:rsidRDefault="00B05327" w:rsidP="007F746C">
            <w:pPr>
              <w:pStyle w:val="Tabletext"/>
            </w:pPr>
            <w:r w:rsidRPr="008D0597">
              <w:t>Plan Financiero</w:t>
            </w:r>
          </w:p>
        </w:tc>
        <w:tc>
          <w:tcPr>
            <w:tcW w:w="7716" w:type="dxa"/>
          </w:tcPr>
          <w:p w:rsidR="00B05327" w:rsidRPr="008D0597" w:rsidRDefault="00B05327" w:rsidP="007F746C">
            <w:pPr>
              <w:pStyle w:val="Tabletext"/>
            </w:pPr>
            <w:r w:rsidRPr="008D0597">
              <w:t>El Plan Financiero abarca un periodo de cuatro años y establece las bases financieras a partir de las cuales se elaboran los presupuestos bienales.</w:t>
            </w:r>
          </w:p>
          <w:p w:rsidR="00B05327" w:rsidRPr="008D0597" w:rsidRDefault="00B05327" w:rsidP="007F746C">
            <w:pPr>
              <w:pStyle w:val="Tabletext"/>
            </w:pPr>
            <w:r w:rsidRPr="008D0597">
              <w:t xml:space="preserve">El Plan Financiero se elabora en el contexto de la Decisión 5 (Ingresos y gastos de la Unión) donde se indica, entre otras cosas, el importe de la unidad contributiva aprobada por la Conferencia de Plenipotenciarios. </w:t>
            </w:r>
            <w:r w:rsidRPr="000E03AD">
              <w:t>Está vinculado al Plan Estratégico, de acuerdo con lo dispuesto en la Resolución 71, mediante la atribución de recursos financieros a los objetivos estratégicos de la Unión</w:t>
            </w:r>
            <w:r w:rsidRPr="008D0597">
              <w:t>.</w:t>
            </w:r>
          </w:p>
        </w:tc>
      </w:tr>
      <w:tr w:rsidR="00B05327" w:rsidRPr="008D0597" w:rsidTr="007F746C">
        <w:tc>
          <w:tcPr>
            <w:tcW w:w="1913" w:type="dxa"/>
          </w:tcPr>
          <w:p w:rsidR="00B05327" w:rsidRPr="008D0597" w:rsidRDefault="00B05327" w:rsidP="007F746C">
            <w:pPr>
              <w:pStyle w:val="Tabletext"/>
            </w:pPr>
            <w:r w:rsidRPr="008D0597">
              <w:t>Insumos</w:t>
            </w:r>
          </w:p>
        </w:tc>
        <w:tc>
          <w:tcPr>
            <w:tcW w:w="7716" w:type="dxa"/>
          </w:tcPr>
          <w:p w:rsidR="00B05327" w:rsidRPr="008D0597" w:rsidRDefault="00B05327" w:rsidP="007F746C">
            <w:pPr>
              <w:pStyle w:val="Tabletext"/>
            </w:pPr>
            <w:r w:rsidRPr="008D0597">
              <w:t>Los insumos son recursos, por ejemplo, financieros, humanos, materiales y tecnológicos, utilizados por actividades para elaborar productos.</w:t>
            </w:r>
          </w:p>
        </w:tc>
      </w:tr>
      <w:tr w:rsidR="00B05327" w:rsidRPr="008D0597" w:rsidTr="007F746C">
        <w:tc>
          <w:tcPr>
            <w:tcW w:w="1913" w:type="dxa"/>
          </w:tcPr>
          <w:p w:rsidR="00B05327" w:rsidRPr="008D0597" w:rsidRDefault="00B05327" w:rsidP="007F746C">
            <w:pPr>
              <w:pStyle w:val="Tabletext"/>
            </w:pPr>
            <w:r w:rsidRPr="008D0597">
              <w:t>Misión</w:t>
            </w:r>
          </w:p>
        </w:tc>
        <w:tc>
          <w:tcPr>
            <w:tcW w:w="7716" w:type="dxa"/>
          </w:tcPr>
          <w:p w:rsidR="00B05327" w:rsidRPr="008D0597" w:rsidRDefault="00B05327" w:rsidP="007F746C">
            <w:pPr>
              <w:pStyle w:val="Tabletext"/>
            </w:pPr>
            <w:r w:rsidRPr="008D0597">
              <w:t>La misión se refiere a los principales fines globales de la Unión, estipulados en los instrumentos fundamentales de la UIT.</w:t>
            </w:r>
          </w:p>
        </w:tc>
      </w:tr>
      <w:tr w:rsidR="00B05327" w:rsidRPr="008D0597" w:rsidTr="007F746C">
        <w:tc>
          <w:tcPr>
            <w:tcW w:w="1913" w:type="dxa"/>
          </w:tcPr>
          <w:p w:rsidR="00B05327" w:rsidRPr="008D0597" w:rsidRDefault="00B05327" w:rsidP="007F746C">
            <w:pPr>
              <w:pStyle w:val="Tabletext"/>
            </w:pPr>
            <w:r w:rsidRPr="008D0597">
              <w:t xml:space="preserve">Objetivos </w:t>
            </w:r>
          </w:p>
        </w:tc>
        <w:tc>
          <w:tcPr>
            <w:tcW w:w="7716" w:type="dxa"/>
          </w:tcPr>
          <w:p w:rsidR="00B05327" w:rsidRPr="008D0597" w:rsidRDefault="00B05327" w:rsidP="007F746C">
            <w:pPr>
              <w:pStyle w:val="Tabletext"/>
            </w:pPr>
            <w:r w:rsidRPr="008D0597">
              <w:t>Los objetivos se refieren a los propósitos del Sector y de las actividades intersectoriales específicos para un periodo determinado.</w:t>
            </w:r>
          </w:p>
        </w:tc>
      </w:tr>
      <w:tr w:rsidR="00B05327" w:rsidRPr="008D0597" w:rsidTr="007F746C">
        <w:tc>
          <w:tcPr>
            <w:tcW w:w="1913" w:type="dxa"/>
          </w:tcPr>
          <w:p w:rsidR="00B05327" w:rsidRPr="008D0597" w:rsidRDefault="00B05327" w:rsidP="007F746C">
            <w:pPr>
              <w:pStyle w:val="Tabletext"/>
            </w:pPr>
            <w:r w:rsidRPr="008D0597">
              <w:t xml:space="preserve">Plan Operacional </w:t>
            </w:r>
          </w:p>
        </w:tc>
        <w:tc>
          <w:tcPr>
            <w:tcW w:w="7716" w:type="dxa"/>
          </w:tcPr>
          <w:p w:rsidR="00B05327" w:rsidRPr="008D0597" w:rsidRDefault="00B05327" w:rsidP="007F746C">
            <w:pPr>
              <w:pStyle w:val="Tabletext"/>
            </w:pPr>
            <w:r w:rsidRPr="008D0597">
              <w:t>Las Oficinas y la Secretaría General preparan cada año sus respectivos Planes Operacionales en consulta con los Grupos Asesores correspondientes y de conformidad con los Planes Estratégico y Financiero. Contiene el plan detallado para el año siguiente y una previsión sobre el periodo trienal siguiente para cada Sector. El Consejo examina y aprueba los Planes Operacionales cuadrienales renovables.</w:t>
            </w:r>
          </w:p>
        </w:tc>
      </w:tr>
      <w:tr w:rsidR="00B05327" w:rsidRPr="008D0597" w:rsidTr="007F746C">
        <w:tc>
          <w:tcPr>
            <w:tcW w:w="1913" w:type="dxa"/>
          </w:tcPr>
          <w:p w:rsidR="00B05327" w:rsidRPr="008D0597" w:rsidRDefault="00B05327" w:rsidP="007F746C">
            <w:pPr>
              <w:pStyle w:val="Tabletext"/>
            </w:pPr>
            <w:r w:rsidRPr="008D0597">
              <w:t xml:space="preserve">Resultados </w:t>
            </w:r>
          </w:p>
        </w:tc>
        <w:tc>
          <w:tcPr>
            <w:tcW w:w="7716" w:type="dxa"/>
          </w:tcPr>
          <w:p w:rsidR="00B05327" w:rsidRPr="008D0597" w:rsidRDefault="00B05327" w:rsidP="007F746C">
            <w:pPr>
              <w:pStyle w:val="Tabletext"/>
            </w:pPr>
            <w:r w:rsidRPr="008D0597">
              <w:t>Los resultados indican si se está cumpliendo el objetivo. Habitualmente, los resultados están parcial, pero no totalmente, bajo el control de la organización.</w:t>
            </w:r>
            <w:r w:rsidRPr="008D0597">
              <w:rPr>
                <w:vertAlign w:val="superscript"/>
              </w:rPr>
              <w:t>1</w:t>
            </w:r>
          </w:p>
        </w:tc>
      </w:tr>
      <w:tr w:rsidR="00B05327" w:rsidRPr="008D0597" w:rsidTr="007F746C">
        <w:tc>
          <w:tcPr>
            <w:tcW w:w="1913" w:type="dxa"/>
          </w:tcPr>
          <w:p w:rsidR="00B05327" w:rsidRPr="008D0597" w:rsidRDefault="00B05327" w:rsidP="007F746C">
            <w:pPr>
              <w:pStyle w:val="Tabletext"/>
            </w:pPr>
            <w:r w:rsidRPr="008D0597">
              <w:t>Productos</w:t>
            </w:r>
          </w:p>
        </w:tc>
        <w:tc>
          <w:tcPr>
            <w:tcW w:w="7716" w:type="dxa"/>
          </w:tcPr>
          <w:p w:rsidR="00B05327" w:rsidRPr="008D0597" w:rsidRDefault="00B05327" w:rsidP="007F746C">
            <w:pPr>
              <w:pStyle w:val="Tabletext"/>
              <w:keepLines/>
            </w:pPr>
            <w:r w:rsidRPr="008D0597">
              <w:t>Los productos son los resultados tangibles finales, los documentos, los productos y los servicios facilitados por la Unión en la aplicación de los Planes Operacionales. Los productos son objetos de costes y están representados como pedidos internos en el sistema de contabilidad de costes aplicable.</w:t>
            </w:r>
          </w:p>
        </w:tc>
      </w:tr>
      <w:tr w:rsidR="00B05327" w:rsidRPr="008D0597" w:rsidTr="007F746C">
        <w:tc>
          <w:tcPr>
            <w:tcW w:w="1913" w:type="dxa"/>
          </w:tcPr>
          <w:p w:rsidR="00B05327" w:rsidRPr="008D0597" w:rsidRDefault="00B05327" w:rsidP="007F746C">
            <w:pPr>
              <w:pStyle w:val="Tabletext"/>
            </w:pPr>
            <w:r w:rsidRPr="008D0597">
              <w:t xml:space="preserve">Indicadores de rendimiento </w:t>
            </w:r>
          </w:p>
        </w:tc>
        <w:tc>
          <w:tcPr>
            <w:tcW w:w="7716" w:type="dxa"/>
          </w:tcPr>
          <w:p w:rsidR="00B05327" w:rsidRPr="008D0597" w:rsidRDefault="00B05327" w:rsidP="007F746C">
            <w:pPr>
              <w:pStyle w:val="Tabletext"/>
            </w:pPr>
            <w:r w:rsidRPr="008D0597">
              <w:t>Los indicadores de rendimiento son los criterios utilizados para medir el grado en el cual se han alcanzado los resultados o los objetivos. Estos indicadores pueden ser cualitativos o cuantitativos.</w:t>
            </w:r>
          </w:p>
        </w:tc>
      </w:tr>
      <w:tr w:rsidR="00B05327" w:rsidRPr="008D0597" w:rsidTr="007F746C">
        <w:tc>
          <w:tcPr>
            <w:tcW w:w="1913" w:type="dxa"/>
          </w:tcPr>
          <w:p w:rsidR="00B05327" w:rsidRPr="008D0597" w:rsidRDefault="00B05327" w:rsidP="007F746C">
            <w:pPr>
              <w:pStyle w:val="Tabletext"/>
            </w:pPr>
            <w:r w:rsidRPr="008D0597">
              <w:t>Procesos</w:t>
            </w:r>
          </w:p>
        </w:tc>
        <w:tc>
          <w:tcPr>
            <w:tcW w:w="7716" w:type="dxa"/>
          </w:tcPr>
          <w:p w:rsidR="00B05327" w:rsidRPr="008D0597" w:rsidRDefault="00B05327" w:rsidP="007F746C">
            <w:pPr>
              <w:pStyle w:val="Tabletext"/>
            </w:pPr>
            <w:r w:rsidRPr="008D0597">
              <w:t>Conjunto de actividades coherentes destinadas a alcanzar un objetivo/meta deseado.</w:t>
            </w:r>
          </w:p>
        </w:tc>
      </w:tr>
      <w:tr w:rsidR="00B05327" w:rsidRPr="008D0597" w:rsidTr="007F746C">
        <w:tc>
          <w:tcPr>
            <w:tcW w:w="1913" w:type="dxa"/>
          </w:tcPr>
          <w:p w:rsidR="00B05327" w:rsidRPr="008D0597" w:rsidRDefault="00B05327" w:rsidP="007F746C">
            <w:pPr>
              <w:pStyle w:val="Tabletext"/>
            </w:pPr>
            <w:r w:rsidRPr="008D0597">
              <w:t>Presupuesto basado en los resultados (PBR)</w:t>
            </w:r>
          </w:p>
        </w:tc>
        <w:tc>
          <w:tcPr>
            <w:tcW w:w="7716" w:type="dxa"/>
          </w:tcPr>
          <w:p w:rsidR="00B05327" w:rsidRPr="008D0597" w:rsidRDefault="00B05327" w:rsidP="007F746C">
            <w:pPr>
              <w:pStyle w:val="Tabletext"/>
            </w:pPr>
            <w:r w:rsidRPr="008D0597">
              <w:t>El presupuesto basado en los resultados (PBR) es el proceso de elaboración del presupuesto por programas en el que: a) la formulación de programas tiene por objeto alcanzar objetivos y resultados predeterminados; b) los resultados justifican la necesidad de recursos, que provienen de productos elaborados y guardan relación con los mismos, para lograr los resultados previstos; y c) los indicadores de resultados permiten evaluar los resultados realmente alcanzados.</w:t>
            </w:r>
          </w:p>
        </w:tc>
      </w:tr>
      <w:tr w:rsidR="00B05327" w:rsidRPr="008D0597" w:rsidTr="007F746C">
        <w:tc>
          <w:tcPr>
            <w:tcW w:w="1913" w:type="dxa"/>
          </w:tcPr>
          <w:p w:rsidR="00B05327" w:rsidRPr="008D0597" w:rsidRDefault="00B05327" w:rsidP="007F746C">
            <w:pPr>
              <w:pStyle w:val="Tabletext"/>
            </w:pPr>
            <w:r w:rsidRPr="008D0597">
              <w:t>Gestión basada en los resultados (GBR)</w:t>
            </w:r>
          </w:p>
        </w:tc>
        <w:tc>
          <w:tcPr>
            <w:tcW w:w="7716" w:type="dxa"/>
          </w:tcPr>
          <w:p w:rsidR="00B05327" w:rsidRPr="008D0597" w:rsidRDefault="00B05327" w:rsidP="007F746C">
            <w:pPr>
              <w:pStyle w:val="Tabletext"/>
            </w:pPr>
            <w:r w:rsidRPr="008D0597">
              <w:t>La gestión basada en los resultados (GBR) es un sistema de gestión que orienta procesos, recursos, productos y servicios de la organización para alcanzar resultados medibles. Proporciona los marcos e instrumentos de gestión para la planificación estratégica, la gestión de riesgos, la supervisión y evaluación del rendimiento y las actividades de financiación basadas en resultados fijados.</w:t>
            </w:r>
          </w:p>
        </w:tc>
      </w:tr>
      <w:tr w:rsidR="00B05327" w:rsidRPr="008D0597" w:rsidTr="007F746C">
        <w:tc>
          <w:tcPr>
            <w:tcW w:w="1913" w:type="dxa"/>
          </w:tcPr>
          <w:p w:rsidR="00B05327" w:rsidRPr="008D0597" w:rsidRDefault="00B05327" w:rsidP="007F746C">
            <w:pPr>
              <w:pStyle w:val="Tabletext"/>
            </w:pPr>
            <w:r w:rsidRPr="008D0597">
              <w:t xml:space="preserve">Marco de resultados </w:t>
            </w:r>
          </w:p>
        </w:tc>
        <w:tc>
          <w:tcPr>
            <w:tcW w:w="7716" w:type="dxa"/>
          </w:tcPr>
          <w:p w:rsidR="00B05327" w:rsidRPr="008D0597" w:rsidRDefault="00B05327" w:rsidP="007F746C">
            <w:pPr>
              <w:pStyle w:val="Tabletext"/>
            </w:pPr>
            <w:r w:rsidRPr="008D0597">
              <w:t>Un marco de resultados es la herramienta de gestión estratégica utilizada para planificar, controlar, evaluar e informar en el método de la GBR. Proporciona la secuencia necesaria para lograr los resultados deseados (cadena de resultados) –comenzando con los insumos, pasando por las actividades y productos, hasta llegar a los resultados – a escala de los objetivos del Sector e intersectoriales, y el nivel de repercusión de las metas y finalidades a escala de toda la UIT. Explica cómo han de lograrse los resultados, incluyendo las relaciones causales y las hipótesis y riesgos subyacentes. El marco de resultados refleja la reflexión en el plano estratégico en toda la organización.</w:t>
            </w:r>
          </w:p>
        </w:tc>
      </w:tr>
      <w:tr w:rsidR="00B05327" w:rsidRPr="008D0597" w:rsidTr="007F746C">
        <w:tc>
          <w:tcPr>
            <w:tcW w:w="1913" w:type="dxa"/>
          </w:tcPr>
          <w:p w:rsidR="00B05327" w:rsidRPr="008D0597" w:rsidRDefault="00B05327" w:rsidP="007F746C">
            <w:pPr>
              <w:pStyle w:val="Tabletext"/>
            </w:pPr>
            <w:r w:rsidRPr="008D0597">
              <w:t>Metas estratégicas</w:t>
            </w:r>
          </w:p>
        </w:tc>
        <w:tc>
          <w:tcPr>
            <w:tcW w:w="7716" w:type="dxa"/>
          </w:tcPr>
          <w:p w:rsidR="00B05327" w:rsidRPr="008D0597" w:rsidRDefault="00B05327" w:rsidP="007F746C">
            <w:pPr>
              <w:pStyle w:val="Tabletext"/>
            </w:pPr>
            <w:r w:rsidRPr="008D0597">
              <w:t>Las metas estratégicas son los propósitos de alto nivel de la Unión a los cuales contribuyen, directa o indirectamente, los objetivos. Se refieren a toda la UIT.</w:t>
            </w:r>
          </w:p>
        </w:tc>
      </w:tr>
      <w:tr w:rsidR="00B05327" w:rsidRPr="008D0597" w:rsidTr="007F746C">
        <w:tc>
          <w:tcPr>
            <w:tcW w:w="1913" w:type="dxa"/>
          </w:tcPr>
          <w:p w:rsidR="00B05327" w:rsidRPr="008D0597" w:rsidRDefault="00B05327" w:rsidP="007F746C">
            <w:pPr>
              <w:pStyle w:val="Tabletext"/>
            </w:pPr>
            <w:r w:rsidRPr="008D0597">
              <w:t>Plan Estratégico</w:t>
            </w:r>
          </w:p>
        </w:tc>
        <w:tc>
          <w:tcPr>
            <w:tcW w:w="7716" w:type="dxa"/>
          </w:tcPr>
          <w:p w:rsidR="00B05327" w:rsidRPr="008D0597" w:rsidRDefault="00B05327" w:rsidP="007F746C">
            <w:pPr>
              <w:pStyle w:val="Tabletext"/>
            </w:pPr>
            <w:r w:rsidRPr="008D0597">
              <w:t>El Plan Estratégico define la estrategia de la Unión para un periodo cuatrienal a fin de que ésta cumpla su misión. Define metas y objetivos estratégicos y representa el plan de la Unión para ese periodo. Es el principal instrumento que encarna la noción estratégica de la Unión. El Plan Estratégico debería ejecutarse en el contexto de los límites financieros fijados por la Conferencia de Plenipotenciarios.</w:t>
            </w:r>
          </w:p>
        </w:tc>
      </w:tr>
      <w:tr w:rsidR="00B05327" w:rsidRPr="008D0597" w:rsidTr="007F746C">
        <w:tc>
          <w:tcPr>
            <w:tcW w:w="1913" w:type="dxa"/>
          </w:tcPr>
          <w:p w:rsidR="00B05327" w:rsidRPr="008D0597" w:rsidRDefault="00B05327" w:rsidP="007F746C">
            <w:pPr>
              <w:pStyle w:val="Tabletext"/>
            </w:pPr>
            <w:r w:rsidRPr="008D0597">
              <w:t>Riesgos estratégicos</w:t>
            </w:r>
          </w:p>
        </w:tc>
        <w:tc>
          <w:tcPr>
            <w:tcW w:w="7716" w:type="dxa"/>
          </w:tcPr>
          <w:p w:rsidR="00B05327" w:rsidRPr="008D0597" w:rsidRDefault="00B05327" w:rsidP="007F746C">
            <w:pPr>
              <w:pStyle w:val="Tabletext"/>
            </w:pPr>
            <w:r w:rsidRPr="008D0597">
              <w:t>Se entiende por riesgos estratégicos las incertidumbres y oportunidades desaprovechadas que afectan a la estrategia de la organización y su ejecución.</w:t>
            </w:r>
          </w:p>
        </w:tc>
      </w:tr>
      <w:tr w:rsidR="00B05327" w:rsidRPr="008D0597" w:rsidTr="007F746C">
        <w:tc>
          <w:tcPr>
            <w:tcW w:w="1913" w:type="dxa"/>
          </w:tcPr>
          <w:p w:rsidR="00B05327" w:rsidRPr="008D0597" w:rsidRDefault="00B05327" w:rsidP="007F746C">
            <w:pPr>
              <w:pStyle w:val="Tabletext"/>
            </w:pPr>
            <w:r w:rsidRPr="008D0597">
              <w:t>Gestión de riesgos estratégicos (GRE)</w:t>
            </w:r>
          </w:p>
        </w:tc>
        <w:tc>
          <w:tcPr>
            <w:tcW w:w="7716" w:type="dxa"/>
          </w:tcPr>
          <w:p w:rsidR="00B05327" w:rsidRPr="008D0597" w:rsidRDefault="00B05327" w:rsidP="007F746C">
            <w:pPr>
              <w:pStyle w:val="Tabletext"/>
            </w:pPr>
            <w:r w:rsidRPr="008D0597">
              <w:t>La gestión de riesgos estratégicos (GRE) es un sistema de gestión que identifica y centra la atención en incertidumbres y oportunidades desaprovechadas que afectan a la capacidad de la organización de cumplir su misión.</w:t>
            </w:r>
          </w:p>
        </w:tc>
      </w:tr>
      <w:tr w:rsidR="00B05327" w:rsidRPr="008D0597" w:rsidTr="007F746C">
        <w:tc>
          <w:tcPr>
            <w:tcW w:w="1913" w:type="dxa"/>
          </w:tcPr>
          <w:p w:rsidR="00B05327" w:rsidRPr="008D0597" w:rsidRDefault="00B05327" w:rsidP="007F746C">
            <w:pPr>
              <w:pStyle w:val="Tabletext"/>
            </w:pPr>
            <w:r w:rsidRPr="008D0597">
              <w:t>Finalidad estratégica</w:t>
            </w:r>
          </w:p>
        </w:tc>
        <w:tc>
          <w:tcPr>
            <w:tcW w:w="7716" w:type="dxa"/>
          </w:tcPr>
          <w:p w:rsidR="00B05327" w:rsidRPr="008D0597" w:rsidRDefault="00B05327" w:rsidP="007F746C">
            <w:pPr>
              <w:pStyle w:val="Tabletext"/>
            </w:pPr>
            <w:r w:rsidRPr="008D0597">
              <w:t>Las Finalidades Estratégicas son los resultados previstos durante el periodo que abarca el Plan Estratégico; indican si se ha alcanzado la Meta. Las finalidades no siempre pueden alcanzarse por motivos que pueden escapar al control de la Unión.</w:t>
            </w:r>
          </w:p>
        </w:tc>
      </w:tr>
      <w:tr w:rsidR="00B05327" w:rsidRPr="008D0597" w:rsidTr="007F746C">
        <w:tc>
          <w:tcPr>
            <w:tcW w:w="1913" w:type="dxa"/>
          </w:tcPr>
          <w:p w:rsidR="00B05327" w:rsidRPr="008D0597" w:rsidRDefault="00B05327" w:rsidP="007F746C">
            <w:pPr>
              <w:pStyle w:val="Tabletext"/>
            </w:pPr>
            <w:r w:rsidRPr="008D0597">
              <w:t>Análisis de fortalezas, debilidades, oportunidades y amenazas (SWOT)</w:t>
            </w:r>
          </w:p>
        </w:tc>
        <w:tc>
          <w:tcPr>
            <w:tcW w:w="7716" w:type="dxa"/>
          </w:tcPr>
          <w:p w:rsidR="00B05327" w:rsidRPr="008D0597" w:rsidRDefault="00B05327" w:rsidP="007F746C">
            <w:pPr>
              <w:pStyle w:val="Tabletext"/>
            </w:pPr>
            <w:r w:rsidRPr="008D0597">
              <w:t>Un estudio realizado por una organización a fin de encontrar sus fortalezas y debilidades, y los problemas y oportunidades que deberá tratar. La sigla SWOT procede de las iniciales de las palabras inglesas "</w:t>
            </w:r>
            <w:proofErr w:type="spellStart"/>
            <w:r w:rsidRPr="008D0597">
              <w:t>strengths</w:t>
            </w:r>
            <w:proofErr w:type="spellEnd"/>
            <w:r w:rsidRPr="008D0597">
              <w:t>", "</w:t>
            </w:r>
            <w:proofErr w:type="spellStart"/>
            <w:r w:rsidRPr="008D0597">
              <w:t>weaknesses</w:t>
            </w:r>
            <w:proofErr w:type="spellEnd"/>
            <w:r w:rsidRPr="008D0597">
              <w:t>", "</w:t>
            </w:r>
            <w:proofErr w:type="spellStart"/>
            <w:r w:rsidRPr="008D0597">
              <w:t>opportunities</w:t>
            </w:r>
            <w:proofErr w:type="spellEnd"/>
            <w:r w:rsidRPr="008D0597">
              <w:t>" y "</w:t>
            </w:r>
            <w:proofErr w:type="spellStart"/>
            <w:r w:rsidRPr="008D0597">
              <w:t>threats</w:t>
            </w:r>
            <w:proofErr w:type="spellEnd"/>
            <w:r w:rsidRPr="008D0597">
              <w:t>".</w:t>
            </w:r>
          </w:p>
          <w:p w:rsidR="00B05327" w:rsidRPr="006F1A3F" w:rsidRDefault="00B05327" w:rsidP="007F746C">
            <w:pPr>
              <w:pStyle w:val="Tabletext"/>
            </w:pPr>
            <w:r w:rsidRPr="006F1A3F">
              <w:t>Factores internos:</w:t>
            </w:r>
          </w:p>
          <w:p w:rsidR="00B05327" w:rsidRPr="006F1A3F" w:rsidRDefault="00B05327" w:rsidP="007F746C">
            <w:pPr>
              <w:pStyle w:val="Tabletext"/>
              <w:tabs>
                <w:tab w:val="left" w:pos="372"/>
              </w:tabs>
              <w:ind w:left="372" w:hanging="372"/>
            </w:pPr>
            <w:r w:rsidRPr="006F1A3F">
              <w:t>–</w:t>
            </w:r>
            <w:r w:rsidRPr="006F1A3F">
              <w:tab/>
            </w:r>
            <w:r w:rsidRPr="006F1A3F">
              <w:rPr>
                <w:i/>
                <w:iCs/>
              </w:rPr>
              <w:t>Fortalezas</w:t>
            </w:r>
            <w:r w:rsidRPr="006F1A3F">
              <w:t xml:space="preserve"> son las capacidades que permiten a la organización obtener buenos resultados – capacidades que han de aprovecharse.</w:t>
            </w:r>
          </w:p>
          <w:p w:rsidR="00B05327" w:rsidRPr="006F1A3F" w:rsidRDefault="00B05327" w:rsidP="007F746C">
            <w:pPr>
              <w:pStyle w:val="Tabletext"/>
              <w:tabs>
                <w:tab w:val="left" w:pos="372"/>
              </w:tabs>
              <w:ind w:left="372" w:hanging="372"/>
            </w:pPr>
            <w:r w:rsidRPr="006F1A3F">
              <w:t>–</w:t>
            </w:r>
            <w:r w:rsidRPr="006F1A3F">
              <w:tab/>
            </w:r>
            <w:r w:rsidRPr="006F1A3F">
              <w:rPr>
                <w:i/>
                <w:iCs/>
              </w:rPr>
              <w:t>Debilidades</w:t>
            </w:r>
            <w:r w:rsidRPr="006F1A3F">
              <w:t xml:space="preserve"> son características que afectan al buen funcionamiento de la organización y que han de resolverse.</w:t>
            </w:r>
          </w:p>
          <w:p w:rsidR="00B05327" w:rsidRPr="006F1A3F" w:rsidRDefault="00B05327" w:rsidP="007F746C">
            <w:pPr>
              <w:pStyle w:val="Tabletext"/>
            </w:pPr>
            <w:r w:rsidRPr="006F1A3F">
              <w:t>Factores externos:</w:t>
            </w:r>
          </w:p>
          <w:p w:rsidR="00B05327" w:rsidRPr="006F1A3F" w:rsidRDefault="00B05327" w:rsidP="007F746C">
            <w:pPr>
              <w:pStyle w:val="Tabletext"/>
              <w:tabs>
                <w:tab w:val="left" w:pos="372"/>
              </w:tabs>
              <w:ind w:left="372" w:hanging="372"/>
            </w:pPr>
            <w:r w:rsidRPr="006F1A3F">
              <w:t>–</w:t>
            </w:r>
            <w:r w:rsidRPr="006F1A3F">
              <w:tab/>
            </w:r>
            <w:r w:rsidRPr="006F1A3F">
              <w:rPr>
                <w:i/>
                <w:iCs/>
              </w:rPr>
              <w:t>Oportunidades</w:t>
            </w:r>
            <w:r w:rsidRPr="006F1A3F">
              <w:t xml:space="preserve"> son tendencias, fuerzas, eventos e ideas que la organización puede aprovechar.</w:t>
            </w:r>
          </w:p>
          <w:p w:rsidR="00B05327" w:rsidRPr="008D0597" w:rsidRDefault="00B05327" w:rsidP="007F746C">
            <w:pPr>
              <w:pStyle w:val="Tabletext"/>
              <w:tabs>
                <w:tab w:val="left" w:pos="372"/>
              </w:tabs>
              <w:ind w:left="372" w:hanging="372"/>
            </w:pPr>
            <w:r w:rsidRPr="006F1A3F">
              <w:t>–</w:t>
            </w:r>
            <w:r w:rsidRPr="006F1A3F">
              <w:tab/>
            </w:r>
            <w:r w:rsidRPr="006F1A3F">
              <w:rPr>
                <w:i/>
                <w:iCs/>
              </w:rPr>
              <w:t>Amenazas</w:t>
            </w:r>
            <w:r w:rsidRPr="006F1A3F">
              <w:t xml:space="preserve"> son posibles eventos o fuerzas que escapan al control de la organización y que la organización tiene que mitigar.</w:t>
            </w:r>
          </w:p>
        </w:tc>
      </w:tr>
      <w:tr w:rsidR="00B05327" w:rsidRPr="008D0597" w:rsidTr="007F746C">
        <w:tc>
          <w:tcPr>
            <w:tcW w:w="1913" w:type="dxa"/>
          </w:tcPr>
          <w:p w:rsidR="00B05327" w:rsidRPr="008D0597" w:rsidRDefault="00B05327" w:rsidP="007F746C">
            <w:pPr>
              <w:pStyle w:val="Tabletext"/>
            </w:pPr>
            <w:r w:rsidRPr="008D0597">
              <w:t>Valores</w:t>
            </w:r>
          </w:p>
        </w:tc>
        <w:tc>
          <w:tcPr>
            <w:tcW w:w="7716" w:type="dxa"/>
          </w:tcPr>
          <w:p w:rsidR="00B05327" w:rsidRPr="008D0597" w:rsidRDefault="00B05327" w:rsidP="007F746C">
            <w:pPr>
              <w:pStyle w:val="Tabletext"/>
            </w:pPr>
            <w:r w:rsidRPr="008D0597">
              <w:t>Principios compartidos y comunes de la UIT que definen sus prioridades y orientan todos los procesos de adopción de decisiones.</w:t>
            </w:r>
          </w:p>
        </w:tc>
      </w:tr>
      <w:tr w:rsidR="00B05327" w:rsidRPr="008D0597" w:rsidTr="007F746C">
        <w:tc>
          <w:tcPr>
            <w:tcW w:w="1913" w:type="dxa"/>
          </w:tcPr>
          <w:p w:rsidR="00B05327" w:rsidRPr="008D0597" w:rsidRDefault="00B05327" w:rsidP="007F746C">
            <w:pPr>
              <w:pStyle w:val="Tabletext"/>
            </w:pPr>
            <w:r w:rsidRPr="008D0597">
              <w:t>Visión</w:t>
            </w:r>
          </w:p>
        </w:tc>
        <w:tc>
          <w:tcPr>
            <w:tcW w:w="7716" w:type="dxa"/>
          </w:tcPr>
          <w:p w:rsidR="00B05327" w:rsidRPr="008D0597" w:rsidRDefault="00B05327" w:rsidP="007F746C">
            <w:pPr>
              <w:pStyle w:val="Tabletext"/>
            </w:pPr>
            <w:r w:rsidRPr="008D0597">
              <w:t>El mundo mejor que desea la UIT.</w:t>
            </w:r>
          </w:p>
        </w:tc>
      </w:tr>
    </w:tbl>
    <w:p w:rsidR="00B05327" w:rsidRPr="008D0597" w:rsidRDefault="00B05327" w:rsidP="00B05327">
      <w:r w:rsidRPr="008D0597">
        <w:br w:type="page"/>
      </w:r>
    </w:p>
    <w:p w:rsidR="00B05327" w:rsidRPr="008D0597" w:rsidRDefault="00B05327" w:rsidP="00B05327">
      <w:pPr>
        <w:pStyle w:val="Heading1"/>
        <w:spacing w:after="240"/>
      </w:pPr>
      <w:bookmarkStart w:id="8" w:name="_Toc394060884"/>
      <w:bookmarkStart w:id="9" w:name="_Toc394064465"/>
      <w:r w:rsidRPr="008D0597">
        <w:t>2</w:t>
      </w:r>
      <w:r w:rsidRPr="008D0597">
        <w:tab/>
        <w:t>Lista de términos en los 6 idiomas oficiales de la Unión</w:t>
      </w:r>
      <w:bookmarkEnd w:id="8"/>
      <w:bookmarkEnd w:id="9"/>
    </w:p>
    <w:tbl>
      <w:tblPr>
        <w:tblpPr w:leftFromText="180" w:rightFromText="180" w:vertAnchor="text" w:horzAnchor="margin" w:tblpXSpec="center" w:tblpY="4"/>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48"/>
        <w:gridCol w:w="1003"/>
        <w:gridCol w:w="1861"/>
        <w:gridCol w:w="1448"/>
        <w:gridCol w:w="1927"/>
        <w:gridCol w:w="1625"/>
      </w:tblGrid>
      <w:tr w:rsidR="00B05327" w:rsidRPr="008D0597" w:rsidTr="007F746C">
        <w:trPr>
          <w:tblHeader/>
        </w:trPr>
        <w:tc>
          <w:tcPr>
            <w:tcW w:w="866" w:type="pct"/>
            <w:tcBorders>
              <w:bottom w:val="single" w:sz="4" w:space="0" w:color="auto"/>
              <w:right w:val="nil"/>
            </w:tcBorders>
            <w:shd w:val="clear" w:color="auto" w:fill="B8CCE4"/>
          </w:tcPr>
          <w:p w:rsidR="00B05327" w:rsidRPr="008D0597" w:rsidRDefault="00B05327" w:rsidP="007F746C">
            <w:pPr>
              <w:spacing w:before="80" w:after="80"/>
              <w:jc w:val="center"/>
              <w:rPr>
                <w:b/>
                <w:bCs/>
                <w:sz w:val="20"/>
              </w:rPr>
            </w:pPr>
            <w:r w:rsidRPr="008D0597">
              <w:rPr>
                <w:b/>
                <w:bCs/>
                <w:sz w:val="20"/>
              </w:rPr>
              <w:t>Inglés</w:t>
            </w:r>
          </w:p>
        </w:tc>
        <w:tc>
          <w:tcPr>
            <w:tcW w:w="527" w:type="pct"/>
            <w:tcBorders>
              <w:left w:val="nil"/>
              <w:bottom w:val="single" w:sz="4" w:space="0" w:color="auto"/>
              <w:right w:val="nil"/>
            </w:tcBorders>
            <w:shd w:val="clear" w:color="auto" w:fill="B8CCE4"/>
          </w:tcPr>
          <w:p w:rsidR="00B05327" w:rsidRPr="008D0597" w:rsidRDefault="00B05327" w:rsidP="007F746C">
            <w:pPr>
              <w:spacing w:before="80" w:after="80"/>
              <w:jc w:val="center"/>
              <w:rPr>
                <w:b/>
                <w:bCs/>
                <w:sz w:val="20"/>
              </w:rPr>
            </w:pPr>
            <w:r w:rsidRPr="008D0597">
              <w:rPr>
                <w:b/>
                <w:bCs/>
                <w:sz w:val="20"/>
              </w:rPr>
              <w:t>Árabe</w:t>
            </w:r>
          </w:p>
        </w:tc>
        <w:tc>
          <w:tcPr>
            <w:tcW w:w="978" w:type="pct"/>
            <w:tcBorders>
              <w:left w:val="nil"/>
              <w:bottom w:val="single" w:sz="4" w:space="0" w:color="auto"/>
              <w:right w:val="nil"/>
            </w:tcBorders>
            <w:shd w:val="clear" w:color="auto" w:fill="B8CCE4"/>
          </w:tcPr>
          <w:p w:rsidR="00B05327" w:rsidRPr="008D0597" w:rsidRDefault="00B05327" w:rsidP="007F746C">
            <w:pPr>
              <w:pStyle w:val="Tablehead"/>
              <w:spacing w:before="80" w:after="80"/>
              <w:rPr>
                <w:bCs/>
                <w:sz w:val="20"/>
              </w:rPr>
            </w:pPr>
            <w:r w:rsidRPr="008D0597">
              <w:rPr>
                <w:bCs/>
                <w:sz w:val="20"/>
              </w:rPr>
              <w:t>Chino</w:t>
            </w:r>
          </w:p>
        </w:tc>
        <w:tc>
          <w:tcPr>
            <w:tcW w:w="761" w:type="pct"/>
            <w:tcBorders>
              <w:left w:val="nil"/>
              <w:bottom w:val="single" w:sz="4" w:space="0" w:color="auto"/>
              <w:right w:val="nil"/>
            </w:tcBorders>
            <w:shd w:val="clear" w:color="auto" w:fill="B8CCE4"/>
          </w:tcPr>
          <w:p w:rsidR="00B05327" w:rsidRPr="008D0597" w:rsidRDefault="00B05327" w:rsidP="007F746C">
            <w:pPr>
              <w:pStyle w:val="Tablehead"/>
              <w:spacing w:before="80" w:after="80"/>
              <w:rPr>
                <w:bCs/>
                <w:sz w:val="20"/>
              </w:rPr>
            </w:pPr>
            <w:r w:rsidRPr="008D0597">
              <w:rPr>
                <w:bCs/>
                <w:sz w:val="20"/>
              </w:rPr>
              <w:t>Francés</w:t>
            </w:r>
          </w:p>
        </w:tc>
        <w:tc>
          <w:tcPr>
            <w:tcW w:w="1013" w:type="pct"/>
            <w:tcBorders>
              <w:left w:val="nil"/>
              <w:bottom w:val="single" w:sz="4" w:space="0" w:color="auto"/>
              <w:right w:val="nil"/>
            </w:tcBorders>
            <w:shd w:val="clear" w:color="auto" w:fill="B8CCE4"/>
          </w:tcPr>
          <w:p w:rsidR="00B05327" w:rsidRPr="008D0597" w:rsidRDefault="00B05327" w:rsidP="007F746C">
            <w:pPr>
              <w:pStyle w:val="Tablehead"/>
              <w:spacing w:before="80" w:after="80"/>
              <w:rPr>
                <w:bCs/>
                <w:sz w:val="20"/>
              </w:rPr>
            </w:pPr>
            <w:r w:rsidRPr="008D0597">
              <w:rPr>
                <w:bCs/>
                <w:sz w:val="20"/>
              </w:rPr>
              <w:t>Ruso</w:t>
            </w:r>
          </w:p>
        </w:tc>
        <w:tc>
          <w:tcPr>
            <w:tcW w:w="854" w:type="pct"/>
            <w:tcBorders>
              <w:left w:val="nil"/>
              <w:bottom w:val="single" w:sz="4" w:space="0" w:color="auto"/>
            </w:tcBorders>
            <w:shd w:val="clear" w:color="auto" w:fill="B8CCE4"/>
          </w:tcPr>
          <w:p w:rsidR="00B05327" w:rsidRPr="008D0597" w:rsidRDefault="00B05327" w:rsidP="007F746C">
            <w:pPr>
              <w:pStyle w:val="Tablehead"/>
              <w:spacing w:before="80" w:after="80"/>
              <w:rPr>
                <w:bCs/>
                <w:sz w:val="20"/>
              </w:rPr>
            </w:pPr>
            <w:r w:rsidRPr="008D0597">
              <w:rPr>
                <w:bCs/>
                <w:sz w:val="20"/>
              </w:rPr>
              <w:t>Español</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Activities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tl/>
                <w:lang w:bidi="ar-EG"/>
              </w:rPr>
            </w:pPr>
            <w:r w:rsidRPr="008D0597">
              <w:rPr>
                <w:rFonts w:ascii="Traditional Arabic" w:hAnsi="Traditional Arabic" w:cs="Traditional Arabic"/>
                <w:spacing w:val="-6"/>
                <w:szCs w:val="24"/>
                <w:rtl/>
              </w:rPr>
              <w:t>الأنشطة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活动</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Activités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Виды</w:t>
            </w:r>
            <w:proofErr w:type="spellEnd"/>
            <w:r w:rsidRPr="008D0597">
              <w:rPr>
                <w:sz w:val="20"/>
              </w:rPr>
              <w:t xml:space="preserve"> </w:t>
            </w:r>
            <w:proofErr w:type="spellStart"/>
            <w:r w:rsidRPr="008D0597">
              <w:rPr>
                <w:sz w:val="20"/>
              </w:rPr>
              <w:t>деятельности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Actividades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Financial</w:t>
            </w:r>
            <w:proofErr w:type="spellEnd"/>
            <w:r w:rsidRPr="008D0597">
              <w:rPr>
                <w:sz w:val="20"/>
              </w:rPr>
              <w:t xml:space="preserve"> plan</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الخطة المالية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财务规划</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 xml:space="preserve">Plan </w:t>
            </w:r>
            <w:proofErr w:type="spellStart"/>
            <w:r w:rsidRPr="008D0597">
              <w:rPr>
                <w:sz w:val="20"/>
              </w:rPr>
              <w:t>financier</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Финансовый</w:t>
            </w:r>
            <w:proofErr w:type="spellEnd"/>
            <w:r w:rsidRPr="008D0597">
              <w:rPr>
                <w:sz w:val="20"/>
              </w:rPr>
              <w:t xml:space="preserve"> </w:t>
            </w:r>
            <w:proofErr w:type="spellStart"/>
            <w:r w:rsidRPr="008D0597">
              <w:rPr>
                <w:sz w:val="20"/>
              </w:rPr>
              <w:t>план</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Plan Financiero</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r w:rsidRPr="008D0597">
              <w:rPr>
                <w:sz w:val="20"/>
              </w:rPr>
              <w:t>Inputs</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المدخلات</w:t>
            </w:r>
          </w:p>
        </w:tc>
        <w:tc>
          <w:tcPr>
            <w:tcW w:w="978" w:type="pct"/>
            <w:tcBorders>
              <w:left w:val="nil"/>
              <w:right w:val="nil"/>
            </w:tcBorders>
            <w:shd w:val="clear" w:color="auto" w:fill="auto"/>
          </w:tcPr>
          <w:p w:rsidR="00B05327" w:rsidRPr="008D0597" w:rsidRDefault="00B05327" w:rsidP="007F746C">
            <w:pPr>
              <w:spacing w:before="20" w:after="20"/>
              <w:rPr>
                <w:rFonts w:ascii="SimSun" w:eastAsia="SimSun" w:hAnsi="SimSun" w:cs="Arial"/>
                <w:sz w:val="20"/>
                <w:lang w:eastAsia="zh-CN" w:bidi="ar-EG"/>
              </w:rPr>
            </w:pPr>
            <w:r w:rsidRPr="008D0597">
              <w:rPr>
                <w:rFonts w:ascii="SimSun" w:eastAsia="SimSun" w:hAnsi="SimSun" w:cs="Arial"/>
                <w:sz w:val="20"/>
                <w:lang w:eastAsia="zh-CN" w:bidi="ar-EG"/>
              </w:rPr>
              <w:t>投入，输入意见（取决于上下文）</w:t>
            </w:r>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Contributions</w:t>
            </w:r>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Исходные</w:t>
            </w:r>
            <w:proofErr w:type="spellEnd"/>
            <w:r w:rsidRPr="008D0597">
              <w:rPr>
                <w:sz w:val="20"/>
              </w:rPr>
              <w:t xml:space="preserve"> </w:t>
            </w:r>
            <w:proofErr w:type="spellStart"/>
            <w:r w:rsidRPr="008D0597">
              <w:rPr>
                <w:sz w:val="20"/>
              </w:rPr>
              <w:t>ресурсы</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Insumos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r w:rsidRPr="008D0597">
              <w:rPr>
                <w:sz w:val="20"/>
              </w:rPr>
              <w:t>Mission</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الرسالة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使命</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Mission</w:t>
            </w:r>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Миссия</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Misión</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Objectives</w:t>
            </w:r>
            <w:proofErr w:type="spellEnd"/>
          </w:p>
        </w:tc>
        <w:tc>
          <w:tcPr>
            <w:tcW w:w="527" w:type="pct"/>
            <w:tcBorders>
              <w:left w:val="nil"/>
              <w:right w:val="nil"/>
            </w:tcBorders>
            <w:shd w:val="clear" w:color="auto" w:fill="auto"/>
          </w:tcPr>
          <w:p w:rsidR="00B05327" w:rsidRPr="008D0597" w:rsidRDefault="00B05327" w:rsidP="007F746C">
            <w:pPr>
              <w:bidi/>
              <w:spacing w:before="20" w:after="20" w:line="240" w:lineRule="exact"/>
              <w:rPr>
                <w:rFonts w:cs="Traditional Arabic"/>
                <w:szCs w:val="24"/>
                <w:rtl/>
                <w:lang w:bidi="ar-EG"/>
              </w:rPr>
            </w:pPr>
            <w:r w:rsidRPr="008D0597">
              <w:rPr>
                <w:rFonts w:cs="Traditional Arabic"/>
                <w:szCs w:val="24"/>
                <w:rtl/>
                <w:lang w:bidi="ar-EG"/>
              </w:rPr>
              <w:t>الأهداف</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部门目标</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Objectifs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Задачи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Objetivos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Operational</w:t>
            </w:r>
            <w:proofErr w:type="spellEnd"/>
            <w:r w:rsidRPr="008D0597">
              <w:rPr>
                <w:sz w:val="20"/>
              </w:rPr>
              <w:t xml:space="preserve"> plan</w:t>
            </w:r>
          </w:p>
        </w:tc>
        <w:tc>
          <w:tcPr>
            <w:tcW w:w="527" w:type="pct"/>
            <w:tcBorders>
              <w:left w:val="nil"/>
              <w:right w:val="nil"/>
            </w:tcBorders>
            <w:shd w:val="clear" w:color="auto" w:fill="auto"/>
          </w:tcPr>
          <w:p w:rsidR="00B05327" w:rsidRPr="008D0597" w:rsidRDefault="00B05327" w:rsidP="007F746C">
            <w:pPr>
              <w:bidi/>
              <w:spacing w:before="20" w:after="20" w:line="240" w:lineRule="exact"/>
              <w:rPr>
                <w:rFonts w:cs="Traditional Arabic"/>
                <w:szCs w:val="24"/>
                <w:lang w:bidi="ar-EG"/>
              </w:rPr>
            </w:pPr>
            <w:r w:rsidRPr="008D0597">
              <w:rPr>
                <w:rFonts w:cs="Traditional Arabic"/>
                <w:szCs w:val="24"/>
                <w:rtl/>
                <w:lang w:bidi="ar-EG"/>
              </w:rPr>
              <w:t>الخطة التشغيلية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运作规划</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 xml:space="preserve">Plan </w:t>
            </w:r>
            <w:proofErr w:type="spellStart"/>
            <w:r w:rsidRPr="008D0597">
              <w:rPr>
                <w:sz w:val="20"/>
              </w:rPr>
              <w:t>opérationnel</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Оперативный</w:t>
            </w:r>
            <w:proofErr w:type="spellEnd"/>
            <w:r w:rsidRPr="008D0597">
              <w:rPr>
                <w:sz w:val="20"/>
              </w:rPr>
              <w:t xml:space="preserve"> </w:t>
            </w:r>
            <w:proofErr w:type="spellStart"/>
            <w:r w:rsidRPr="008D0597">
              <w:rPr>
                <w:sz w:val="20"/>
              </w:rPr>
              <w:t>план</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Plan Operacional</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Outcomes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النتائج</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结果</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Résultats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Конечные</w:t>
            </w:r>
            <w:proofErr w:type="spellEnd"/>
            <w:r w:rsidRPr="008D0597">
              <w:rPr>
                <w:sz w:val="20"/>
              </w:rPr>
              <w:t xml:space="preserve"> </w:t>
            </w:r>
            <w:proofErr w:type="spellStart"/>
            <w:r w:rsidRPr="008D0597">
              <w:rPr>
                <w:sz w:val="20"/>
              </w:rPr>
              <w:t>результаты</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Resultados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r w:rsidRPr="008D0597">
              <w:rPr>
                <w:sz w:val="20"/>
              </w:rPr>
              <w:t>Outputs</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النواتج</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输出成果</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Produits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Намеченные</w:t>
            </w:r>
            <w:proofErr w:type="spellEnd"/>
            <w:r w:rsidRPr="008D0597">
              <w:rPr>
                <w:sz w:val="20"/>
              </w:rPr>
              <w:t xml:space="preserve"> </w:t>
            </w:r>
            <w:proofErr w:type="spellStart"/>
            <w:r w:rsidRPr="008D0597">
              <w:rPr>
                <w:sz w:val="20"/>
              </w:rPr>
              <w:t>результаты</w:t>
            </w:r>
            <w:proofErr w:type="spellEnd"/>
            <w:r w:rsidRPr="008D0597">
              <w:rPr>
                <w:sz w:val="20"/>
              </w:rPr>
              <w:t xml:space="preserve"> </w:t>
            </w:r>
            <w:proofErr w:type="spellStart"/>
            <w:r w:rsidRPr="008D0597">
              <w:rPr>
                <w:sz w:val="20"/>
              </w:rPr>
              <w:t>деятельности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Productos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r w:rsidRPr="008D0597">
              <w:rPr>
                <w:sz w:val="20"/>
              </w:rPr>
              <w:t xml:space="preserve">Performance </w:t>
            </w:r>
            <w:proofErr w:type="spellStart"/>
            <w:r w:rsidRPr="008D0597">
              <w:rPr>
                <w:sz w:val="20"/>
              </w:rPr>
              <w:t>indicators</w:t>
            </w:r>
            <w:proofErr w:type="spellEnd"/>
          </w:p>
        </w:tc>
        <w:tc>
          <w:tcPr>
            <w:tcW w:w="527" w:type="pct"/>
            <w:tcBorders>
              <w:left w:val="nil"/>
              <w:right w:val="nil"/>
            </w:tcBorders>
            <w:shd w:val="clear" w:color="auto" w:fill="auto"/>
          </w:tcPr>
          <w:p w:rsidR="00B05327" w:rsidRPr="008D0597" w:rsidRDefault="00B05327" w:rsidP="007F746C">
            <w:pPr>
              <w:tabs>
                <w:tab w:val="left" w:pos="851"/>
              </w:tabs>
              <w:bidi/>
              <w:spacing w:before="20" w:after="20" w:line="240" w:lineRule="exact"/>
              <w:rPr>
                <w:rFonts w:ascii="Traditional Arabic" w:hAnsi="Traditional Arabic" w:cs="Traditional Arabic"/>
                <w:spacing w:val="-6"/>
                <w:szCs w:val="24"/>
                <w:rtl/>
              </w:rPr>
            </w:pPr>
            <w:r w:rsidRPr="008D0597">
              <w:rPr>
                <w:rFonts w:ascii="Traditional Arabic" w:hAnsi="Traditional Arabic" w:cs="Traditional Arabic"/>
                <w:spacing w:val="-6"/>
                <w:szCs w:val="24"/>
                <w:rtl/>
              </w:rPr>
              <w:t>مؤشرات الأداء</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rFonts w:ascii="SimSun" w:hAnsi="SimSun" w:cs="SimSun"/>
                <w:bCs/>
                <w:spacing w:val="-6"/>
                <w:sz w:val="20"/>
                <w:lang w:eastAsia="zh-CN"/>
              </w:rPr>
            </w:pPr>
            <w:proofErr w:type="spellStart"/>
            <w:r w:rsidRPr="008D0597">
              <w:rPr>
                <w:rFonts w:ascii="SimSun" w:hAnsi="SimSun" w:cs="SimSun"/>
                <w:bCs/>
                <w:spacing w:val="-6"/>
                <w:sz w:val="20"/>
                <w:lang w:eastAsia="zh-CN"/>
              </w:rPr>
              <w:t>绩效指标</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Indicateurs</w:t>
            </w:r>
            <w:proofErr w:type="spellEnd"/>
            <w:r w:rsidRPr="008D0597">
              <w:rPr>
                <w:sz w:val="20"/>
              </w:rPr>
              <w:t xml:space="preserve"> de performance</w:t>
            </w:r>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Показатели</w:t>
            </w:r>
            <w:proofErr w:type="spellEnd"/>
            <w:r w:rsidRPr="008D0597">
              <w:rPr>
                <w:sz w:val="20"/>
              </w:rPr>
              <w:t xml:space="preserve"> </w:t>
            </w:r>
            <w:proofErr w:type="spellStart"/>
            <w:r w:rsidRPr="008D0597">
              <w:rPr>
                <w:sz w:val="20"/>
              </w:rPr>
              <w:t>деятельности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Indicadores de rendimiento</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Processes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العمليات</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进程</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Processus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Процессы</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Procesos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Results-based</w:t>
            </w:r>
            <w:proofErr w:type="spellEnd"/>
            <w:r w:rsidRPr="008D0597">
              <w:rPr>
                <w:sz w:val="20"/>
              </w:rPr>
              <w:t xml:space="preserve"> </w:t>
            </w:r>
            <w:proofErr w:type="spellStart"/>
            <w:r w:rsidRPr="008D0597">
              <w:rPr>
                <w:sz w:val="20"/>
              </w:rPr>
              <w:t>budgeting</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الميزنة على أساس النتائج</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基于结果的预算制定</w:t>
            </w:r>
            <w:proofErr w:type="spellEnd"/>
          </w:p>
        </w:tc>
        <w:tc>
          <w:tcPr>
            <w:tcW w:w="761" w:type="pct"/>
            <w:tcBorders>
              <w:left w:val="nil"/>
              <w:right w:val="nil"/>
            </w:tcBorders>
            <w:shd w:val="clear" w:color="auto" w:fill="auto"/>
          </w:tcPr>
          <w:p w:rsidR="00B05327" w:rsidRPr="00916A2A" w:rsidRDefault="00B05327" w:rsidP="007F746C">
            <w:pPr>
              <w:spacing w:before="20" w:after="20"/>
              <w:rPr>
                <w:sz w:val="20"/>
                <w:lang w:val="fr-CH"/>
              </w:rPr>
            </w:pPr>
            <w:r w:rsidRPr="00916A2A">
              <w:rPr>
                <w:sz w:val="20"/>
                <w:lang w:val="fr-CH"/>
              </w:rPr>
              <w:t>Budgétisation axée sur les résultats</w:t>
            </w:r>
          </w:p>
        </w:tc>
        <w:tc>
          <w:tcPr>
            <w:tcW w:w="1013" w:type="pct"/>
            <w:tcBorders>
              <w:left w:val="nil"/>
              <w:right w:val="nil"/>
            </w:tcBorders>
            <w:shd w:val="clear" w:color="auto" w:fill="auto"/>
          </w:tcPr>
          <w:p w:rsidR="00B05327" w:rsidRPr="00916A2A" w:rsidRDefault="00B05327" w:rsidP="007F746C">
            <w:pPr>
              <w:spacing w:before="20" w:after="20"/>
              <w:rPr>
                <w:sz w:val="20"/>
                <w:lang w:val="ru-RU"/>
              </w:rPr>
            </w:pPr>
            <w:r w:rsidRPr="00916A2A">
              <w:rPr>
                <w:sz w:val="20"/>
                <w:lang w:val="ru-RU"/>
              </w:rPr>
              <w:t>Составление бюджета, ориентированного на результаты (БОР)</w:t>
            </w:r>
          </w:p>
        </w:tc>
        <w:tc>
          <w:tcPr>
            <w:tcW w:w="854" w:type="pct"/>
            <w:tcBorders>
              <w:left w:val="nil"/>
            </w:tcBorders>
            <w:shd w:val="clear" w:color="auto" w:fill="auto"/>
          </w:tcPr>
          <w:p w:rsidR="00B05327" w:rsidRPr="008D0597" w:rsidRDefault="00B05327" w:rsidP="007F746C">
            <w:pPr>
              <w:pStyle w:val="Tabletext"/>
              <w:spacing w:before="20" w:after="20"/>
              <w:rPr>
                <w:sz w:val="20"/>
              </w:rPr>
            </w:pPr>
            <w:r w:rsidRPr="008D0597">
              <w:rPr>
                <w:sz w:val="20"/>
              </w:rPr>
              <w:t>Presupuesto basado en los resultados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Results-based</w:t>
            </w:r>
            <w:proofErr w:type="spellEnd"/>
            <w:r w:rsidRPr="008D0597">
              <w:rPr>
                <w:sz w:val="20"/>
              </w:rPr>
              <w:t xml:space="preserve"> </w:t>
            </w:r>
            <w:proofErr w:type="spellStart"/>
            <w:r w:rsidRPr="008D0597">
              <w:rPr>
                <w:sz w:val="20"/>
              </w:rPr>
              <w:t>management</w:t>
            </w:r>
            <w:proofErr w:type="spellEnd"/>
            <w:r w:rsidRPr="008D0597">
              <w:rPr>
                <w:sz w:val="20"/>
              </w:rPr>
              <w:t xml:space="preserve"> </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الإدارة على أساس النتائج</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基于结果的管理</w:t>
            </w:r>
            <w:proofErr w:type="spellEnd"/>
          </w:p>
        </w:tc>
        <w:tc>
          <w:tcPr>
            <w:tcW w:w="761" w:type="pct"/>
            <w:tcBorders>
              <w:left w:val="nil"/>
              <w:right w:val="nil"/>
            </w:tcBorders>
            <w:shd w:val="clear" w:color="auto" w:fill="auto"/>
          </w:tcPr>
          <w:p w:rsidR="00B05327" w:rsidRPr="00916A2A" w:rsidRDefault="00B05327" w:rsidP="007F746C">
            <w:pPr>
              <w:spacing w:before="20" w:after="20"/>
              <w:rPr>
                <w:sz w:val="20"/>
                <w:lang w:val="fr-CH"/>
              </w:rPr>
            </w:pPr>
            <w:r w:rsidRPr="00916A2A">
              <w:rPr>
                <w:sz w:val="20"/>
                <w:lang w:val="fr-CH"/>
              </w:rPr>
              <w:t>Gestion axée sur les résultats</w:t>
            </w:r>
          </w:p>
        </w:tc>
        <w:tc>
          <w:tcPr>
            <w:tcW w:w="1013" w:type="pct"/>
            <w:tcBorders>
              <w:left w:val="nil"/>
              <w:right w:val="nil"/>
            </w:tcBorders>
            <w:shd w:val="clear" w:color="auto" w:fill="auto"/>
          </w:tcPr>
          <w:p w:rsidR="00B05327" w:rsidRPr="00916A2A" w:rsidRDefault="00B05327" w:rsidP="007F746C">
            <w:pPr>
              <w:spacing w:before="20" w:after="20"/>
              <w:rPr>
                <w:sz w:val="20"/>
                <w:lang w:val="ru-RU"/>
              </w:rPr>
            </w:pPr>
            <w:r w:rsidRPr="00916A2A">
              <w:rPr>
                <w:sz w:val="20"/>
                <w:lang w:val="ru-RU"/>
              </w:rPr>
              <w:t>Управление, ориентированное на результаты (УОР)</w:t>
            </w:r>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Gestión basada en los resultados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Results</w:t>
            </w:r>
            <w:proofErr w:type="spellEnd"/>
            <w:r w:rsidRPr="008D0597">
              <w:rPr>
                <w:sz w:val="20"/>
              </w:rPr>
              <w:t xml:space="preserve"> </w:t>
            </w:r>
            <w:proofErr w:type="spellStart"/>
            <w:r w:rsidRPr="008D0597">
              <w:rPr>
                <w:sz w:val="20"/>
              </w:rPr>
              <w:t>framework</w:t>
            </w:r>
            <w:proofErr w:type="spellEnd"/>
          </w:p>
        </w:tc>
        <w:tc>
          <w:tcPr>
            <w:tcW w:w="527" w:type="pct"/>
            <w:tcBorders>
              <w:left w:val="nil"/>
              <w:right w:val="nil"/>
            </w:tcBorders>
            <w:shd w:val="clear" w:color="auto" w:fill="auto"/>
          </w:tcPr>
          <w:p w:rsidR="00B05327" w:rsidRPr="008D0597" w:rsidRDefault="00B05327" w:rsidP="007F746C">
            <w:pPr>
              <w:tabs>
                <w:tab w:val="left" w:pos="851"/>
              </w:tabs>
              <w:bidi/>
              <w:spacing w:before="20" w:after="20" w:line="240" w:lineRule="exact"/>
              <w:rPr>
                <w:rFonts w:ascii="Traditional Arabic" w:hAnsi="Traditional Arabic" w:cs="Traditional Arabic"/>
                <w:spacing w:val="-6"/>
                <w:szCs w:val="24"/>
                <w:rtl/>
              </w:rPr>
            </w:pPr>
            <w:r w:rsidRPr="008D0597">
              <w:rPr>
                <w:rFonts w:ascii="Traditional Arabic" w:hAnsi="Traditional Arabic" w:cs="Traditional Arabic"/>
                <w:spacing w:val="-6"/>
                <w:szCs w:val="24"/>
                <w:rtl/>
              </w:rPr>
              <w:t>إطار النتائج</w:t>
            </w:r>
          </w:p>
        </w:tc>
        <w:tc>
          <w:tcPr>
            <w:tcW w:w="978" w:type="pct"/>
            <w:tcBorders>
              <w:left w:val="nil"/>
              <w:right w:val="nil"/>
            </w:tcBorders>
            <w:shd w:val="clear" w:color="auto" w:fill="auto"/>
          </w:tcPr>
          <w:p w:rsidR="00B05327" w:rsidRPr="008D0597" w:rsidRDefault="00B05327" w:rsidP="007F746C">
            <w:pPr>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结果框架</w:t>
            </w:r>
            <w:proofErr w:type="spellEnd"/>
          </w:p>
        </w:tc>
        <w:tc>
          <w:tcPr>
            <w:tcW w:w="761" w:type="pct"/>
            <w:tcBorders>
              <w:left w:val="nil"/>
              <w:right w:val="nil"/>
            </w:tcBorders>
            <w:shd w:val="clear" w:color="auto" w:fill="auto"/>
          </w:tcPr>
          <w:p w:rsidR="00B05327" w:rsidRPr="00916A2A" w:rsidRDefault="00B05327" w:rsidP="007F746C">
            <w:pPr>
              <w:spacing w:before="20" w:after="20"/>
              <w:rPr>
                <w:sz w:val="20"/>
                <w:lang w:val="fr-CH"/>
              </w:rPr>
            </w:pPr>
            <w:r w:rsidRPr="00916A2A">
              <w:rPr>
                <w:sz w:val="20"/>
                <w:lang w:val="fr-CH"/>
              </w:rPr>
              <w:t>Cadre de présentation des résultats</w:t>
            </w:r>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Структура</w:t>
            </w:r>
            <w:proofErr w:type="spellEnd"/>
            <w:r w:rsidRPr="008D0597">
              <w:rPr>
                <w:sz w:val="20"/>
              </w:rPr>
              <w:t xml:space="preserve"> </w:t>
            </w:r>
            <w:proofErr w:type="spellStart"/>
            <w:r w:rsidRPr="008D0597">
              <w:rPr>
                <w:sz w:val="20"/>
              </w:rPr>
              <w:t>результатов</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Marco de resultados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Strategic</w:t>
            </w:r>
            <w:proofErr w:type="spellEnd"/>
            <w:r w:rsidRPr="008D0597">
              <w:rPr>
                <w:sz w:val="20"/>
              </w:rPr>
              <w:t xml:space="preserve"> </w:t>
            </w:r>
            <w:proofErr w:type="spellStart"/>
            <w:r w:rsidRPr="008D0597">
              <w:rPr>
                <w:sz w:val="20"/>
              </w:rPr>
              <w:t>goals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الأهداف الاستراتيجية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总体战略目标</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Buts</w:t>
            </w:r>
            <w:proofErr w:type="spellEnd"/>
            <w:r w:rsidRPr="008D0597">
              <w:rPr>
                <w:sz w:val="20"/>
              </w:rPr>
              <w:t xml:space="preserve"> </w:t>
            </w:r>
            <w:proofErr w:type="spellStart"/>
            <w:r w:rsidRPr="008D0597">
              <w:rPr>
                <w:sz w:val="20"/>
              </w:rPr>
              <w:t>stratégiques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Стратегические</w:t>
            </w:r>
            <w:proofErr w:type="spellEnd"/>
            <w:r w:rsidRPr="008D0597">
              <w:rPr>
                <w:sz w:val="20"/>
              </w:rPr>
              <w:t xml:space="preserve"> </w:t>
            </w:r>
            <w:proofErr w:type="spellStart"/>
            <w:r w:rsidRPr="008D0597">
              <w:rPr>
                <w:sz w:val="20"/>
              </w:rPr>
              <w:t>цели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Metas estratégicas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Strategic</w:t>
            </w:r>
            <w:proofErr w:type="spellEnd"/>
            <w:r w:rsidRPr="008D0597">
              <w:rPr>
                <w:sz w:val="20"/>
              </w:rPr>
              <w:t xml:space="preserve"> plan</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الخطة الاستراتيجية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战略规划</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 xml:space="preserve">Plan </w:t>
            </w:r>
            <w:proofErr w:type="spellStart"/>
            <w:r w:rsidRPr="008D0597">
              <w:rPr>
                <w:sz w:val="20"/>
              </w:rPr>
              <w:t>stratégique</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Стратегический</w:t>
            </w:r>
            <w:proofErr w:type="spellEnd"/>
            <w:r w:rsidRPr="008D0597">
              <w:rPr>
                <w:sz w:val="20"/>
              </w:rPr>
              <w:t xml:space="preserve"> </w:t>
            </w:r>
            <w:proofErr w:type="spellStart"/>
            <w:r w:rsidRPr="008D0597">
              <w:rPr>
                <w:sz w:val="20"/>
              </w:rPr>
              <w:t>план</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Plan Estratégico</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Strategic</w:t>
            </w:r>
            <w:proofErr w:type="spellEnd"/>
            <w:r w:rsidRPr="008D0597">
              <w:rPr>
                <w:sz w:val="20"/>
              </w:rPr>
              <w:t xml:space="preserve"> </w:t>
            </w:r>
            <w:proofErr w:type="spellStart"/>
            <w:r w:rsidRPr="008D0597">
              <w:rPr>
                <w:sz w:val="20"/>
              </w:rPr>
              <w:t>risks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المخاطر الاستراتيجية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战略风险</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r w:rsidRPr="008D0597">
              <w:rPr>
                <w:sz w:val="20"/>
              </w:rPr>
              <w:t xml:space="preserve">Risques </w:t>
            </w:r>
            <w:proofErr w:type="spellStart"/>
            <w:r w:rsidRPr="008D0597">
              <w:rPr>
                <w:sz w:val="20"/>
              </w:rPr>
              <w:t>stratégiques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Стратегические</w:t>
            </w:r>
            <w:proofErr w:type="spellEnd"/>
            <w:r w:rsidRPr="008D0597">
              <w:rPr>
                <w:sz w:val="20"/>
              </w:rPr>
              <w:t xml:space="preserve"> </w:t>
            </w:r>
            <w:proofErr w:type="spellStart"/>
            <w:r w:rsidRPr="008D0597">
              <w:rPr>
                <w:sz w:val="20"/>
              </w:rPr>
              <w:t>риски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Riesgos estratégicos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Strategic</w:t>
            </w:r>
            <w:proofErr w:type="spellEnd"/>
            <w:r w:rsidRPr="008D0597">
              <w:rPr>
                <w:sz w:val="20"/>
              </w:rPr>
              <w:t xml:space="preserve"> </w:t>
            </w:r>
            <w:proofErr w:type="spellStart"/>
            <w:r w:rsidRPr="008D0597">
              <w:rPr>
                <w:sz w:val="20"/>
              </w:rPr>
              <w:t>risk</w:t>
            </w:r>
            <w:proofErr w:type="spellEnd"/>
            <w:r w:rsidRPr="008D0597">
              <w:rPr>
                <w:sz w:val="20"/>
              </w:rPr>
              <w:t xml:space="preserve"> </w:t>
            </w:r>
            <w:proofErr w:type="spellStart"/>
            <w:r w:rsidRPr="008D0597">
              <w:rPr>
                <w:sz w:val="20"/>
              </w:rPr>
              <w:t>management</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إدارة المخاطر الاستراتيجية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战略风险管理</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Gestion</w:t>
            </w:r>
            <w:proofErr w:type="spellEnd"/>
            <w:r w:rsidRPr="008D0597">
              <w:rPr>
                <w:sz w:val="20"/>
              </w:rPr>
              <w:t xml:space="preserve"> des risques </w:t>
            </w:r>
            <w:proofErr w:type="spellStart"/>
            <w:r w:rsidRPr="008D0597">
              <w:rPr>
                <w:sz w:val="20"/>
              </w:rPr>
              <w:t>stratégiques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Управление</w:t>
            </w:r>
            <w:proofErr w:type="spellEnd"/>
            <w:r w:rsidRPr="008D0597">
              <w:rPr>
                <w:sz w:val="20"/>
              </w:rPr>
              <w:t xml:space="preserve"> </w:t>
            </w:r>
            <w:proofErr w:type="spellStart"/>
            <w:r w:rsidRPr="008D0597">
              <w:rPr>
                <w:sz w:val="20"/>
              </w:rPr>
              <w:t>стратегическими</w:t>
            </w:r>
            <w:proofErr w:type="spellEnd"/>
            <w:r w:rsidRPr="008D0597">
              <w:rPr>
                <w:sz w:val="20"/>
              </w:rPr>
              <w:t xml:space="preserve"> </w:t>
            </w:r>
            <w:proofErr w:type="spellStart"/>
            <w:r w:rsidRPr="008D0597">
              <w:rPr>
                <w:sz w:val="20"/>
              </w:rPr>
              <w:t>рисками</w:t>
            </w:r>
            <w:proofErr w:type="spellEnd"/>
            <w:r w:rsidRPr="008D0597">
              <w:rPr>
                <w:sz w:val="20"/>
              </w:rPr>
              <w:t xml:space="preserve"> (УСР)</w:t>
            </w:r>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Gestión de riesgos estratégicos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Strategic</w:t>
            </w:r>
            <w:proofErr w:type="spellEnd"/>
            <w:r w:rsidRPr="008D0597">
              <w:rPr>
                <w:sz w:val="20"/>
              </w:rPr>
              <w:t xml:space="preserve"> target</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المقاصد الاستراتيجية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具体战略目标</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Cible</w:t>
            </w:r>
            <w:proofErr w:type="spellEnd"/>
            <w:r w:rsidRPr="008D0597">
              <w:rPr>
                <w:sz w:val="20"/>
              </w:rPr>
              <w:t xml:space="preserve"> </w:t>
            </w:r>
            <w:proofErr w:type="spellStart"/>
            <w:r w:rsidRPr="008D0597">
              <w:rPr>
                <w:sz w:val="20"/>
              </w:rPr>
              <w:t>stratégique</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Стратегический</w:t>
            </w:r>
            <w:proofErr w:type="spellEnd"/>
            <w:r w:rsidRPr="008D0597">
              <w:rPr>
                <w:sz w:val="20"/>
              </w:rPr>
              <w:t xml:space="preserve"> </w:t>
            </w:r>
            <w:proofErr w:type="spellStart"/>
            <w:r w:rsidRPr="008D0597">
              <w:rPr>
                <w:sz w:val="20"/>
              </w:rPr>
              <w:t>целевой</w:t>
            </w:r>
            <w:proofErr w:type="spellEnd"/>
            <w:r w:rsidRPr="008D0597">
              <w:rPr>
                <w:sz w:val="20"/>
              </w:rPr>
              <w:t xml:space="preserve"> </w:t>
            </w:r>
            <w:proofErr w:type="spellStart"/>
            <w:r w:rsidRPr="008D0597">
              <w:rPr>
                <w:sz w:val="20"/>
              </w:rPr>
              <w:t>показатель</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Finalidad estratégica</w:t>
            </w:r>
          </w:p>
        </w:tc>
      </w:tr>
      <w:tr w:rsidR="00B05327" w:rsidRPr="008D0597" w:rsidTr="007F746C">
        <w:tc>
          <w:tcPr>
            <w:tcW w:w="866" w:type="pct"/>
            <w:tcBorders>
              <w:right w:val="nil"/>
            </w:tcBorders>
            <w:shd w:val="clear" w:color="auto" w:fill="auto"/>
          </w:tcPr>
          <w:p w:rsidR="00B05327" w:rsidRPr="00916A2A" w:rsidRDefault="00B05327" w:rsidP="007F746C">
            <w:pPr>
              <w:spacing w:before="20" w:after="20"/>
              <w:rPr>
                <w:sz w:val="20"/>
                <w:lang w:val="en-GB"/>
              </w:rPr>
            </w:pPr>
            <w:r w:rsidRPr="00916A2A">
              <w:rPr>
                <w:sz w:val="20"/>
                <w:lang w:val="en-GB"/>
              </w:rPr>
              <w:t>Strengths, Weakness, Opportunities and Threats (SWOT) analysis</w:t>
            </w:r>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tl/>
              </w:rPr>
            </w:pPr>
            <w:r w:rsidRPr="00712A04">
              <w:rPr>
                <w:rFonts w:cs="Traditional Arabic" w:hint="eastAsia"/>
                <w:sz w:val="20"/>
                <w:rtl/>
              </w:rPr>
              <w:t>تحليل</w:t>
            </w:r>
            <w:r w:rsidRPr="00712A04">
              <w:rPr>
                <w:rFonts w:cs="Traditional Arabic"/>
                <w:sz w:val="20"/>
                <w:rtl/>
              </w:rPr>
              <w:t xml:space="preserve"> </w:t>
            </w:r>
            <w:r w:rsidRPr="00712A04">
              <w:rPr>
                <w:rFonts w:cs="Traditional Arabic" w:hint="eastAsia"/>
                <w:sz w:val="20"/>
                <w:rtl/>
                <w:lang w:bidi="ar-EG"/>
              </w:rPr>
              <w:t>مواطن</w:t>
            </w:r>
            <w:r w:rsidRPr="00712A04">
              <w:rPr>
                <w:rFonts w:cs="Traditional Arabic"/>
                <w:sz w:val="20"/>
                <w:rtl/>
                <w:lang w:bidi="ar-EG"/>
              </w:rPr>
              <w:t xml:space="preserve"> </w:t>
            </w:r>
            <w:r w:rsidRPr="00712A04">
              <w:rPr>
                <w:rFonts w:cs="Traditional Arabic" w:hint="eastAsia"/>
                <w:sz w:val="20"/>
                <w:rtl/>
                <w:lang w:bidi="ar-EG"/>
              </w:rPr>
              <w:t>القوة</w:t>
            </w:r>
            <w:r w:rsidRPr="00712A04">
              <w:rPr>
                <w:rFonts w:cs="Traditional Arabic"/>
                <w:sz w:val="20"/>
                <w:rtl/>
                <w:lang w:bidi="ar-EG"/>
              </w:rPr>
              <w:t xml:space="preserve"> </w:t>
            </w:r>
            <w:r w:rsidRPr="00712A04">
              <w:rPr>
                <w:rFonts w:cs="Traditional Arabic" w:hint="eastAsia"/>
                <w:sz w:val="20"/>
                <w:rtl/>
                <w:lang w:bidi="ar-EG"/>
              </w:rPr>
              <w:t>والضَعْف</w:t>
            </w:r>
            <w:r w:rsidRPr="00712A04">
              <w:rPr>
                <w:rFonts w:cs="Traditional Arabic"/>
                <w:sz w:val="20"/>
                <w:rtl/>
                <w:lang w:bidi="ar-EG"/>
              </w:rPr>
              <w:t xml:space="preserve"> </w:t>
            </w:r>
            <w:r w:rsidRPr="00712A04">
              <w:rPr>
                <w:rFonts w:cs="Traditional Arabic" w:hint="eastAsia"/>
                <w:sz w:val="20"/>
                <w:rtl/>
                <w:lang w:bidi="ar-EG"/>
              </w:rPr>
              <w:t>والفرص</w:t>
            </w:r>
            <w:r w:rsidRPr="00712A04">
              <w:rPr>
                <w:rFonts w:cs="Traditional Arabic"/>
                <w:sz w:val="20"/>
                <w:rtl/>
                <w:lang w:bidi="ar-EG"/>
              </w:rPr>
              <w:t xml:space="preserve"> </w:t>
            </w:r>
            <w:r w:rsidRPr="00712A04">
              <w:rPr>
                <w:rFonts w:cs="Traditional Arabic" w:hint="eastAsia"/>
                <w:sz w:val="20"/>
                <w:rtl/>
              </w:rPr>
              <w:t>والمخاطر</w:t>
            </w:r>
            <w:r w:rsidRPr="00712A04">
              <w:rPr>
                <w:rFonts w:cs="Traditional Arabic"/>
                <w:sz w:val="20"/>
                <w:rtl/>
              </w:rPr>
              <w:t xml:space="preserve"> </w:t>
            </w:r>
            <w:r w:rsidRPr="00712A04">
              <w:rPr>
                <w:rFonts w:cs="Traditional Arabic"/>
                <w:sz w:val="20"/>
                <w:lang w:val="en-GB" w:bidi="ar-EG"/>
              </w:rPr>
              <w:t>(SWOT)</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rFonts w:ascii="SimSun" w:hAnsi="SimSun" w:cs="SimSun"/>
                <w:bCs/>
                <w:spacing w:val="-6"/>
                <w:sz w:val="20"/>
                <w:lang w:eastAsia="zh-CN"/>
              </w:rPr>
            </w:pPr>
            <w:r w:rsidRPr="00712A04">
              <w:rPr>
                <w:rFonts w:ascii="Microsoft YaHei" w:eastAsia="Microsoft YaHei" w:hAnsi="Microsoft YaHei" w:cs="Microsoft YaHei" w:hint="eastAsia"/>
                <w:sz w:val="20"/>
                <w:lang w:eastAsia="zh-CN" w:bidi="ar-EG"/>
              </w:rPr>
              <w:t>优势、劣势、机会与威胁</w:t>
            </w:r>
            <w:r>
              <w:rPr>
                <w:rFonts w:hint="eastAsia"/>
                <w:lang w:eastAsia="zh-CN"/>
              </w:rPr>
              <w:t>（</w:t>
            </w:r>
            <w:r w:rsidRPr="00C658F7">
              <w:rPr>
                <w:rFonts w:hint="eastAsia"/>
                <w:lang w:eastAsia="zh-CN"/>
              </w:rPr>
              <w:t>SWOT）</w:t>
            </w:r>
            <w:r w:rsidRPr="00712A04">
              <w:rPr>
                <w:rFonts w:ascii="Microsoft YaHei" w:eastAsia="Microsoft YaHei" w:hAnsi="Microsoft YaHei" w:cs="Microsoft YaHei" w:hint="eastAsia"/>
                <w:sz w:val="20"/>
                <w:lang w:eastAsia="zh-CN" w:bidi="ar-EG"/>
              </w:rPr>
              <w:t>分析</w:t>
            </w:r>
          </w:p>
        </w:tc>
        <w:tc>
          <w:tcPr>
            <w:tcW w:w="761" w:type="pct"/>
            <w:tcBorders>
              <w:left w:val="nil"/>
              <w:right w:val="nil"/>
            </w:tcBorders>
            <w:shd w:val="clear" w:color="auto" w:fill="auto"/>
          </w:tcPr>
          <w:p w:rsidR="00B05327" w:rsidRPr="002223CB" w:rsidRDefault="00B05327" w:rsidP="007F746C">
            <w:pPr>
              <w:spacing w:before="20" w:after="20"/>
              <w:rPr>
                <w:sz w:val="20"/>
                <w:lang w:val="fr-CH" w:eastAsia="zh-CN"/>
              </w:rPr>
            </w:pPr>
            <w:r w:rsidRPr="002223CB">
              <w:rPr>
                <w:sz w:val="20"/>
                <w:lang w:val="fr-CH"/>
              </w:rPr>
              <w:t>Analyse des forces, faiblesses, possibilités et menaces (SWOT)</w:t>
            </w:r>
          </w:p>
        </w:tc>
        <w:tc>
          <w:tcPr>
            <w:tcW w:w="1013" w:type="pct"/>
            <w:tcBorders>
              <w:left w:val="nil"/>
              <w:right w:val="nil"/>
            </w:tcBorders>
            <w:shd w:val="clear" w:color="auto" w:fill="auto"/>
          </w:tcPr>
          <w:p w:rsidR="00B05327" w:rsidRPr="002223CB" w:rsidRDefault="00B05327" w:rsidP="007F746C">
            <w:pPr>
              <w:spacing w:before="20" w:after="20"/>
              <w:rPr>
                <w:sz w:val="20"/>
                <w:lang w:val="ru-RU" w:eastAsia="zh-CN"/>
              </w:rPr>
            </w:pPr>
            <w:r w:rsidRPr="00B046DE">
              <w:rPr>
                <w:rFonts w:cs="Calibri"/>
                <w:sz w:val="20"/>
                <w:lang w:val="ru-RU" w:bidi="ar-EG"/>
              </w:rPr>
              <w:t>Анализ сильных и слабых сторон, возможностей и угроз (</w:t>
            </w:r>
            <w:r w:rsidRPr="00712A04">
              <w:rPr>
                <w:rFonts w:cs="Calibri"/>
                <w:sz w:val="20"/>
                <w:lang w:bidi="ar-EG"/>
              </w:rPr>
              <w:t>SWOT</w:t>
            </w:r>
            <w:r w:rsidRPr="00B046DE">
              <w:rPr>
                <w:rFonts w:cs="Calibri"/>
                <w:sz w:val="20"/>
                <w:lang w:val="ru-RU" w:bidi="ar-EG"/>
              </w:rPr>
              <w:t>)</w:t>
            </w:r>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Análisis de fortalezas, debilidades, oportunidades y amenazas (SWOT)</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Values</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القيم</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价值</w:t>
            </w:r>
            <w:proofErr w:type="spellEnd"/>
            <w:r w:rsidRPr="008D0597">
              <w:rPr>
                <w:bCs/>
                <w:spacing w:val="-6"/>
                <w:sz w:val="20"/>
                <w:lang w:eastAsia="zh-CN"/>
              </w:rPr>
              <w:t>/</w:t>
            </w:r>
            <w:proofErr w:type="spellStart"/>
            <w:r w:rsidRPr="008D0597">
              <w:rPr>
                <w:rFonts w:ascii="SimSun" w:hAnsi="SimSun" w:cs="SimSun"/>
                <w:bCs/>
                <w:spacing w:val="-6"/>
                <w:sz w:val="20"/>
                <w:lang w:eastAsia="zh-CN"/>
              </w:rPr>
              <w:t>价值观</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Valeurs</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Ценности</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Valores</w:t>
            </w:r>
          </w:p>
        </w:tc>
      </w:tr>
      <w:tr w:rsidR="00B05327" w:rsidRPr="008D0597" w:rsidTr="007F746C">
        <w:tc>
          <w:tcPr>
            <w:tcW w:w="866" w:type="pct"/>
            <w:tcBorders>
              <w:right w:val="nil"/>
            </w:tcBorders>
            <w:shd w:val="clear" w:color="auto" w:fill="auto"/>
          </w:tcPr>
          <w:p w:rsidR="00B05327" w:rsidRPr="008D0597" w:rsidRDefault="00B05327" w:rsidP="007F746C">
            <w:pPr>
              <w:spacing w:before="20" w:after="20"/>
              <w:rPr>
                <w:sz w:val="20"/>
              </w:rPr>
            </w:pPr>
            <w:proofErr w:type="spellStart"/>
            <w:r w:rsidRPr="008D0597">
              <w:rPr>
                <w:sz w:val="20"/>
              </w:rPr>
              <w:t>Vision</w:t>
            </w:r>
            <w:proofErr w:type="spellEnd"/>
          </w:p>
        </w:tc>
        <w:tc>
          <w:tcPr>
            <w:tcW w:w="527" w:type="pct"/>
            <w:tcBorders>
              <w:left w:val="nil"/>
              <w:right w:val="nil"/>
            </w:tcBorders>
            <w:shd w:val="clear" w:color="auto" w:fill="auto"/>
          </w:tcPr>
          <w:p w:rsidR="00B05327" w:rsidRPr="008D0597" w:rsidRDefault="00B05327" w:rsidP="007F746C">
            <w:pPr>
              <w:keepNext/>
              <w:tabs>
                <w:tab w:val="left" w:pos="851"/>
              </w:tabs>
              <w:bidi/>
              <w:spacing w:before="20" w:after="20" w:line="240" w:lineRule="exact"/>
              <w:rPr>
                <w:rFonts w:ascii="Traditional Arabic" w:hAnsi="Traditional Arabic" w:cs="Traditional Arabic"/>
                <w:spacing w:val="-6"/>
                <w:szCs w:val="24"/>
              </w:rPr>
            </w:pPr>
            <w:r w:rsidRPr="008D0597">
              <w:rPr>
                <w:rFonts w:ascii="Traditional Arabic" w:hAnsi="Traditional Arabic" w:cs="Traditional Arabic"/>
                <w:spacing w:val="-6"/>
                <w:szCs w:val="24"/>
                <w:rtl/>
              </w:rPr>
              <w:t>الرؤية</w:t>
            </w:r>
          </w:p>
        </w:tc>
        <w:tc>
          <w:tcPr>
            <w:tcW w:w="978" w:type="pct"/>
            <w:tcBorders>
              <w:left w:val="nil"/>
              <w:right w:val="nil"/>
            </w:tcBorders>
            <w:shd w:val="clear" w:color="auto" w:fill="auto"/>
          </w:tcPr>
          <w:p w:rsidR="00B05327" w:rsidRPr="008D0597" w:rsidRDefault="00B05327" w:rsidP="007F746C">
            <w:pPr>
              <w:keepNext/>
              <w:tabs>
                <w:tab w:val="left" w:pos="851"/>
              </w:tabs>
              <w:spacing w:before="20" w:after="20"/>
              <w:jc w:val="both"/>
              <w:rPr>
                <w:bCs/>
                <w:spacing w:val="-6"/>
                <w:sz w:val="20"/>
                <w:lang w:eastAsia="zh-CN"/>
              </w:rPr>
            </w:pPr>
            <w:proofErr w:type="spellStart"/>
            <w:r w:rsidRPr="008D0597">
              <w:rPr>
                <w:rFonts w:ascii="SimSun" w:hAnsi="SimSun" w:cs="SimSun"/>
                <w:bCs/>
                <w:spacing w:val="-6"/>
                <w:sz w:val="20"/>
                <w:lang w:eastAsia="zh-CN"/>
              </w:rPr>
              <w:t>愿景</w:t>
            </w:r>
            <w:proofErr w:type="spellEnd"/>
          </w:p>
        </w:tc>
        <w:tc>
          <w:tcPr>
            <w:tcW w:w="761"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Vision</w:t>
            </w:r>
            <w:proofErr w:type="spellEnd"/>
          </w:p>
        </w:tc>
        <w:tc>
          <w:tcPr>
            <w:tcW w:w="1013" w:type="pct"/>
            <w:tcBorders>
              <w:left w:val="nil"/>
              <w:right w:val="nil"/>
            </w:tcBorders>
            <w:shd w:val="clear" w:color="auto" w:fill="auto"/>
          </w:tcPr>
          <w:p w:rsidR="00B05327" w:rsidRPr="008D0597" w:rsidRDefault="00B05327" w:rsidP="007F746C">
            <w:pPr>
              <w:spacing w:before="20" w:after="20"/>
              <w:rPr>
                <w:sz w:val="20"/>
              </w:rPr>
            </w:pPr>
            <w:proofErr w:type="spellStart"/>
            <w:r w:rsidRPr="008D0597">
              <w:rPr>
                <w:sz w:val="20"/>
              </w:rPr>
              <w:t>Концепция</w:t>
            </w:r>
            <w:proofErr w:type="spellEnd"/>
          </w:p>
        </w:tc>
        <w:tc>
          <w:tcPr>
            <w:tcW w:w="854" w:type="pct"/>
            <w:tcBorders>
              <w:left w:val="nil"/>
            </w:tcBorders>
            <w:shd w:val="clear" w:color="auto" w:fill="auto"/>
          </w:tcPr>
          <w:p w:rsidR="00B05327" w:rsidRPr="008D0597" w:rsidRDefault="00B05327" w:rsidP="007F746C">
            <w:pPr>
              <w:spacing w:before="20" w:after="20"/>
              <w:rPr>
                <w:sz w:val="20"/>
              </w:rPr>
            </w:pPr>
            <w:r w:rsidRPr="008D0597">
              <w:rPr>
                <w:sz w:val="20"/>
              </w:rPr>
              <w:t>Visión</w:t>
            </w:r>
          </w:p>
        </w:tc>
      </w:tr>
    </w:tbl>
    <w:p w:rsidR="0002219A" w:rsidRDefault="0002219A">
      <w:pPr>
        <w:pStyle w:val="Reasons"/>
      </w:pPr>
    </w:p>
    <w:p w:rsidR="00860D21" w:rsidRPr="00860D21" w:rsidRDefault="00860D21" w:rsidP="00860D21">
      <w:pPr>
        <w:jc w:val="center"/>
        <w:rPr>
          <w:u w:val="single"/>
        </w:rPr>
      </w:pPr>
      <w:r>
        <w:rPr>
          <w:u w:val="single"/>
        </w:rPr>
        <w:t>                              </w:t>
      </w:r>
    </w:p>
    <w:sectPr w:rsidR="00860D21" w:rsidRPr="00860D21" w:rsidSect="00B46019">
      <w:headerReference w:type="default" r:id="rId11"/>
      <w:footerReference w:type="default" r:id="rId12"/>
      <w:footerReference w:type="first" r:id="rId13"/>
      <w:type w:val="continuous"/>
      <w:pgSz w:w="11913" w:h="16834" w:code="9"/>
      <w:pgMar w:top="1134" w:right="1134" w:bottom="1134" w:left="1418"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D8" w:rsidRDefault="00E809D8">
      <w:r>
        <w:separator/>
      </w:r>
    </w:p>
  </w:endnote>
  <w:endnote w:type="continuationSeparator" w:id="0">
    <w:p w:rsidR="00E809D8" w:rsidRDefault="00E8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3A9" w:rsidRPr="009220DE" w:rsidRDefault="004A63A9" w:rsidP="00641DBD">
    <w:pPr>
      <w:pStyle w:val="Footer"/>
      <w:tabs>
        <w:tab w:val="clear" w:pos="5954"/>
        <w:tab w:val="clear" w:pos="9639"/>
        <w:tab w:val="left" w:pos="7655"/>
        <w:tab w:val="right" w:pos="9498"/>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DB" w:rsidRDefault="004B07DB" w:rsidP="004B07D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4B07DB" w:rsidRPr="00255FA1" w:rsidRDefault="004B07DB" w:rsidP="004B07DB">
    <w:pPr>
      <w:pStyle w:val="Footer"/>
      <w:jc w:val="center"/>
      <w:rPr>
        <w:lang w:val="en-US"/>
      </w:rPr>
    </w:pPr>
  </w:p>
  <w:p w:rsidR="004A63A9" w:rsidRPr="009220DE" w:rsidRDefault="004A63A9" w:rsidP="00641DBD">
    <w:pPr>
      <w:pStyle w:val="Footer"/>
      <w:tabs>
        <w:tab w:val="clear" w:pos="5954"/>
        <w:tab w:val="clear" w:pos="9639"/>
        <w:tab w:val="left" w:pos="7655"/>
        <w:tab w:val="right" w:pos="9498"/>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D8" w:rsidRDefault="00E809D8">
      <w:r>
        <w:t>____________________</w:t>
      </w:r>
    </w:p>
  </w:footnote>
  <w:footnote w:type="continuationSeparator" w:id="0">
    <w:p w:rsidR="00E809D8" w:rsidRDefault="00E809D8">
      <w:r>
        <w:continuationSeparator/>
      </w:r>
    </w:p>
  </w:footnote>
  <w:footnote w:id="1">
    <w:p w:rsidR="00B05327" w:rsidRDefault="00B05327" w:rsidP="00B05327">
      <w:pPr>
        <w:pStyle w:val="FootnoteText"/>
      </w:pPr>
      <w:r>
        <w:rPr>
          <w:rStyle w:val="FootnoteReference"/>
        </w:rPr>
        <w:footnoteRef/>
      </w:r>
      <w:r>
        <w:tab/>
      </w:r>
      <w:r w:rsidRPr="000E03AD">
        <w:rPr>
          <w:sz w:val="20"/>
          <w:lang w:val="es-ES"/>
        </w:rPr>
        <w:t>Las actividades y los productos se definen de manera detallada durante el proceso de planificación, asegurando así una estrecha vinculación entre la planificación estratégica y la operacional.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A1" w:rsidRDefault="00255FA1" w:rsidP="00255FA1">
    <w:pPr>
      <w:pStyle w:val="Header"/>
    </w:pPr>
    <w:r>
      <w:fldChar w:fldCharType="begin"/>
    </w:r>
    <w:r>
      <w:instrText xml:space="preserve"> PAGE </w:instrText>
    </w:r>
    <w:r>
      <w:fldChar w:fldCharType="separate"/>
    </w:r>
    <w:r w:rsidR="00D72A7C">
      <w:rPr>
        <w:noProof/>
      </w:rPr>
      <w:t>5</w:t>
    </w:r>
    <w:r>
      <w:fldChar w:fldCharType="end"/>
    </w:r>
  </w:p>
  <w:p w:rsidR="00255FA1" w:rsidRDefault="00255FA1" w:rsidP="00B05327">
    <w:pPr>
      <w:pStyle w:val="Header"/>
    </w:pPr>
    <w:r>
      <w:rPr>
        <w:lang w:val="en-US"/>
      </w:rPr>
      <w:t>PP1</w:t>
    </w:r>
    <w:r w:rsidR="00C43474">
      <w:rPr>
        <w:lang w:val="en-US"/>
      </w:rPr>
      <w:t>8</w:t>
    </w:r>
    <w:r>
      <w:t>/24(Add.</w:t>
    </w:r>
    <w:r w:rsidR="00B05327">
      <w:t>3</w:t>
    </w:r>
    <w:r>
      <w:t>)-</w:t>
    </w:r>
    <w:r w:rsidRPr="00010B43">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247A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866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01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C95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2AC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CA5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DC84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E1E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1030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68E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B1CFF"/>
    <w:multiLevelType w:val="hybridMultilevel"/>
    <w:tmpl w:val="84EA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F60DF"/>
    <w:multiLevelType w:val="hybridMultilevel"/>
    <w:tmpl w:val="BDF294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E0"/>
    <w:rsid w:val="0000188C"/>
    <w:rsid w:val="0002219A"/>
    <w:rsid w:val="000863AB"/>
    <w:rsid w:val="000A1523"/>
    <w:rsid w:val="000B1752"/>
    <w:rsid w:val="000E606C"/>
    <w:rsid w:val="0010546D"/>
    <w:rsid w:val="00135F93"/>
    <w:rsid w:val="001632E3"/>
    <w:rsid w:val="001D4983"/>
    <w:rsid w:val="001D6EC3"/>
    <w:rsid w:val="001D787B"/>
    <w:rsid w:val="001E3D06"/>
    <w:rsid w:val="00225F6B"/>
    <w:rsid w:val="00237C17"/>
    <w:rsid w:val="00242376"/>
    <w:rsid w:val="00255FA1"/>
    <w:rsid w:val="00262FF4"/>
    <w:rsid w:val="002C6527"/>
    <w:rsid w:val="002E44FC"/>
    <w:rsid w:val="003707E5"/>
    <w:rsid w:val="00391611"/>
    <w:rsid w:val="003D0027"/>
    <w:rsid w:val="003E6E73"/>
    <w:rsid w:val="00484B72"/>
    <w:rsid w:val="00491A25"/>
    <w:rsid w:val="004A346E"/>
    <w:rsid w:val="004A63A9"/>
    <w:rsid w:val="004B07DB"/>
    <w:rsid w:val="004B09D4"/>
    <w:rsid w:val="004B0BCB"/>
    <w:rsid w:val="004C39C6"/>
    <w:rsid w:val="004D23BA"/>
    <w:rsid w:val="004E069C"/>
    <w:rsid w:val="004E08E0"/>
    <w:rsid w:val="004E28FB"/>
    <w:rsid w:val="004F4BB1"/>
    <w:rsid w:val="00504FD4"/>
    <w:rsid w:val="00507662"/>
    <w:rsid w:val="00523448"/>
    <w:rsid w:val="005359B6"/>
    <w:rsid w:val="005470E8"/>
    <w:rsid w:val="00550FCF"/>
    <w:rsid w:val="00556958"/>
    <w:rsid w:val="00567ED5"/>
    <w:rsid w:val="005D1164"/>
    <w:rsid w:val="005D6488"/>
    <w:rsid w:val="005F6278"/>
    <w:rsid w:val="00601280"/>
    <w:rsid w:val="00641DBD"/>
    <w:rsid w:val="006455D2"/>
    <w:rsid w:val="006537F3"/>
    <w:rsid w:val="006B5512"/>
    <w:rsid w:val="006C190D"/>
    <w:rsid w:val="00720686"/>
    <w:rsid w:val="007219F3"/>
    <w:rsid w:val="00737EFF"/>
    <w:rsid w:val="00750806"/>
    <w:rsid w:val="007875D2"/>
    <w:rsid w:val="007F6EBC"/>
    <w:rsid w:val="00860D21"/>
    <w:rsid w:val="00882773"/>
    <w:rsid w:val="008B4706"/>
    <w:rsid w:val="008B6676"/>
    <w:rsid w:val="008C3FA8"/>
    <w:rsid w:val="008E51C5"/>
    <w:rsid w:val="008F7109"/>
    <w:rsid w:val="009107B0"/>
    <w:rsid w:val="009220DE"/>
    <w:rsid w:val="00930E84"/>
    <w:rsid w:val="00980DB9"/>
    <w:rsid w:val="0099270D"/>
    <w:rsid w:val="0099551E"/>
    <w:rsid w:val="009A1A86"/>
    <w:rsid w:val="009E0C42"/>
    <w:rsid w:val="00A4168E"/>
    <w:rsid w:val="00A70E95"/>
    <w:rsid w:val="00A71684"/>
    <w:rsid w:val="00A86298"/>
    <w:rsid w:val="00AA1F73"/>
    <w:rsid w:val="00AB34CA"/>
    <w:rsid w:val="00AD400E"/>
    <w:rsid w:val="00AF0DC5"/>
    <w:rsid w:val="00B05327"/>
    <w:rsid w:val="00B46019"/>
    <w:rsid w:val="00B501AB"/>
    <w:rsid w:val="00B73978"/>
    <w:rsid w:val="00B77C4D"/>
    <w:rsid w:val="00BB13FE"/>
    <w:rsid w:val="00BC7EE2"/>
    <w:rsid w:val="00BF5475"/>
    <w:rsid w:val="00C42D2D"/>
    <w:rsid w:val="00C43474"/>
    <w:rsid w:val="00C61A48"/>
    <w:rsid w:val="00C80F8F"/>
    <w:rsid w:val="00C84355"/>
    <w:rsid w:val="00CA3051"/>
    <w:rsid w:val="00CB0FAD"/>
    <w:rsid w:val="00CD20D9"/>
    <w:rsid w:val="00CD701A"/>
    <w:rsid w:val="00D05AAE"/>
    <w:rsid w:val="00D05E6B"/>
    <w:rsid w:val="00D254A6"/>
    <w:rsid w:val="00D42B55"/>
    <w:rsid w:val="00D57D70"/>
    <w:rsid w:val="00D72A7C"/>
    <w:rsid w:val="00E05D81"/>
    <w:rsid w:val="00E205A7"/>
    <w:rsid w:val="00E53DFC"/>
    <w:rsid w:val="00E66FC3"/>
    <w:rsid w:val="00E677DD"/>
    <w:rsid w:val="00E77F17"/>
    <w:rsid w:val="00E809D8"/>
    <w:rsid w:val="00E921EC"/>
    <w:rsid w:val="00EB23D0"/>
    <w:rsid w:val="00EC395A"/>
    <w:rsid w:val="00F01632"/>
    <w:rsid w:val="00F04858"/>
    <w:rsid w:val="00F3510D"/>
    <w:rsid w:val="00F43C07"/>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link w:val="FootnoteTextChar"/>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character" w:customStyle="1" w:styleId="href">
    <w:name w:val="href"/>
    <w:basedOn w:val="DefaultParagraphFont"/>
    <w:rsid w:val="002D7609"/>
    <w:rPr>
      <w:color w:val="auto"/>
    </w:rPr>
  </w:style>
  <w:style w:type="paragraph" w:styleId="Index7">
    <w:name w:val="index 7"/>
    <w:basedOn w:val="Normal"/>
    <w:next w:val="Normal"/>
    <w:rsid w:val="00860D21"/>
    <w:pPr>
      <w:ind w:left="1698"/>
    </w:pPr>
  </w:style>
  <w:style w:type="paragraph" w:styleId="Index6">
    <w:name w:val="index 6"/>
    <w:basedOn w:val="Normal"/>
    <w:next w:val="Normal"/>
    <w:rsid w:val="00860D21"/>
    <w:pPr>
      <w:ind w:left="1415"/>
    </w:pPr>
  </w:style>
  <w:style w:type="paragraph" w:styleId="Index5">
    <w:name w:val="index 5"/>
    <w:basedOn w:val="Normal"/>
    <w:next w:val="Normal"/>
    <w:rsid w:val="00860D21"/>
    <w:pPr>
      <w:ind w:left="1132"/>
    </w:pPr>
  </w:style>
  <w:style w:type="paragraph" w:styleId="Index4">
    <w:name w:val="index 4"/>
    <w:basedOn w:val="Normal"/>
    <w:next w:val="Normal"/>
    <w:rsid w:val="00860D21"/>
    <w:pPr>
      <w:ind w:left="849"/>
    </w:pPr>
  </w:style>
  <w:style w:type="paragraph" w:styleId="Index3">
    <w:name w:val="index 3"/>
    <w:basedOn w:val="Normal"/>
    <w:next w:val="Normal"/>
    <w:rsid w:val="00860D21"/>
    <w:pPr>
      <w:ind w:left="566"/>
    </w:pPr>
  </w:style>
  <w:style w:type="paragraph" w:styleId="Index2">
    <w:name w:val="index 2"/>
    <w:basedOn w:val="Normal"/>
    <w:next w:val="Normal"/>
    <w:rsid w:val="00860D21"/>
    <w:pPr>
      <w:ind w:left="283"/>
    </w:pPr>
  </w:style>
  <w:style w:type="paragraph" w:styleId="Index1">
    <w:name w:val="index 1"/>
    <w:basedOn w:val="Normal"/>
    <w:next w:val="Normal"/>
    <w:rsid w:val="00860D21"/>
  </w:style>
  <w:style w:type="character" w:styleId="LineNumber">
    <w:name w:val="line number"/>
    <w:basedOn w:val="DefaultParagraphFont"/>
    <w:rsid w:val="00860D21"/>
  </w:style>
  <w:style w:type="paragraph" w:styleId="IndexHeading">
    <w:name w:val="index heading"/>
    <w:basedOn w:val="Normal"/>
    <w:next w:val="Index1"/>
    <w:rsid w:val="00860D21"/>
  </w:style>
  <w:style w:type="paragraph" w:customStyle="1" w:styleId="Equationlegend">
    <w:name w:val="Equation_legend"/>
    <w:basedOn w:val="NormalIndent"/>
    <w:rsid w:val="00860D21"/>
    <w:pPr>
      <w:tabs>
        <w:tab w:val="right" w:pos="1531"/>
      </w:tabs>
      <w:spacing w:before="80"/>
      <w:ind w:left="1701" w:hanging="1701"/>
    </w:pPr>
  </w:style>
  <w:style w:type="paragraph" w:customStyle="1" w:styleId="Figure">
    <w:name w:val="Figure"/>
    <w:basedOn w:val="Normal"/>
    <w:next w:val="Figuretitle"/>
    <w:rsid w:val="00860D21"/>
    <w:pPr>
      <w:keepNext/>
      <w:keepLines/>
      <w:spacing w:after="120"/>
      <w:jc w:val="center"/>
    </w:pPr>
  </w:style>
  <w:style w:type="paragraph" w:customStyle="1" w:styleId="Figuretitle">
    <w:name w:val="Figure_title"/>
    <w:basedOn w:val="Tabletitle"/>
    <w:next w:val="Normalaftertitle"/>
    <w:rsid w:val="00860D21"/>
    <w:pPr>
      <w:spacing w:before="240" w:after="480"/>
    </w:pPr>
  </w:style>
  <w:style w:type="paragraph" w:customStyle="1" w:styleId="Figurelegend">
    <w:name w:val="Figure_legend"/>
    <w:basedOn w:val="Normal"/>
    <w:rsid w:val="00860D21"/>
    <w:pPr>
      <w:keepNext/>
      <w:keepLines/>
      <w:spacing w:before="20" w:after="20"/>
    </w:pPr>
    <w:rPr>
      <w:sz w:val="18"/>
    </w:rPr>
  </w:style>
  <w:style w:type="paragraph" w:customStyle="1" w:styleId="Equation">
    <w:name w:val="Equation"/>
    <w:basedOn w:val="Normal"/>
    <w:rsid w:val="00860D21"/>
    <w:pPr>
      <w:tabs>
        <w:tab w:val="center" w:pos="4820"/>
        <w:tab w:val="right" w:pos="9639"/>
      </w:tabs>
    </w:pPr>
  </w:style>
  <w:style w:type="paragraph" w:styleId="List">
    <w:name w:val="List"/>
    <w:basedOn w:val="Normal"/>
    <w:rsid w:val="00860D21"/>
    <w:pPr>
      <w:tabs>
        <w:tab w:val="left" w:pos="2127"/>
      </w:tabs>
      <w:ind w:left="2127" w:hanging="2127"/>
    </w:pPr>
  </w:style>
  <w:style w:type="paragraph" w:customStyle="1" w:styleId="Figurewithouttitle">
    <w:name w:val="Figure_without_title"/>
    <w:basedOn w:val="Figure"/>
    <w:next w:val="Normalaftertitle"/>
    <w:rsid w:val="00860D21"/>
    <w:pPr>
      <w:keepNext w:val="0"/>
      <w:spacing w:after="240"/>
    </w:pPr>
  </w:style>
  <w:style w:type="paragraph" w:customStyle="1" w:styleId="meeting">
    <w:name w:val="meeting"/>
    <w:basedOn w:val="Head"/>
    <w:next w:val="Head"/>
    <w:rsid w:val="00860D21"/>
    <w:pPr>
      <w:tabs>
        <w:tab w:val="left" w:pos="567"/>
        <w:tab w:val="left" w:pos="1134"/>
        <w:tab w:val="left" w:pos="1701"/>
        <w:tab w:val="left" w:pos="2268"/>
        <w:tab w:val="left" w:pos="2835"/>
        <w:tab w:val="left" w:pos="6663"/>
        <w:tab w:val="left" w:pos="7371"/>
      </w:tabs>
      <w:overflowPunct/>
      <w:autoSpaceDE/>
      <w:autoSpaceDN/>
      <w:adjustRightInd/>
      <w:spacing w:after="567"/>
      <w:textAlignment w:val="auto"/>
    </w:pPr>
  </w:style>
  <w:style w:type="paragraph" w:customStyle="1" w:styleId="PartNo">
    <w:name w:val="Part_No"/>
    <w:basedOn w:val="AnnexNo"/>
    <w:next w:val="Parttitle"/>
    <w:rsid w:val="00860D21"/>
  </w:style>
  <w:style w:type="paragraph" w:customStyle="1" w:styleId="Parttitle">
    <w:name w:val="Part_title"/>
    <w:basedOn w:val="Annextitle"/>
    <w:next w:val="Partref"/>
    <w:rsid w:val="00860D21"/>
  </w:style>
  <w:style w:type="paragraph" w:customStyle="1" w:styleId="Partref">
    <w:name w:val="Part_ref"/>
    <w:basedOn w:val="Annexref"/>
    <w:next w:val="Normalaftertitle"/>
    <w:rsid w:val="00860D21"/>
  </w:style>
  <w:style w:type="paragraph" w:customStyle="1" w:styleId="Subject">
    <w:name w:val="Subject"/>
    <w:basedOn w:val="Normal"/>
    <w:next w:val="Source"/>
    <w:rsid w:val="00860D21"/>
    <w:pPr>
      <w:tabs>
        <w:tab w:val="left" w:pos="709"/>
      </w:tabs>
      <w:spacing w:before="0"/>
      <w:ind w:left="709" w:hanging="709"/>
    </w:pPr>
  </w:style>
  <w:style w:type="paragraph" w:customStyle="1" w:styleId="Data">
    <w:name w:val="Data"/>
    <w:basedOn w:val="Subject"/>
    <w:next w:val="Subject"/>
    <w:rsid w:val="00860D21"/>
  </w:style>
  <w:style w:type="character" w:styleId="FollowedHyperlink">
    <w:name w:val="FollowedHyperlink"/>
    <w:basedOn w:val="DefaultParagraphFont"/>
    <w:rsid w:val="00860D21"/>
    <w:rPr>
      <w:color w:val="800080"/>
      <w:u w:val="single"/>
    </w:rPr>
  </w:style>
  <w:style w:type="paragraph" w:customStyle="1" w:styleId="Title4">
    <w:name w:val="Title 4"/>
    <w:basedOn w:val="Title3"/>
    <w:next w:val="Heading1"/>
    <w:rsid w:val="00860D21"/>
    <w:rPr>
      <w:b/>
    </w:rPr>
  </w:style>
  <w:style w:type="paragraph" w:customStyle="1" w:styleId="dnum">
    <w:name w:val="dnum"/>
    <w:basedOn w:val="Normal"/>
    <w:rsid w:val="00860D21"/>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860D21"/>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860D21"/>
    <w:pPr>
      <w:framePr w:hSpace="181" w:wrap="notBeside" w:vAnchor="page" w:hAnchor="margin" w:x="1" w:y="852"/>
      <w:shd w:val="solid" w:color="FFFFFF" w:fill="FFFFFF"/>
      <w:tabs>
        <w:tab w:val="left" w:pos="1871"/>
      </w:tabs>
      <w:spacing w:before="0"/>
    </w:pPr>
    <w:rPr>
      <w:b/>
      <w:bCs/>
    </w:rPr>
  </w:style>
  <w:style w:type="paragraph" w:customStyle="1" w:styleId="Recref">
    <w:name w:val="Rec_ref"/>
    <w:basedOn w:val="Rectitle"/>
    <w:next w:val="Recdate"/>
    <w:rsid w:val="00860D21"/>
    <w:pPr>
      <w:spacing w:before="120"/>
    </w:pPr>
    <w:rPr>
      <w:rFonts w:ascii="Times New Roman" w:hAnsi="Times New Roman"/>
      <w:b w:val="0"/>
      <w:sz w:val="24"/>
    </w:rPr>
  </w:style>
  <w:style w:type="paragraph" w:customStyle="1" w:styleId="Recdate">
    <w:name w:val="Rec_date"/>
    <w:basedOn w:val="Recref"/>
    <w:next w:val="Normalaftertitle"/>
    <w:rsid w:val="00860D21"/>
    <w:pPr>
      <w:jc w:val="right"/>
    </w:pPr>
    <w:rPr>
      <w:sz w:val="22"/>
    </w:rPr>
  </w:style>
  <w:style w:type="paragraph" w:customStyle="1" w:styleId="Questiondate">
    <w:name w:val="Question_date"/>
    <w:basedOn w:val="Recdate"/>
    <w:next w:val="Normalaftertitle"/>
    <w:rsid w:val="00860D21"/>
  </w:style>
  <w:style w:type="paragraph" w:customStyle="1" w:styleId="QuestionNo">
    <w:name w:val="Question_No"/>
    <w:basedOn w:val="RecNo"/>
    <w:next w:val="Questiontitle"/>
    <w:rsid w:val="00860D21"/>
  </w:style>
  <w:style w:type="paragraph" w:customStyle="1" w:styleId="Questiontitle">
    <w:name w:val="Question_title"/>
    <w:basedOn w:val="Rectitle"/>
    <w:next w:val="Questionref"/>
    <w:rsid w:val="00860D21"/>
  </w:style>
  <w:style w:type="paragraph" w:customStyle="1" w:styleId="Questionref">
    <w:name w:val="Question_ref"/>
    <w:basedOn w:val="Recref"/>
    <w:next w:val="Questiondate"/>
    <w:rsid w:val="00860D21"/>
  </w:style>
  <w:style w:type="paragraph" w:customStyle="1" w:styleId="Repdate">
    <w:name w:val="Rep_date"/>
    <w:basedOn w:val="Recdate"/>
    <w:next w:val="Normalaftertitle"/>
    <w:rsid w:val="00860D21"/>
  </w:style>
  <w:style w:type="paragraph" w:customStyle="1" w:styleId="RepNo">
    <w:name w:val="Rep_No"/>
    <w:basedOn w:val="RecNo"/>
    <w:next w:val="Reptitle"/>
    <w:rsid w:val="00860D21"/>
  </w:style>
  <w:style w:type="paragraph" w:customStyle="1" w:styleId="Reptitle">
    <w:name w:val="Rep_title"/>
    <w:basedOn w:val="Rectitle"/>
    <w:next w:val="Repref"/>
    <w:rsid w:val="00860D21"/>
  </w:style>
  <w:style w:type="paragraph" w:customStyle="1" w:styleId="Repref">
    <w:name w:val="Rep_ref"/>
    <w:basedOn w:val="Recref"/>
    <w:next w:val="Repdate"/>
    <w:rsid w:val="00860D21"/>
  </w:style>
  <w:style w:type="paragraph" w:customStyle="1" w:styleId="Resdate">
    <w:name w:val="Res_date"/>
    <w:basedOn w:val="Recdate"/>
    <w:next w:val="Normalaftertitle"/>
    <w:rsid w:val="00860D21"/>
  </w:style>
  <w:style w:type="paragraph" w:customStyle="1" w:styleId="Resref">
    <w:name w:val="Res_ref"/>
    <w:basedOn w:val="Recref"/>
    <w:next w:val="Resdate"/>
    <w:rsid w:val="00860D21"/>
  </w:style>
  <w:style w:type="paragraph" w:customStyle="1" w:styleId="SpecialFooter">
    <w:name w:val="Special Footer"/>
    <w:basedOn w:val="Footer"/>
    <w:rsid w:val="00860D21"/>
    <w:pPr>
      <w:tabs>
        <w:tab w:val="left" w:pos="567"/>
        <w:tab w:val="left" w:pos="1134"/>
        <w:tab w:val="left" w:pos="1701"/>
        <w:tab w:val="left" w:pos="2268"/>
        <w:tab w:val="left" w:pos="2835"/>
      </w:tabs>
      <w:jc w:val="both"/>
    </w:pPr>
    <w:rPr>
      <w:caps w:val="0"/>
      <w:noProof w:val="0"/>
    </w:rPr>
  </w:style>
  <w:style w:type="paragraph" w:customStyle="1" w:styleId="Tableref">
    <w:name w:val="Table_ref"/>
    <w:basedOn w:val="Normal"/>
    <w:next w:val="Tabletitle"/>
    <w:rsid w:val="00860D21"/>
    <w:pPr>
      <w:keepNext/>
      <w:spacing w:before="567"/>
      <w:jc w:val="center"/>
    </w:pPr>
  </w:style>
  <w:style w:type="paragraph" w:customStyle="1" w:styleId="FigureNo">
    <w:name w:val="Figure_No"/>
    <w:basedOn w:val="Normal"/>
    <w:next w:val="Figuretitle"/>
    <w:rsid w:val="00860D21"/>
    <w:pPr>
      <w:keepNext/>
      <w:keepLines/>
      <w:spacing w:before="240" w:after="120"/>
      <w:jc w:val="center"/>
    </w:pPr>
    <w:rPr>
      <w:caps/>
    </w:rPr>
  </w:style>
  <w:style w:type="paragraph" w:customStyle="1" w:styleId="Table">
    <w:name w:val="Table_#"/>
    <w:basedOn w:val="Normal"/>
    <w:next w:val="Normal"/>
    <w:rsid w:val="00860D21"/>
    <w:pPr>
      <w:keepNext/>
      <w:overflowPunct/>
      <w:autoSpaceDE/>
      <w:autoSpaceDN/>
      <w:adjustRightInd/>
      <w:spacing w:before="560" w:after="120"/>
      <w:jc w:val="center"/>
      <w:textAlignment w:val="auto"/>
    </w:pPr>
    <w:rPr>
      <w:caps/>
      <w:lang w:val="en-GB"/>
    </w:rPr>
  </w:style>
  <w:style w:type="table" w:styleId="PlainTable4">
    <w:name w:val="Plain Table 4"/>
    <w:basedOn w:val="TableNormal"/>
    <w:uiPriority w:val="44"/>
    <w:rsid w:val="00860D21"/>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860D21"/>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rsid w:val="00860D21"/>
    <w:rPr>
      <w:rFonts w:ascii="Calibri" w:hAnsi="Calibri"/>
      <w:sz w:val="24"/>
      <w:lang w:val="es-ES_tradnl" w:eastAsia="en-US"/>
    </w:rPr>
  </w:style>
  <w:style w:type="table" w:styleId="PlainTable2">
    <w:name w:val="Plain Table 2"/>
    <w:basedOn w:val="TableNormal"/>
    <w:uiPriority w:val="42"/>
    <w:rsid w:val="00860D2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0D21"/>
    <w:pPr>
      <w:tabs>
        <w:tab w:val="clear" w:pos="567"/>
        <w:tab w:val="clear" w:pos="1134"/>
        <w:tab w:val="clear" w:pos="1701"/>
        <w:tab w:val="clear" w:pos="2268"/>
        <w:tab w:val="clear" w:pos="2835"/>
      </w:tabs>
      <w:overflowPunct/>
      <w:autoSpaceDE/>
      <w:autoSpaceDN/>
      <w:adjustRightInd/>
      <w:spacing w:before="0" w:after="160" w:line="259" w:lineRule="auto"/>
      <w:ind w:left="720"/>
      <w:contextualSpacing/>
      <w:jc w:val="both"/>
      <w:textAlignment w:val="auto"/>
    </w:pPr>
    <w:rPr>
      <w:rFonts w:asciiTheme="minorHAnsi" w:eastAsiaTheme="minorHAnsi" w:hAnsiTheme="minorHAnsi" w:cstheme="minorBidi"/>
      <w:sz w:val="22"/>
      <w:szCs w:val="22"/>
      <w:lang w:val="en-US"/>
    </w:rPr>
  </w:style>
  <w:style w:type="paragraph" w:styleId="NormalWeb">
    <w:name w:val="Normal (Web)"/>
    <w:basedOn w:val="Normal"/>
    <w:uiPriority w:val="99"/>
    <w:semiHidden/>
    <w:unhideWhenUsed/>
    <w:rsid w:val="00860D2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styleId="CommentReference">
    <w:name w:val="annotation reference"/>
    <w:basedOn w:val="DefaultParagraphFont"/>
    <w:uiPriority w:val="99"/>
    <w:semiHidden/>
    <w:unhideWhenUsed/>
    <w:rsid w:val="00860D21"/>
    <w:rPr>
      <w:sz w:val="16"/>
      <w:szCs w:val="16"/>
    </w:rPr>
  </w:style>
  <w:style w:type="paragraph" w:styleId="CommentText">
    <w:name w:val="annotation text"/>
    <w:basedOn w:val="Normal"/>
    <w:link w:val="CommentTextChar"/>
    <w:uiPriority w:val="99"/>
    <w:unhideWhenUsed/>
    <w:rsid w:val="00860D21"/>
    <w:rPr>
      <w:sz w:val="20"/>
    </w:rPr>
  </w:style>
  <w:style w:type="character" w:customStyle="1" w:styleId="CommentTextChar">
    <w:name w:val="Comment Text Char"/>
    <w:basedOn w:val="DefaultParagraphFont"/>
    <w:link w:val="CommentText"/>
    <w:uiPriority w:val="99"/>
    <w:rsid w:val="00860D21"/>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860D21"/>
    <w:rPr>
      <w:b/>
      <w:bCs/>
    </w:rPr>
  </w:style>
  <w:style w:type="character" w:customStyle="1" w:styleId="CommentSubjectChar">
    <w:name w:val="Comment Subject Char"/>
    <w:basedOn w:val="CommentTextChar"/>
    <w:link w:val="CommentSubject"/>
    <w:semiHidden/>
    <w:rsid w:val="00860D21"/>
    <w:rPr>
      <w:rFonts w:ascii="Calibri" w:hAnsi="Calibri"/>
      <w:b/>
      <w:bCs/>
      <w:lang w:val="es-ES_tradnl" w:eastAsia="en-US"/>
    </w:rPr>
  </w:style>
  <w:style w:type="paragraph" w:styleId="Revision">
    <w:name w:val="Revision"/>
    <w:hidden/>
    <w:uiPriority w:val="99"/>
    <w:semiHidden/>
    <w:rsid w:val="00860D21"/>
    <w:rPr>
      <w:rFonts w:ascii="Calibri" w:hAnsi="Calibri"/>
      <w:sz w:val="24"/>
      <w:lang w:val="es-ES_tradnl" w:eastAsia="en-US"/>
    </w:rPr>
  </w:style>
  <w:style w:type="table" w:styleId="TableGrid">
    <w:name w:val="Table Grid"/>
    <w:basedOn w:val="TableNormal"/>
    <w:rsid w:val="00A71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079aa3-af9a-4331-b44a-1c39bf2a6d18" targetNamespace="http://schemas.microsoft.com/office/2006/metadata/properties" ma:root="true" ma:fieldsID="d41af5c836d734370eb92e7ee5f83852" ns2:_="" ns3:_="">
    <xsd:import namespace="996b2e75-67fd-4955-a3b0-5ab9934cb50b"/>
    <xsd:import namespace="e4079aa3-af9a-4331-b44a-1c39bf2a6d1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079aa3-af9a-4331-b44a-1c39bf2a6d1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4079aa3-af9a-4331-b44a-1c39bf2a6d18">DPM</DPM_x0020_Author>
    <DPM_x0020_File_x0020_name xmlns="e4079aa3-af9a-4331-b44a-1c39bf2a6d18">S18-PP-C-24!A1!MSW-S</DPM_x0020_File_x0020_name>
    <DPM_x0020_Version xmlns="e4079aa3-af9a-4331-b44a-1c39bf2a6d18">DPM_2018.06.12.1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079aa3-af9a-4331-b44a-1c39bf2a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e4079aa3-af9a-4331-b44a-1c39bf2a6d18"/>
    <ds:schemaRef ds:uri="http://purl.org/dc/dcmitype/"/>
    <ds:schemaRef ds:uri="996b2e75-67fd-4955-a3b0-5ab9934cb50b"/>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Anexo 2 a la Resolución 71</vt:lpstr>
    </vt:vector>
  </TitlesOfParts>
  <Manager/>
  <Company/>
  <LinksUpToDate>false</LinksUpToDate>
  <CharactersWithSpaces>9085</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 a la Resolución 71</dc:title>
  <dc:subject>Plenipotentiary Conference (PP-18)</dc:subject>
  <dc:creator/>
  <cp:keywords>PP-18, Plenipotentiary</cp:keywords>
  <dc:description/>
  <cp:lastModifiedBy/>
  <cp:revision>1</cp:revision>
  <dcterms:created xsi:type="dcterms:W3CDTF">2018-07-06T09:44:00Z</dcterms:created>
  <dcterms:modified xsi:type="dcterms:W3CDTF">2018-07-06T10:02:00Z</dcterms:modified>
  <cp:category>Conference document</cp:category>
</cp:coreProperties>
</file>