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7F6EBC" w:rsidRPr="002C188C">
        <w:trPr>
          <w:cantSplit/>
        </w:trPr>
        <w:tc>
          <w:tcPr>
            <w:tcW w:w="6912" w:type="dxa"/>
          </w:tcPr>
          <w:p w:rsidR="007F6EBC" w:rsidRPr="002C188C" w:rsidRDefault="007F6EBC" w:rsidP="00ED46DD">
            <w:pPr>
              <w:spacing w:before="360"/>
              <w:rPr>
                <w:b/>
                <w:bCs/>
                <w:szCs w:val="24"/>
              </w:rPr>
            </w:pPr>
            <w:bookmarkStart w:id="0" w:name="dpp"/>
            <w:bookmarkStart w:id="1" w:name="dbluepink" w:colFirst="0" w:colLast="0"/>
            <w:bookmarkEnd w:id="0"/>
            <w:r w:rsidRPr="002C188C">
              <w:rPr>
                <w:b/>
                <w:bCs/>
                <w:sz w:val="30"/>
                <w:szCs w:val="30"/>
              </w:rPr>
              <w:t>Conferencia de Plenipotenciarios (PP-1</w:t>
            </w:r>
            <w:r w:rsidR="00ED46DD" w:rsidRPr="002C188C">
              <w:rPr>
                <w:b/>
                <w:bCs/>
                <w:sz w:val="30"/>
                <w:szCs w:val="30"/>
              </w:rPr>
              <w:t>8</w:t>
            </w:r>
            <w:r w:rsidRPr="002C188C">
              <w:rPr>
                <w:b/>
                <w:bCs/>
                <w:sz w:val="30"/>
                <w:szCs w:val="30"/>
              </w:rPr>
              <w:t>)</w:t>
            </w:r>
            <w:r w:rsidRPr="002C188C">
              <w:rPr>
                <w:b/>
                <w:bCs/>
                <w:sz w:val="30"/>
                <w:szCs w:val="30"/>
              </w:rPr>
              <w:br/>
            </w:r>
            <w:r w:rsidR="00ED46DD" w:rsidRPr="002C188C">
              <w:rPr>
                <w:b/>
                <w:bCs/>
              </w:rPr>
              <w:t>Dubái</w:t>
            </w:r>
            <w:r w:rsidRPr="002C188C">
              <w:rPr>
                <w:b/>
                <w:bCs/>
              </w:rPr>
              <w:t xml:space="preserve">, </w:t>
            </w:r>
            <w:r w:rsidR="00ED46DD" w:rsidRPr="002C188C">
              <w:rPr>
                <w:b/>
                <w:bCs/>
              </w:rPr>
              <w:t>29</w:t>
            </w:r>
            <w:r w:rsidR="004B07DB" w:rsidRPr="002C188C">
              <w:rPr>
                <w:b/>
                <w:bCs/>
              </w:rPr>
              <w:t xml:space="preserve"> de octubre - </w:t>
            </w:r>
            <w:r w:rsidR="00ED46DD" w:rsidRPr="002C188C">
              <w:rPr>
                <w:b/>
                <w:bCs/>
              </w:rPr>
              <w:t>16</w:t>
            </w:r>
            <w:r w:rsidR="004B07DB" w:rsidRPr="002C188C">
              <w:rPr>
                <w:b/>
                <w:bCs/>
              </w:rPr>
              <w:t xml:space="preserve"> de noviembre de 201</w:t>
            </w:r>
            <w:r w:rsidR="00ED46DD" w:rsidRPr="002C188C">
              <w:rPr>
                <w:b/>
                <w:bCs/>
              </w:rPr>
              <w:t>8</w:t>
            </w:r>
          </w:p>
        </w:tc>
        <w:tc>
          <w:tcPr>
            <w:tcW w:w="3261" w:type="dxa"/>
          </w:tcPr>
          <w:p w:rsidR="007F6EBC" w:rsidRPr="002C188C" w:rsidRDefault="004B07DB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2C188C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61DE526" wp14:editId="73ECE7B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EBC" w:rsidRPr="002C188C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7F6EBC" w:rsidRPr="002C188C" w:rsidRDefault="007F6EB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7F6EBC" w:rsidRPr="002C188C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7F6EBC" w:rsidRPr="002C188C" w:rsidRDefault="007F6EB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7F6EBC" w:rsidRPr="002C188C" w:rsidRDefault="007F6EB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7F6EBC" w:rsidRPr="002C188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F6EBC" w:rsidRPr="002C188C" w:rsidRDefault="00D060DE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2C188C">
              <w:rPr>
                <w:b/>
                <w:smallCap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7F6EBC" w:rsidRPr="002C188C" w:rsidRDefault="00D060DE">
            <w:pPr>
              <w:spacing w:before="0"/>
              <w:rPr>
                <w:b/>
                <w:bCs/>
                <w:szCs w:val="24"/>
              </w:rPr>
            </w:pPr>
            <w:r w:rsidRPr="002C188C">
              <w:rPr>
                <w:b/>
                <w:bCs/>
                <w:szCs w:val="24"/>
              </w:rPr>
              <w:t>Documento 1-S</w:t>
            </w:r>
          </w:p>
        </w:tc>
      </w:tr>
      <w:tr w:rsidR="007F6EBC" w:rsidRPr="002C188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F6EBC" w:rsidRPr="002C188C" w:rsidRDefault="007F6EBC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ED46DD" w:rsidRPr="002C188C" w:rsidRDefault="00ED46DD" w:rsidP="00D060DE">
            <w:pPr>
              <w:spacing w:before="0"/>
              <w:rPr>
                <w:b/>
                <w:bCs/>
                <w:szCs w:val="24"/>
              </w:rPr>
            </w:pPr>
            <w:r w:rsidRPr="002C188C">
              <w:rPr>
                <w:b/>
                <w:bCs/>
                <w:szCs w:val="24"/>
              </w:rPr>
              <w:t>15 de noviembre de 2017</w:t>
            </w:r>
          </w:p>
        </w:tc>
      </w:tr>
      <w:tr w:rsidR="007F6EBC" w:rsidRPr="002C188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F6EBC" w:rsidRPr="002C188C" w:rsidRDefault="007F6EBC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7F6EBC" w:rsidRPr="002C188C" w:rsidRDefault="00D060DE">
            <w:pPr>
              <w:spacing w:before="0"/>
              <w:rPr>
                <w:b/>
                <w:bCs/>
                <w:szCs w:val="24"/>
              </w:rPr>
            </w:pPr>
            <w:r w:rsidRPr="002C188C">
              <w:rPr>
                <w:b/>
                <w:bCs/>
                <w:szCs w:val="24"/>
              </w:rPr>
              <w:t>Original: inglés</w:t>
            </w:r>
          </w:p>
        </w:tc>
      </w:tr>
      <w:tr w:rsidR="007F6EBC" w:rsidRPr="002C188C">
        <w:trPr>
          <w:cantSplit/>
        </w:trPr>
        <w:tc>
          <w:tcPr>
            <w:tcW w:w="10173" w:type="dxa"/>
            <w:gridSpan w:val="2"/>
          </w:tcPr>
          <w:p w:rsidR="007F6EBC" w:rsidRPr="002C188C" w:rsidRDefault="00D060DE">
            <w:pPr>
              <w:pStyle w:val="Source"/>
            </w:pPr>
            <w:bookmarkStart w:id="7" w:name="dsource" w:colFirst="0" w:colLast="0"/>
            <w:bookmarkEnd w:id="1"/>
            <w:bookmarkEnd w:id="6"/>
            <w:r w:rsidRPr="002C188C">
              <w:t>Nota del Secretario General</w:t>
            </w:r>
          </w:p>
        </w:tc>
      </w:tr>
      <w:tr w:rsidR="007F6EBC" w:rsidRPr="002C188C">
        <w:trPr>
          <w:cantSplit/>
        </w:trPr>
        <w:tc>
          <w:tcPr>
            <w:tcW w:w="10173" w:type="dxa"/>
            <w:gridSpan w:val="2"/>
          </w:tcPr>
          <w:p w:rsidR="007F6EBC" w:rsidRPr="002C188C" w:rsidRDefault="00D060DE">
            <w:pPr>
              <w:pStyle w:val="Title1"/>
            </w:pPr>
            <w:bookmarkStart w:id="8" w:name="dtitle1" w:colFirst="0" w:colLast="0"/>
            <w:bookmarkEnd w:id="7"/>
            <w:r w:rsidRPr="002C188C">
              <w:t>ORDEN DEL DÍA DE LA CONFERENCIA</w:t>
            </w:r>
          </w:p>
        </w:tc>
      </w:tr>
    </w:tbl>
    <w:p w:rsidR="00D060DE" w:rsidRPr="002C188C" w:rsidRDefault="00D060DE">
      <w:pPr>
        <w:spacing w:before="960"/>
        <w:rPr>
          <w:szCs w:val="24"/>
        </w:rPr>
      </w:pPr>
      <w:bookmarkStart w:id="9" w:name="dbreak"/>
      <w:bookmarkEnd w:id="8"/>
      <w:bookmarkEnd w:id="9"/>
      <w:r w:rsidRPr="002C188C">
        <w:t>E</w:t>
      </w:r>
      <w:r w:rsidR="00840F7D" w:rsidRPr="002C188C">
        <w:t>n e</w:t>
      </w:r>
      <w:r w:rsidRPr="002C188C">
        <w:t xml:space="preserve">l Artículo 8 de la Constitución de la Unión Internacional de Telecomunicaciones </w:t>
      </w:r>
      <w:r w:rsidR="00840F7D" w:rsidRPr="002C188C">
        <w:t xml:space="preserve">se </w:t>
      </w:r>
      <w:r w:rsidRPr="002C188C">
        <w:t xml:space="preserve">estipula </w:t>
      </w:r>
      <w:r w:rsidR="00840F7D" w:rsidRPr="002C188C">
        <w:t>lo siguiente</w:t>
      </w:r>
      <w:r w:rsidRPr="002C188C">
        <w:t>:</w:t>
      </w:r>
    </w:p>
    <w:p w:rsidR="00D060DE" w:rsidRPr="002C188C" w:rsidRDefault="00D060DE" w:rsidP="00D060DE">
      <w:pPr>
        <w:pStyle w:val="ArtNo"/>
      </w:pPr>
      <w:r w:rsidRPr="002C188C">
        <w:t xml:space="preserve">ARTÍCULO </w:t>
      </w:r>
      <w:r w:rsidRPr="002C188C">
        <w:rPr>
          <w:rStyle w:val="href"/>
        </w:rPr>
        <w:t>8</w:t>
      </w:r>
    </w:p>
    <w:p w:rsidR="00D060DE" w:rsidRPr="002C188C" w:rsidRDefault="00D060DE" w:rsidP="00D060DE">
      <w:pPr>
        <w:pStyle w:val="Arttitle"/>
      </w:pPr>
      <w:bookmarkStart w:id="10" w:name="_Toc422739279"/>
      <w:r w:rsidRPr="002C188C">
        <w:t>La Conferencia de Plenipotenciarios</w:t>
      </w:r>
      <w:bookmarkEnd w:id="10"/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Normalaftertitle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47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</w:rPr>
              <w:t>1</w:t>
            </w:r>
            <w:r w:rsidRPr="002C188C">
              <w:rPr>
                <w:rFonts w:asciiTheme="minorHAnsi" w:hAnsiTheme="minorHAnsi" w:cstheme="minorHAnsi"/>
                <w:b/>
              </w:rPr>
              <w:tab/>
            </w:r>
            <w:r w:rsidRPr="002C188C">
              <w:rPr>
                <w:rFonts w:asciiTheme="minorHAnsi" w:hAnsiTheme="minorHAnsi" w:cstheme="minorHAnsi"/>
              </w:rPr>
              <w:t>La Conferencia de Plenipotenciarios estará constituida por delegaciones que representen a los Estados Miembros y se convocará cada cuatro años.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Normalaf"/>
              <w:spacing w:before="16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48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</w:rPr>
              <w:t>2</w:t>
            </w:r>
            <w:r w:rsidRPr="002C188C">
              <w:rPr>
                <w:rFonts w:asciiTheme="minorHAnsi" w:hAnsiTheme="minorHAnsi" w:cstheme="minorHAnsi"/>
                <w:b/>
              </w:rPr>
              <w:tab/>
            </w:r>
            <w:r w:rsidRPr="002C188C">
              <w:rPr>
                <w:rFonts w:asciiTheme="minorHAnsi" w:hAnsiTheme="minorHAnsi" w:cstheme="minorHAnsi"/>
              </w:rPr>
              <w:t>Sobre la base de las propuestas de los Estados Miembros y teniendo en cuenta los Informes preparados por el Consejo, la Conferencia de Plenipotenciarios: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a)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determinará los principios generales aplicables para alcanzar el objeto de la Unión enunciado en el Artículo 1 de la presente Constitución;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50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PP-94  </w:t>
            </w:r>
            <w:r w:rsidRPr="002C188C">
              <w:rPr>
                <w:rFonts w:asciiTheme="minorHAnsi" w:hAnsiTheme="minorHAnsi" w:cstheme="minorHAnsi"/>
                <w:b/>
                <w:lang w:val="es-ES_tradnl"/>
              </w:rPr>
              <w:br/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PP-98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b)</w:t>
            </w:r>
            <w:r w:rsidRPr="002C188C">
              <w:rPr>
                <w:rFonts w:asciiTheme="minorHAnsi" w:hAnsiTheme="minorHAnsi" w:cstheme="minorHAnsi"/>
                <w:b/>
              </w:rPr>
              <w:tab/>
            </w:r>
            <w:r w:rsidRPr="002C188C">
              <w:rPr>
                <w:rFonts w:asciiTheme="minorHAnsi" w:hAnsiTheme="minorHAnsi" w:cstheme="minorHAnsi"/>
              </w:rPr>
              <w:t>examinará los Informes del Consejo acerca de las actividades de la Unión desde la última Conferencia de Plenipotenciarios y sobre la política general y la planificación estratégica de la Unión;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51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PP-02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  <w:iCs/>
              </w:rPr>
              <w:t>c)</w:t>
            </w:r>
            <w:r w:rsidRPr="002C188C">
              <w:rPr>
                <w:rFonts w:asciiTheme="minorHAnsi" w:hAnsiTheme="minorHAnsi" w:cstheme="minorHAnsi"/>
              </w:rPr>
              <w:tab/>
              <w:t>de conformidad con las decisiones adoptadas en función de los informes a que se hace referencia en el número 50 anterior, establecerá el Plan Estratégico de la Unión y las bases del presupuesto de la Unión, y fijará los correspondientes límites financieros hasta la siguiente Conferencia de Plenipotenciarios después de considerar todos los aspectos pertinentes de las actividades de la Unión durante dicho periodo;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proofErr w:type="spellStart"/>
            <w:r w:rsidRPr="002C188C">
              <w:rPr>
                <w:rFonts w:asciiTheme="minorHAnsi" w:hAnsiTheme="minorHAnsi" w:cstheme="minorHAnsi"/>
                <w:b/>
                <w:lang w:val="es-ES_tradnl"/>
              </w:rPr>
              <w:t>51A</w:t>
            </w:r>
            <w:proofErr w:type="spellEnd"/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</w:p>
        </w:tc>
        <w:tc>
          <w:tcPr>
            <w:tcW w:w="8788" w:type="dxa"/>
          </w:tcPr>
          <w:p w:rsidR="00D060DE" w:rsidRPr="002C188C" w:rsidRDefault="00D060DE">
            <w:pPr>
              <w:pStyle w:val="enumlev1"/>
              <w:spacing w:before="16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i/>
              </w:rPr>
              <w:t>c</w:t>
            </w:r>
            <w:r w:rsidRPr="002C188C">
              <w:rPr>
                <w:rFonts w:asciiTheme="minorHAnsi" w:hAnsiTheme="minorHAnsi" w:cstheme="minorHAnsi"/>
                <w:i/>
                <w:sz w:val="12"/>
              </w:rPr>
              <w:t> </w:t>
            </w:r>
            <w:r w:rsidRPr="002C188C">
              <w:rPr>
                <w:rFonts w:asciiTheme="minorHAnsi" w:hAnsiTheme="minorHAnsi" w:cstheme="minorHAnsi"/>
                <w:i/>
              </w:rPr>
              <w:t>bis)</w:t>
            </w:r>
            <w:r w:rsidRPr="002C188C">
              <w:rPr>
                <w:rFonts w:asciiTheme="minorHAnsi" w:hAnsiTheme="minorHAnsi" w:cstheme="minorHAnsi"/>
                <w:b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 xml:space="preserve">establecerá, aplicando los procedimientos indicados en los números </w:t>
            </w:r>
            <w:proofErr w:type="spellStart"/>
            <w:r w:rsidRPr="002C188C">
              <w:rPr>
                <w:rFonts w:asciiTheme="minorHAnsi" w:hAnsiTheme="minorHAnsi" w:cstheme="minorHAnsi"/>
              </w:rPr>
              <w:t>161D</w:t>
            </w:r>
            <w:proofErr w:type="spellEnd"/>
            <w:r w:rsidRPr="002C188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C188C">
              <w:rPr>
                <w:rFonts w:asciiTheme="minorHAnsi" w:hAnsiTheme="minorHAnsi" w:cstheme="minorHAnsi"/>
              </w:rPr>
              <w:t>161G</w:t>
            </w:r>
            <w:proofErr w:type="spellEnd"/>
            <w:r w:rsidRPr="002C188C">
              <w:rPr>
                <w:rFonts w:asciiTheme="minorHAnsi" w:hAnsiTheme="minorHAnsi" w:cstheme="minorHAnsi"/>
              </w:rPr>
              <w:t xml:space="preserve"> de la presente Constitución, el número total de unidades contributivas para el periodo hasta la siguiente Conferencia de Plenipotenciarios, sobre la base de las clases contributivas anunciadas por los Estados Miembros</w:t>
            </w:r>
            <w:r w:rsidR="00ED46DD" w:rsidRPr="002C188C">
              <w:rPr>
                <w:rFonts w:asciiTheme="minorHAnsi" w:hAnsiTheme="minorHAnsi" w:cstheme="minorHAnsi"/>
              </w:rPr>
              <w:t>;</w:t>
            </w:r>
          </w:p>
        </w:tc>
      </w:tr>
      <w:tr w:rsidR="00D060DE" w:rsidRPr="002C188C" w:rsidTr="00D060DE">
        <w:trPr>
          <w:cantSplit/>
        </w:trPr>
        <w:tc>
          <w:tcPr>
            <w:tcW w:w="851" w:type="dxa"/>
          </w:tcPr>
          <w:p w:rsidR="00D060DE" w:rsidRPr="002C188C" w:rsidRDefault="00D060DE" w:rsidP="00D060DE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lastRenderedPageBreak/>
              <w:t>52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d)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dará las instrucciones generales relacionadas con la plantilla de personal de la Unión y, si es necesario, fijará los sueldos base y la escala de sueldos, así como el sistema de asignaciones y pensiones para todos los funcionarios de la Unión;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"/>
              <w:keepNext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53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keepNext/>
              <w:pageBreakBefore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e)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examinará y, en su caso, aprobará definitivamente las cuentas de la Unión;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54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f)</w:t>
            </w:r>
            <w:r w:rsidRPr="002C188C">
              <w:rPr>
                <w:rFonts w:asciiTheme="minorHAnsi" w:hAnsiTheme="minorHAnsi" w:cstheme="minorHAnsi"/>
                <w:b/>
              </w:rPr>
              <w:tab/>
            </w:r>
            <w:r w:rsidRPr="002C188C">
              <w:rPr>
                <w:rFonts w:asciiTheme="minorHAnsi" w:hAnsiTheme="minorHAnsi" w:cstheme="minorHAnsi"/>
              </w:rPr>
              <w:t>elegirá a los Estados Miembros que han de constituir el Consejo;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g)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elegirá al Secretario General, al Vicesecretario General y a los Directores de las Oficinas de los Sectores como funcionarios de elección de la Unión;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56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h)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elegirá a los miembros de la Junta del Reglamento de Radiocomunicaciones;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57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PP-94  </w:t>
            </w:r>
            <w:r w:rsidRPr="002C188C">
              <w:rPr>
                <w:rFonts w:asciiTheme="minorHAnsi" w:hAnsiTheme="minorHAnsi" w:cstheme="minorHAnsi"/>
                <w:b/>
                <w:lang w:val="es-ES_tradnl"/>
              </w:rPr>
              <w:br/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PP-98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i)</w:t>
            </w:r>
            <w:r w:rsidRPr="002C188C">
              <w:rPr>
                <w:rFonts w:asciiTheme="minorHAnsi" w:hAnsiTheme="minorHAnsi" w:cstheme="minorHAnsi"/>
                <w:b/>
              </w:rPr>
              <w:tab/>
            </w:r>
            <w:r w:rsidRPr="002C188C">
              <w:rPr>
                <w:rFonts w:asciiTheme="minorHAnsi" w:hAnsiTheme="minorHAnsi" w:cstheme="minorHAnsi"/>
              </w:rPr>
              <w:t>examinará y, en su caso, aprobará las enmiendas propuestas a la presente Constitución y al Convenio, formuladas por los Estados Miembros, de conformidad, respectivamente, con el Artículo 55 de la presente Constitución y las disposiciones aplicables del Convenio;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j)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concertará y, en su caso, revisará los acuerdos entre la Unión y otras organizaciones internacionales, examinará los acuerdos provisionales concertados con dichas organizaciones por el Consejo en nombre de la Unión y resolverá sobre ellos lo que estime oportuno;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proofErr w:type="spellStart"/>
            <w:r w:rsidRPr="002C188C">
              <w:rPr>
                <w:rFonts w:asciiTheme="minorHAnsi" w:hAnsiTheme="minorHAnsi" w:cstheme="minorHAnsi"/>
                <w:b/>
                <w:lang w:val="es-ES_tradnl"/>
              </w:rPr>
              <w:t>58A</w:t>
            </w:r>
            <w:proofErr w:type="spellEnd"/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PP-02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  <w:iCs/>
              </w:rPr>
              <w:t>j</w:t>
            </w:r>
            <w:r w:rsidRPr="002C188C">
              <w:rPr>
                <w:rFonts w:asciiTheme="minorHAnsi" w:hAnsiTheme="minorHAnsi" w:cstheme="minorHAnsi"/>
                <w:i/>
                <w:sz w:val="12"/>
              </w:rPr>
              <w:t> </w:t>
            </w:r>
            <w:r w:rsidRPr="002C188C">
              <w:rPr>
                <w:rFonts w:asciiTheme="minorHAnsi" w:hAnsiTheme="minorHAnsi" w:cstheme="minorHAnsi"/>
                <w:i/>
                <w:iCs/>
              </w:rPr>
              <w:t>bis)</w:t>
            </w:r>
            <w:r w:rsidRPr="002C188C">
              <w:rPr>
                <w:rFonts w:asciiTheme="minorHAnsi" w:hAnsiTheme="minorHAnsi" w:cstheme="minorHAnsi"/>
                <w:b/>
                <w:bCs/>
              </w:rPr>
              <w:tab/>
            </w:r>
            <w:r w:rsidRPr="002C188C">
              <w:rPr>
                <w:rFonts w:asciiTheme="minorHAnsi" w:hAnsiTheme="minorHAnsi" w:cstheme="minorHAnsi"/>
              </w:rPr>
              <w:t>adoptará y enmendará el Reglamento General de las conferencias, asambleas y reuniones de la Unión;</w:t>
            </w:r>
          </w:p>
        </w:tc>
      </w:tr>
      <w:tr w:rsidR="00D060DE" w:rsidRPr="002C188C" w:rsidTr="00ED46DD">
        <w:tc>
          <w:tcPr>
            <w:tcW w:w="851" w:type="dxa"/>
          </w:tcPr>
          <w:p w:rsidR="00D060DE" w:rsidRPr="002C188C" w:rsidRDefault="00D060DE" w:rsidP="00D060DE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8788" w:type="dxa"/>
          </w:tcPr>
          <w:p w:rsidR="00D060DE" w:rsidRPr="002C188C" w:rsidRDefault="00D060DE" w:rsidP="00D060DE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k)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tratará cuantos asuntos de telecomunicación juzgue necesarios.</w:t>
            </w:r>
          </w:p>
        </w:tc>
      </w:tr>
    </w:tbl>
    <w:p w:rsidR="00D060DE" w:rsidRPr="00E46A6C" w:rsidRDefault="00ED46DD" w:rsidP="00EF6264">
      <w:pPr>
        <w:spacing w:before="1200"/>
        <w:ind w:left="4321"/>
        <w:jc w:val="center"/>
        <w:rPr>
          <w:rFonts w:asciiTheme="minorHAnsi" w:hAnsiTheme="minorHAnsi" w:cstheme="minorHAnsi"/>
          <w:szCs w:val="24"/>
        </w:rPr>
      </w:pPr>
      <w:proofErr w:type="spellStart"/>
      <w:r w:rsidRPr="00E46A6C">
        <w:rPr>
          <w:rFonts w:asciiTheme="minorHAnsi" w:hAnsiTheme="minorHAnsi" w:cstheme="minorHAnsi"/>
          <w:szCs w:val="24"/>
        </w:rPr>
        <w:t>Houlin</w:t>
      </w:r>
      <w:proofErr w:type="spellEnd"/>
      <w:r w:rsidRPr="00E46A6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46A6C">
        <w:rPr>
          <w:rFonts w:asciiTheme="minorHAnsi" w:hAnsiTheme="minorHAnsi" w:cstheme="minorHAnsi"/>
          <w:szCs w:val="24"/>
        </w:rPr>
        <w:t>ZHAO</w:t>
      </w:r>
      <w:bookmarkStart w:id="11" w:name="_GoBack"/>
      <w:bookmarkEnd w:id="11"/>
      <w:proofErr w:type="spellEnd"/>
      <w:r w:rsidR="00D060DE" w:rsidRPr="00E46A6C">
        <w:rPr>
          <w:rFonts w:asciiTheme="minorHAnsi" w:hAnsiTheme="minorHAnsi" w:cstheme="minorHAnsi"/>
          <w:szCs w:val="24"/>
        </w:rPr>
        <w:br/>
      </w:r>
      <w:r w:rsidR="00D060DE" w:rsidRPr="00E46A6C">
        <w:rPr>
          <w:szCs w:val="24"/>
        </w:rPr>
        <w:t xml:space="preserve">Secretario </w:t>
      </w:r>
      <w:r w:rsidR="00D060DE" w:rsidRPr="00E46A6C">
        <w:rPr>
          <w:rFonts w:asciiTheme="minorHAnsi" w:hAnsiTheme="minorHAnsi" w:cstheme="minorHAnsi"/>
          <w:szCs w:val="24"/>
        </w:rPr>
        <w:t>General</w:t>
      </w:r>
    </w:p>
    <w:sectPr w:rsidR="00D060DE" w:rsidRPr="00E46A6C" w:rsidSect="00A70E95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6DD" w:rsidRDefault="00ED46DD">
      <w:r>
        <w:separator/>
      </w:r>
    </w:p>
  </w:endnote>
  <w:endnote w:type="continuationSeparator" w:id="0">
    <w:p w:rsidR="00ED46DD" w:rsidRDefault="00ED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DD" w:rsidRDefault="00ED46DD" w:rsidP="00283003">
    <w:pPr>
      <w:pStyle w:val="Footer"/>
      <w:rPr>
        <w:lang w:val="en-US"/>
      </w:rPr>
    </w:pPr>
    <w:r>
      <w:fldChar w:fldCharType="begin"/>
    </w:r>
    <w:r w:rsidRPr="00ED46DD">
      <w:rPr>
        <w:lang w:val="en-US"/>
      </w:rPr>
      <w:instrText xml:space="preserve"> FILENAME \p  \* MERGEFORMAT </w:instrText>
    </w:r>
    <w:r>
      <w:fldChar w:fldCharType="separate"/>
    </w:r>
    <w:r w:rsidR="00AF5A10">
      <w:rPr>
        <w:lang w:val="en-US"/>
      </w:rPr>
      <w:t>P:\ESP\SG\CONF-SG\PP18\000\001S.docx</w:t>
    </w:r>
    <w:r>
      <w:fldChar w:fldCharType="end"/>
    </w:r>
    <w:r w:rsidRPr="00ED46DD">
      <w:rPr>
        <w:lang w:val="en-US"/>
      </w:rPr>
      <w:t xml:space="preserve"> (</w:t>
    </w:r>
    <w:r>
      <w:rPr>
        <w:lang w:val="en-US"/>
      </w:rPr>
      <w:t>428437</w:t>
    </w:r>
    <w:r w:rsidRPr="00ED46DD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D1" w:rsidRPr="00486CD1" w:rsidRDefault="00486CD1" w:rsidP="00486CD1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proofErr w:type="spellStart"/>
    <w:r w:rsidRPr="00BA21AB">
      <w:rPr>
        <w:rStyle w:val="Hyperlink"/>
        <w:sz w:val="22"/>
        <w:szCs w:val="22"/>
        <w:lang w:val="en-GB"/>
      </w:rPr>
      <w:t>www.itu.int</w:t>
    </w:r>
    <w:proofErr w:type="spellEnd"/>
    <w:r w:rsidRPr="00BA21AB">
      <w:rPr>
        <w:rStyle w:val="Hyperlink"/>
        <w:sz w:val="22"/>
        <w:szCs w:val="22"/>
        <w:lang w:val="en-GB"/>
      </w:rPr>
      <w:t>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6DD" w:rsidRDefault="00ED46DD">
      <w:r>
        <w:t>____________________</w:t>
      </w:r>
    </w:p>
  </w:footnote>
  <w:footnote w:type="continuationSeparator" w:id="0">
    <w:p w:rsidR="00ED46DD" w:rsidRDefault="00ED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DD" w:rsidRPr="00CD7FC7" w:rsidRDefault="00ED46DD" w:rsidP="00072A4D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E46A6C">
      <w:rPr>
        <w:rStyle w:val="PageNumber"/>
        <w:rFonts w:asciiTheme="minorHAnsi" w:hAnsiTheme="minorHAnsi" w:cstheme="minorHAnsi"/>
        <w:noProof/>
        <w:sz w:val="20"/>
        <w:szCs w:val="22"/>
      </w:rPr>
      <w:t>2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Pr="00CD7FC7">
      <w:rPr>
        <w:rStyle w:val="PageNumber"/>
        <w:rFonts w:asciiTheme="minorHAnsi" w:hAnsiTheme="minorHAnsi" w:cstheme="minorHAnsi"/>
        <w:sz w:val="20"/>
        <w:szCs w:val="22"/>
      </w:rPr>
      <w:br/>
      <w:t>PP-1</w:t>
    </w:r>
    <w:r>
      <w:rPr>
        <w:rStyle w:val="PageNumber"/>
        <w:rFonts w:asciiTheme="minorHAnsi" w:hAnsiTheme="minorHAnsi" w:cstheme="minorHAnsi"/>
        <w:sz w:val="20"/>
        <w:szCs w:val="22"/>
      </w:rPr>
      <w:t>8</w:t>
    </w:r>
    <w:r w:rsidRPr="00CD7FC7">
      <w:rPr>
        <w:rStyle w:val="PageNumber"/>
        <w:rFonts w:asciiTheme="minorHAnsi" w:hAnsiTheme="minorHAnsi" w:cstheme="minorHAnsi"/>
        <w:sz w:val="20"/>
        <w:szCs w:val="22"/>
      </w:rPr>
      <w:t>/</w:t>
    </w:r>
    <w:r>
      <w:rPr>
        <w:rStyle w:val="PageNumber"/>
        <w:rFonts w:asciiTheme="minorHAnsi" w:hAnsiTheme="minorHAnsi" w:cstheme="minorHAnsi"/>
        <w:sz w:val="20"/>
        <w:szCs w:val="22"/>
      </w:rPr>
      <w:t>1</w:t>
    </w:r>
    <w:r w:rsidRPr="00CD7FC7">
      <w:rPr>
        <w:rStyle w:val="PageNumber"/>
        <w:rFonts w:asciiTheme="minorHAnsi" w:hAnsiTheme="minorHAnsi" w:cstheme="minorHAnsi"/>
        <w:sz w:val="20"/>
        <w:szCs w:val="22"/>
      </w:rPr>
      <w:t>-</w:t>
    </w:r>
    <w:r>
      <w:rPr>
        <w:rStyle w:val="PageNumber"/>
        <w:rFonts w:asciiTheme="minorHAnsi" w:hAnsiTheme="minorHAnsi" w:cstheme="minorHAnsi"/>
        <w:sz w:val="20"/>
        <w:szCs w:val="22"/>
      </w:rPr>
      <w:t>S</w:t>
    </w:r>
  </w:p>
  <w:p w:rsidR="00ED46DD" w:rsidRDefault="00ED4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6"/>
    <w:rsid w:val="0000188C"/>
    <w:rsid w:val="00072A4D"/>
    <w:rsid w:val="000863AB"/>
    <w:rsid w:val="000A1523"/>
    <w:rsid w:val="000B1752"/>
    <w:rsid w:val="000B3F24"/>
    <w:rsid w:val="0010546D"/>
    <w:rsid w:val="001D0ADB"/>
    <w:rsid w:val="001D6EC3"/>
    <w:rsid w:val="001D787B"/>
    <w:rsid w:val="001E3D06"/>
    <w:rsid w:val="00237C17"/>
    <w:rsid w:val="00283003"/>
    <w:rsid w:val="002C188C"/>
    <w:rsid w:val="002C6527"/>
    <w:rsid w:val="002E44FC"/>
    <w:rsid w:val="003707E5"/>
    <w:rsid w:val="003E6E73"/>
    <w:rsid w:val="00484B72"/>
    <w:rsid w:val="00486CD1"/>
    <w:rsid w:val="004A346E"/>
    <w:rsid w:val="004A63A9"/>
    <w:rsid w:val="004B07DB"/>
    <w:rsid w:val="004B0BCB"/>
    <w:rsid w:val="004C39C6"/>
    <w:rsid w:val="004D23BA"/>
    <w:rsid w:val="004E08E0"/>
    <w:rsid w:val="00523448"/>
    <w:rsid w:val="00531A5B"/>
    <w:rsid w:val="005359B6"/>
    <w:rsid w:val="00550FCF"/>
    <w:rsid w:val="00567ED5"/>
    <w:rsid w:val="005D6488"/>
    <w:rsid w:val="005F6278"/>
    <w:rsid w:val="00601280"/>
    <w:rsid w:val="00637BAC"/>
    <w:rsid w:val="006455D2"/>
    <w:rsid w:val="006B5512"/>
    <w:rsid w:val="00720686"/>
    <w:rsid w:val="00737EFF"/>
    <w:rsid w:val="00750806"/>
    <w:rsid w:val="007C3E40"/>
    <w:rsid w:val="007F6EBC"/>
    <w:rsid w:val="00840F7D"/>
    <w:rsid w:val="00882773"/>
    <w:rsid w:val="00885A86"/>
    <w:rsid w:val="008B4706"/>
    <w:rsid w:val="008B5EA6"/>
    <w:rsid w:val="008B6676"/>
    <w:rsid w:val="008E51C5"/>
    <w:rsid w:val="008F7109"/>
    <w:rsid w:val="009220DE"/>
    <w:rsid w:val="00953CBF"/>
    <w:rsid w:val="00986F20"/>
    <w:rsid w:val="0099270D"/>
    <w:rsid w:val="009A1A86"/>
    <w:rsid w:val="009E0C42"/>
    <w:rsid w:val="00A70E95"/>
    <w:rsid w:val="00AA1F73"/>
    <w:rsid w:val="00AB0A9C"/>
    <w:rsid w:val="00AF0DC5"/>
    <w:rsid w:val="00AF5A10"/>
    <w:rsid w:val="00B73978"/>
    <w:rsid w:val="00B77C4D"/>
    <w:rsid w:val="00BB13FE"/>
    <w:rsid w:val="00BC7EE2"/>
    <w:rsid w:val="00C2214C"/>
    <w:rsid w:val="00C42D2D"/>
    <w:rsid w:val="00C61A48"/>
    <w:rsid w:val="00C80F8F"/>
    <w:rsid w:val="00C84355"/>
    <w:rsid w:val="00CD20D9"/>
    <w:rsid w:val="00CD701A"/>
    <w:rsid w:val="00CE4F69"/>
    <w:rsid w:val="00D05AAE"/>
    <w:rsid w:val="00D05E6B"/>
    <w:rsid w:val="00D060DE"/>
    <w:rsid w:val="00D254A6"/>
    <w:rsid w:val="00D42B55"/>
    <w:rsid w:val="00D57D70"/>
    <w:rsid w:val="00D84561"/>
    <w:rsid w:val="00E46A6C"/>
    <w:rsid w:val="00E66FC3"/>
    <w:rsid w:val="00E677DD"/>
    <w:rsid w:val="00E77F17"/>
    <w:rsid w:val="00E921EC"/>
    <w:rsid w:val="00EC395A"/>
    <w:rsid w:val="00ED46DD"/>
    <w:rsid w:val="00EF6264"/>
    <w:rsid w:val="00F01632"/>
    <w:rsid w:val="00F43D44"/>
    <w:rsid w:val="00F80E6E"/>
    <w:rsid w:val="00F903AF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A4B6979-70ED-4348-9BEB-803733DE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character" w:customStyle="1" w:styleId="href">
    <w:name w:val="href"/>
    <w:basedOn w:val="DefaultParagraphFont"/>
    <w:rsid w:val="00D060DE"/>
    <w:rPr>
      <w:color w:val="auto"/>
    </w:rPr>
  </w:style>
  <w:style w:type="paragraph" w:customStyle="1" w:styleId="Normalaf">
    <w:name w:val="Normal_af"/>
    <w:basedOn w:val="Normal"/>
    <w:rsid w:val="00D060DE"/>
    <w:pPr>
      <w:tabs>
        <w:tab w:val="clear" w:pos="567"/>
        <w:tab w:val="clear" w:pos="1134"/>
        <w:tab w:val="clear" w:pos="1701"/>
        <w:tab w:val="clear" w:pos="2835"/>
        <w:tab w:val="left" w:pos="680"/>
        <w:tab w:val="left" w:pos="1277"/>
        <w:tab w:val="left" w:pos="1871"/>
      </w:tabs>
      <w:spacing w:before="240"/>
      <w:jc w:val="both"/>
    </w:pPr>
    <w:rPr>
      <w:rFonts w:ascii="Times New Roman" w:hAnsi="Times New Roman"/>
      <w:lang w:val="en-GB"/>
    </w:rPr>
  </w:style>
  <w:style w:type="paragraph" w:customStyle="1" w:styleId="enumlev1af">
    <w:name w:val="enumlev1_af"/>
    <w:basedOn w:val="enumlev1"/>
    <w:rsid w:val="00D060DE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680" w:hanging="680"/>
      <w:jc w:val="both"/>
    </w:pPr>
    <w:rPr>
      <w:rFonts w:ascii="Times New Roman" w:hAnsi="Times New Roman"/>
      <w:lang w:val="en-GB"/>
    </w:rPr>
  </w:style>
  <w:style w:type="paragraph" w:customStyle="1" w:styleId="Normalaftertitleaf">
    <w:name w:val="Normal after title_af"/>
    <w:basedOn w:val="Normal"/>
    <w:rsid w:val="00D060DE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  <w:lang w:val="en-GB"/>
    </w:rPr>
  </w:style>
  <w:style w:type="character" w:customStyle="1" w:styleId="goog-gtc-translatablegoog-gtc-from-mt">
    <w:name w:val="goog-gtc-translatable goog-gtc-from-mt"/>
    <w:basedOn w:val="DefaultParagraphFont"/>
    <w:rsid w:val="00D060DE"/>
  </w:style>
  <w:style w:type="character" w:customStyle="1" w:styleId="HeaderChar">
    <w:name w:val="Header Char"/>
    <w:basedOn w:val="DefaultParagraphFont"/>
    <w:link w:val="Header"/>
    <w:uiPriority w:val="99"/>
    <w:rsid w:val="00D060DE"/>
    <w:rPr>
      <w:rFonts w:ascii="Calibri" w:hAnsi="Calibri"/>
      <w:sz w:val="18"/>
      <w:lang w:val="es-ES_tradnl" w:eastAsia="en-US"/>
    </w:rPr>
  </w:style>
  <w:style w:type="paragraph" w:customStyle="1" w:styleId="firstfooter0">
    <w:name w:val="firstfooter"/>
    <w:basedOn w:val="Normal"/>
    <w:rsid w:val="000B3F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CE4F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4F6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1584-CB11-465B-8DF8-DBE4CA57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3262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de Plenipotenciarios (PP-06)</dc:subject>
  <dc:creator>unknown</dc:creator>
  <cp:keywords>PP-06</cp:keywords>
  <dc:description>PS_PP14.dotx  For: _x000d_Document date: _x000d_Saved by ITU51009317 at 10:37:49 on 19/03/2013</dc:description>
  <cp:lastModifiedBy>Spanish1</cp:lastModifiedBy>
  <cp:revision>21</cp:revision>
  <cp:lastPrinted>2017-11-21T15:19:00Z</cp:lastPrinted>
  <dcterms:created xsi:type="dcterms:W3CDTF">2017-11-28T12:27:00Z</dcterms:created>
  <dcterms:modified xsi:type="dcterms:W3CDTF">2017-11-28T14:06:00Z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