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2" w:type="dxa"/>
        <w:tblLayout w:type="fixed"/>
        <w:tblLook w:val="0000" w:firstRow="0" w:lastRow="0" w:firstColumn="0" w:lastColumn="0" w:noHBand="0" w:noVBand="0"/>
      </w:tblPr>
      <w:tblGrid>
        <w:gridCol w:w="5782"/>
        <w:gridCol w:w="3780"/>
      </w:tblGrid>
      <w:tr w:rsidR="00C51C79" w:rsidRPr="00BB37F5" w:rsidTr="009B01FA">
        <w:trPr>
          <w:cantSplit/>
          <w:trHeight w:val="1300"/>
        </w:trPr>
        <w:tc>
          <w:tcPr>
            <w:tcW w:w="5782" w:type="dxa"/>
            <w:vAlign w:val="center"/>
          </w:tcPr>
          <w:p w:rsidR="00C51C79" w:rsidRPr="00FD65AD" w:rsidRDefault="00E606AF" w:rsidP="00E606AF">
            <w:pPr>
              <w:spacing w:after="48" w:line="240" w:lineRule="atLeast"/>
              <w:rPr>
                <w:rFonts w:cstheme="minorHAnsi"/>
                <w:position w:val="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position w:val="6"/>
                <w:sz w:val="30"/>
                <w:szCs w:val="30"/>
              </w:rPr>
              <w:t xml:space="preserve">Council </w:t>
            </w:r>
            <w:r w:rsidR="00C51C79">
              <w:rPr>
                <w:rFonts w:ascii="Calibri" w:hAnsi="Calibri" w:cs="Calibri"/>
                <w:b/>
                <w:bCs/>
                <w:position w:val="6"/>
                <w:sz w:val="30"/>
                <w:szCs w:val="30"/>
              </w:rPr>
              <w:t>Expert Group on</w:t>
            </w:r>
            <w:r>
              <w:rPr>
                <w:rFonts w:ascii="Calibri" w:hAnsi="Calibri" w:cs="Calibri"/>
                <w:b/>
                <w:bCs/>
                <w:position w:val="6"/>
                <w:sz w:val="30"/>
                <w:szCs w:val="30"/>
              </w:rPr>
              <w:br/>
            </w:r>
            <w:r w:rsidRPr="00E606AF">
              <w:rPr>
                <w:rFonts w:ascii="Calibri" w:hAnsi="Calibri" w:cs="Calibri"/>
                <w:b/>
                <w:bCs/>
                <w:position w:val="6"/>
                <w:sz w:val="30"/>
                <w:szCs w:val="30"/>
              </w:rPr>
              <w:t>Council Decision 482</w:t>
            </w:r>
          </w:p>
        </w:tc>
        <w:tc>
          <w:tcPr>
            <w:tcW w:w="3780" w:type="dxa"/>
          </w:tcPr>
          <w:p w:rsidR="00C51C79" w:rsidRPr="00BB37F5" w:rsidRDefault="00C51C79" w:rsidP="002A43ED">
            <w:pPr>
              <w:spacing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17D800EB" wp14:editId="54A7F556">
                  <wp:extent cx="1762125" cy="7429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C79" w:rsidRPr="00A009B8" w:rsidTr="009B01FA">
        <w:trPr>
          <w:cantSplit/>
          <w:trHeight w:val="282"/>
        </w:trPr>
        <w:tc>
          <w:tcPr>
            <w:tcW w:w="5782" w:type="dxa"/>
            <w:tcBorders>
              <w:bottom w:val="single" w:sz="12" w:space="0" w:color="auto"/>
            </w:tcBorders>
          </w:tcPr>
          <w:p w:rsidR="00C51C79" w:rsidRPr="00A009B8" w:rsidRDefault="00E57DBD" w:rsidP="00E606A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009B8">
              <w:rPr>
                <w:rFonts w:cstheme="minorHAnsi"/>
                <w:b/>
                <w:sz w:val="24"/>
                <w:szCs w:val="24"/>
              </w:rPr>
              <w:t>F</w:t>
            </w:r>
            <w:r w:rsidR="00E606AF">
              <w:rPr>
                <w:rFonts w:cstheme="minorHAnsi"/>
                <w:b/>
                <w:sz w:val="24"/>
                <w:szCs w:val="24"/>
              </w:rPr>
              <w:t>irst</w:t>
            </w:r>
            <w:r w:rsidRPr="00A009B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51C79" w:rsidRPr="00A009B8">
              <w:rPr>
                <w:rFonts w:cstheme="minorHAnsi"/>
                <w:b/>
                <w:sz w:val="24"/>
                <w:szCs w:val="24"/>
              </w:rPr>
              <w:t xml:space="preserve">meeting – Geneva, </w:t>
            </w:r>
            <w:r w:rsidR="00E606AF" w:rsidRPr="00E606AF">
              <w:rPr>
                <w:rFonts w:cstheme="minorHAnsi"/>
                <w:b/>
                <w:sz w:val="24"/>
                <w:szCs w:val="24"/>
              </w:rPr>
              <w:t xml:space="preserve">27-28 September </w:t>
            </w:r>
            <w:r w:rsidR="00C51C79" w:rsidRPr="00A009B8">
              <w:rPr>
                <w:rFonts w:cstheme="minorHAnsi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C51C79" w:rsidRPr="00A009B8" w:rsidRDefault="00C51C79" w:rsidP="002A43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51C79" w:rsidRPr="003B4EB9" w:rsidTr="009B01FA">
        <w:trPr>
          <w:cantSplit/>
          <w:trHeight w:val="295"/>
        </w:trPr>
        <w:tc>
          <w:tcPr>
            <w:tcW w:w="5782" w:type="dxa"/>
            <w:tcBorders>
              <w:top w:val="single" w:sz="12" w:space="0" w:color="auto"/>
            </w:tcBorders>
          </w:tcPr>
          <w:p w:rsidR="00C51C79" w:rsidRPr="003B4EB9" w:rsidRDefault="00C51C79" w:rsidP="002A43ED">
            <w:pPr>
              <w:spacing w:after="0"/>
              <w:rPr>
                <w:rFonts w:cstheme="minorHAnsi"/>
                <w:b/>
                <w:smallCaps/>
              </w:rPr>
            </w:pPr>
          </w:p>
        </w:tc>
        <w:tc>
          <w:tcPr>
            <w:tcW w:w="3780" w:type="dxa"/>
            <w:tcBorders>
              <w:top w:val="single" w:sz="12" w:space="0" w:color="auto"/>
            </w:tcBorders>
          </w:tcPr>
          <w:p w:rsidR="00C51C79" w:rsidRPr="003B4EB9" w:rsidRDefault="00C51C79" w:rsidP="002A43ED">
            <w:pPr>
              <w:spacing w:after="0"/>
              <w:rPr>
                <w:rFonts w:cstheme="minorHAnsi"/>
              </w:rPr>
            </w:pPr>
          </w:p>
        </w:tc>
      </w:tr>
      <w:tr w:rsidR="00C51C79" w:rsidRPr="00026C48" w:rsidTr="009B01FA">
        <w:trPr>
          <w:cantSplit/>
          <w:trHeight w:val="22"/>
        </w:trPr>
        <w:tc>
          <w:tcPr>
            <w:tcW w:w="5782" w:type="dxa"/>
            <w:vMerge w:val="restart"/>
          </w:tcPr>
          <w:p w:rsidR="00C51C79" w:rsidRPr="003B4EB9" w:rsidRDefault="00C51C79" w:rsidP="002A43ED">
            <w:pPr>
              <w:tabs>
                <w:tab w:val="left" w:pos="851"/>
              </w:tabs>
              <w:spacing w:after="0"/>
              <w:rPr>
                <w:rFonts w:cstheme="minorHAnsi"/>
                <w:b/>
              </w:rPr>
            </w:pPr>
          </w:p>
        </w:tc>
        <w:tc>
          <w:tcPr>
            <w:tcW w:w="3780" w:type="dxa"/>
          </w:tcPr>
          <w:p w:rsidR="00C51C79" w:rsidRPr="00A009B8" w:rsidRDefault="00C51C79" w:rsidP="00E2509E">
            <w:pPr>
              <w:tabs>
                <w:tab w:val="left" w:pos="851"/>
              </w:tabs>
              <w:spacing w:after="0"/>
              <w:rPr>
                <w:rFonts w:cstheme="minorHAnsi"/>
                <w:b/>
                <w:sz w:val="24"/>
                <w:szCs w:val="24"/>
                <w:lang w:val="de-CH"/>
              </w:rPr>
            </w:pPr>
            <w:r w:rsidRPr="00A009B8">
              <w:rPr>
                <w:rFonts w:cs="Calibri"/>
                <w:b/>
                <w:sz w:val="24"/>
                <w:szCs w:val="24"/>
                <w:lang w:val="de-CH"/>
              </w:rPr>
              <w:t xml:space="preserve">Document </w:t>
            </w:r>
            <w:r w:rsidR="008619F9" w:rsidRPr="008619F9">
              <w:rPr>
                <w:rFonts w:cs="Calibri"/>
                <w:b/>
                <w:sz w:val="24"/>
                <w:szCs w:val="24"/>
                <w:lang w:val="de-CH"/>
              </w:rPr>
              <w:t>EG-D482-1/</w:t>
            </w:r>
            <w:r w:rsidR="00401EE3">
              <w:rPr>
                <w:rFonts w:cs="Calibri"/>
                <w:b/>
                <w:sz w:val="24"/>
                <w:szCs w:val="24"/>
                <w:lang w:val="de-CH"/>
              </w:rPr>
              <w:t>9</w:t>
            </w:r>
            <w:r w:rsidR="008619F9" w:rsidRPr="008619F9">
              <w:rPr>
                <w:rFonts w:cs="Calibri"/>
                <w:b/>
                <w:sz w:val="24"/>
                <w:szCs w:val="24"/>
                <w:lang w:val="de-CH"/>
              </w:rPr>
              <w:t>-E</w:t>
            </w:r>
          </w:p>
        </w:tc>
      </w:tr>
      <w:tr w:rsidR="00C51C79" w:rsidRPr="003B4EB9" w:rsidTr="009B01FA">
        <w:trPr>
          <w:cantSplit/>
          <w:trHeight w:val="22"/>
        </w:trPr>
        <w:tc>
          <w:tcPr>
            <w:tcW w:w="5782" w:type="dxa"/>
            <w:vMerge/>
          </w:tcPr>
          <w:p w:rsidR="00C51C79" w:rsidRPr="003B4EB9" w:rsidRDefault="00C51C79" w:rsidP="002A43ED">
            <w:pPr>
              <w:tabs>
                <w:tab w:val="left" w:pos="851"/>
              </w:tabs>
              <w:spacing w:after="0" w:line="240" w:lineRule="atLeast"/>
              <w:rPr>
                <w:b/>
                <w:szCs w:val="24"/>
                <w:lang w:val="de-CH"/>
              </w:rPr>
            </w:pPr>
          </w:p>
        </w:tc>
        <w:tc>
          <w:tcPr>
            <w:tcW w:w="3780" w:type="dxa"/>
            <w:shd w:val="clear" w:color="auto" w:fill="auto"/>
          </w:tcPr>
          <w:p w:rsidR="00C51C79" w:rsidRPr="00A009B8" w:rsidRDefault="008619F9" w:rsidP="0092208A">
            <w:pPr>
              <w:tabs>
                <w:tab w:val="left" w:pos="993"/>
              </w:tabs>
              <w:spacing w:after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92208A">
              <w:rPr>
                <w:rFonts w:cstheme="minorHAnsi"/>
                <w:b/>
                <w:sz w:val="24"/>
                <w:szCs w:val="24"/>
              </w:rPr>
              <w:t>6</w:t>
            </w:r>
            <w:r w:rsidR="00E57DBD" w:rsidRPr="00A009B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208A">
              <w:rPr>
                <w:rFonts w:cstheme="minorHAnsi"/>
                <w:b/>
                <w:sz w:val="24"/>
                <w:szCs w:val="24"/>
              </w:rPr>
              <w:t>November</w:t>
            </w:r>
            <w:r w:rsidR="00C51C79" w:rsidRPr="00A009B8">
              <w:rPr>
                <w:rFonts w:cstheme="minorHAnsi"/>
                <w:b/>
                <w:sz w:val="24"/>
                <w:szCs w:val="24"/>
              </w:rPr>
              <w:t xml:space="preserve"> 2018</w:t>
            </w:r>
          </w:p>
        </w:tc>
      </w:tr>
      <w:tr w:rsidR="00C51C79" w:rsidRPr="003B4EB9" w:rsidTr="009B01FA">
        <w:trPr>
          <w:cantSplit/>
          <w:trHeight w:val="78"/>
        </w:trPr>
        <w:tc>
          <w:tcPr>
            <w:tcW w:w="5782" w:type="dxa"/>
            <w:vMerge/>
          </w:tcPr>
          <w:p w:rsidR="00C51C79" w:rsidRPr="003B4EB9" w:rsidRDefault="00C51C79" w:rsidP="002A43ED">
            <w:pPr>
              <w:tabs>
                <w:tab w:val="left" w:pos="851"/>
              </w:tabs>
              <w:spacing w:after="0" w:line="240" w:lineRule="atLeast"/>
              <w:rPr>
                <w:b/>
                <w:szCs w:val="24"/>
              </w:rPr>
            </w:pPr>
          </w:p>
        </w:tc>
        <w:tc>
          <w:tcPr>
            <w:tcW w:w="3780" w:type="dxa"/>
          </w:tcPr>
          <w:p w:rsidR="00C51C79" w:rsidRPr="00A009B8" w:rsidRDefault="00C51C79" w:rsidP="002A43ED">
            <w:pPr>
              <w:tabs>
                <w:tab w:val="left" w:pos="993"/>
              </w:tabs>
              <w:spacing w:after="0"/>
              <w:rPr>
                <w:b/>
                <w:sz w:val="24"/>
                <w:szCs w:val="24"/>
              </w:rPr>
            </w:pPr>
            <w:r w:rsidRPr="00A009B8">
              <w:rPr>
                <w:rFonts w:cstheme="minorHAnsi"/>
                <w:b/>
                <w:sz w:val="24"/>
                <w:szCs w:val="24"/>
              </w:rPr>
              <w:t>English</w:t>
            </w:r>
            <w:r w:rsidR="008619F9">
              <w:rPr>
                <w:rFonts w:cstheme="minorHAnsi"/>
                <w:b/>
                <w:sz w:val="24"/>
                <w:szCs w:val="24"/>
              </w:rPr>
              <w:t xml:space="preserve"> only</w:t>
            </w:r>
          </w:p>
        </w:tc>
      </w:tr>
      <w:tr w:rsidR="00C51C79" w:rsidRPr="003B4EB9" w:rsidTr="00016AB1">
        <w:trPr>
          <w:cantSplit/>
          <w:trHeight w:val="78"/>
        </w:trPr>
        <w:tc>
          <w:tcPr>
            <w:tcW w:w="9562" w:type="dxa"/>
            <w:gridSpan w:val="2"/>
          </w:tcPr>
          <w:p w:rsidR="00C51C79" w:rsidRPr="003B4EB9" w:rsidRDefault="00401EE3" w:rsidP="0092208A">
            <w:pPr>
              <w:pStyle w:val="Title1"/>
              <w:spacing w:before="600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FINAL </w:t>
            </w:r>
            <w:r w:rsidR="00C51C79" w:rsidRPr="003B4EB9">
              <w:rPr>
                <w:rFonts w:asciiTheme="minorHAnsi" w:hAnsiTheme="minorHAnsi"/>
                <w:szCs w:val="28"/>
              </w:rPr>
              <w:t xml:space="preserve">REPORT OF THE </w:t>
            </w:r>
            <w:r w:rsidR="00E57DBD">
              <w:rPr>
                <w:rFonts w:asciiTheme="minorHAnsi" w:hAnsiTheme="minorHAnsi"/>
                <w:szCs w:val="28"/>
              </w:rPr>
              <w:t>F</w:t>
            </w:r>
            <w:r w:rsidR="008619F9">
              <w:rPr>
                <w:rFonts w:asciiTheme="minorHAnsi" w:hAnsiTheme="minorHAnsi"/>
                <w:szCs w:val="28"/>
              </w:rPr>
              <w:t>irst</w:t>
            </w:r>
            <w:r w:rsidR="00E57DBD" w:rsidRPr="003B4EB9">
              <w:rPr>
                <w:rFonts w:asciiTheme="minorHAnsi" w:hAnsiTheme="minorHAnsi"/>
                <w:szCs w:val="28"/>
              </w:rPr>
              <w:t xml:space="preserve"> </w:t>
            </w:r>
            <w:r w:rsidR="00C51C79" w:rsidRPr="003B4EB9">
              <w:rPr>
                <w:rFonts w:asciiTheme="minorHAnsi" w:hAnsiTheme="minorHAnsi"/>
                <w:szCs w:val="28"/>
              </w:rPr>
              <w:t xml:space="preserve">MEETING of </w:t>
            </w:r>
            <w:r w:rsidR="0092208A" w:rsidRPr="003B4EB9">
              <w:rPr>
                <w:rFonts w:asciiTheme="minorHAnsi" w:hAnsiTheme="minorHAnsi"/>
                <w:szCs w:val="28"/>
              </w:rPr>
              <w:t>the</w:t>
            </w:r>
            <w:r w:rsidR="00C51C79">
              <w:rPr>
                <w:rFonts w:asciiTheme="minorHAnsi" w:hAnsiTheme="minorHAnsi"/>
                <w:szCs w:val="28"/>
              </w:rPr>
              <w:br/>
            </w:r>
            <w:r w:rsidR="008619F9" w:rsidRPr="008619F9">
              <w:rPr>
                <w:rFonts w:asciiTheme="minorHAnsi" w:hAnsiTheme="minorHAnsi"/>
                <w:szCs w:val="28"/>
                <w:lang w:val="en-AU"/>
              </w:rPr>
              <w:t>Council Expert Group on Council Decision 482</w:t>
            </w:r>
          </w:p>
        </w:tc>
      </w:tr>
    </w:tbl>
    <w:p w:rsidR="00C30BAD" w:rsidRPr="00720B6A" w:rsidRDefault="009B01FA" w:rsidP="009B01FA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before="100" w:beforeAutospacing="1" w:after="100" w:afterAutospacing="1"/>
        <w:ind w:left="0" w:firstLine="0"/>
        <w:contextualSpacing w:val="0"/>
        <w:jc w:val="both"/>
        <w:textAlignment w:val="auto"/>
        <w:rPr>
          <w:rFonts w:asciiTheme="minorHAnsi" w:hAnsiTheme="minorHAnsi" w:cstheme="majorBidi"/>
          <w:b/>
          <w:sz w:val="22"/>
          <w:szCs w:val="22"/>
        </w:rPr>
      </w:pPr>
      <w:r w:rsidRPr="009B01FA">
        <w:rPr>
          <w:rFonts w:asciiTheme="minorHAnsi" w:hAnsiTheme="minorHAnsi" w:cstheme="majorBidi"/>
          <w:b/>
          <w:sz w:val="22"/>
          <w:szCs w:val="22"/>
          <w:lang w:val="en-AU"/>
        </w:rPr>
        <w:t>Opening remarks and approval of the Agenda</w:t>
      </w:r>
    </w:p>
    <w:p w:rsidR="00C30BAD" w:rsidRPr="00720B6A" w:rsidRDefault="00F465CD" w:rsidP="00EB6FCF">
      <w:pPr>
        <w:snapToGrid w:val="0"/>
        <w:spacing w:before="100" w:beforeAutospacing="1" w:after="100" w:afterAutospacing="1" w:line="240" w:lineRule="auto"/>
        <w:jc w:val="both"/>
        <w:rPr>
          <w:rFonts w:cstheme="majorBidi"/>
        </w:rPr>
      </w:pPr>
      <w:r w:rsidRPr="00720B6A">
        <w:rPr>
          <w:rFonts w:cstheme="majorBidi"/>
        </w:rPr>
        <w:t>On behalf of the Secretary-General, t</w:t>
      </w:r>
      <w:r w:rsidR="00C30BAD" w:rsidRPr="00720B6A">
        <w:rPr>
          <w:rFonts w:cstheme="majorBidi"/>
        </w:rPr>
        <w:t xml:space="preserve">he </w:t>
      </w:r>
      <w:r w:rsidR="00637C6E" w:rsidRPr="009D1080">
        <w:t xml:space="preserve">Director </w:t>
      </w:r>
      <w:r w:rsidR="004E1BE7">
        <w:t xml:space="preserve">of the </w:t>
      </w:r>
      <w:r w:rsidR="004E1BE7" w:rsidRPr="004E1BE7">
        <w:t>Radiocommunication Bureau</w:t>
      </w:r>
      <w:r w:rsidR="007F3873">
        <w:t xml:space="preserve"> (BR)</w:t>
      </w:r>
      <w:r w:rsidR="004E1BE7" w:rsidRPr="004E1BE7">
        <w:t xml:space="preserve"> </w:t>
      </w:r>
      <w:r w:rsidR="00192AFF">
        <w:rPr>
          <w:rFonts w:cstheme="majorBidi"/>
        </w:rPr>
        <w:t>Mr. François </w:t>
      </w:r>
      <w:r w:rsidR="00637C6E">
        <w:rPr>
          <w:rFonts w:cstheme="majorBidi"/>
        </w:rPr>
        <w:t>Rancy</w:t>
      </w:r>
      <w:r w:rsidR="00C30BAD" w:rsidRPr="00720B6A">
        <w:rPr>
          <w:rFonts w:cstheme="majorBidi"/>
        </w:rPr>
        <w:t xml:space="preserve"> welcomed the participants to the </w:t>
      </w:r>
      <w:r w:rsidR="001B431A">
        <w:rPr>
          <w:rFonts w:cstheme="majorBidi"/>
        </w:rPr>
        <w:t>first</w:t>
      </w:r>
      <w:r w:rsidR="00C30BAD" w:rsidRPr="00720B6A">
        <w:rPr>
          <w:rFonts w:cstheme="majorBidi"/>
        </w:rPr>
        <w:t xml:space="preserve"> meeting of </w:t>
      </w:r>
      <w:r w:rsidR="001B431A" w:rsidRPr="003B4EB9">
        <w:rPr>
          <w:szCs w:val="28"/>
        </w:rPr>
        <w:t>the</w:t>
      </w:r>
      <w:r w:rsidR="001B431A">
        <w:rPr>
          <w:szCs w:val="28"/>
        </w:rPr>
        <w:t xml:space="preserve"> </w:t>
      </w:r>
      <w:r w:rsidR="001B431A" w:rsidRPr="008619F9">
        <w:rPr>
          <w:szCs w:val="28"/>
          <w:lang w:val="en-AU"/>
        </w:rPr>
        <w:t>Council Expert Group on Council Decision 482</w:t>
      </w:r>
      <w:r w:rsidR="00C30BAD" w:rsidRPr="00720B6A">
        <w:rPr>
          <w:rFonts w:cstheme="majorBidi"/>
        </w:rPr>
        <w:t>. He stressed the importance of the work that lies ahead of the Group</w:t>
      </w:r>
      <w:r w:rsidR="00D8485D" w:rsidRPr="00720B6A">
        <w:rPr>
          <w:rFonts w:cstheme="majorBidi"/>
        </w:rPr>
        <w:t xml:space="preserve"> and expressed his confidence </w:t>
      </w:r>
      <w:r w:rsidR="00096EAD" w:rsidRPr="00720B6A">
        <w:rPr>
          <w:rFonts w:cstheme="majorBidi"/>
        </w:rPr>
        <w:t xml:space="preserve">that the meeting will demonstrate a spirit of compromise in delivering the </w:t>
      </w:r>
      <w:r w:rsidR="00D8485D" w:rsidRPr="00720B6A">
        <w:rPr>
          <w:rFonts w:cstheme="majorBidi"/>
        </w:rPr>
        <w:t>results</w:t>
      </w:r>
      <w:r w:rsidR="00096EAD" w:rsidRPr="00720B6A">
        <w:rPr>
          <w:rFonts w:cstheme="majorBidi"/>
        </w:rPr>
        <w:t xml:space="preserve">, </w:t>
      </w:r>
      <w:r w:rsidR="00D8485D" w:rsidRPr="00720B6A">
        <w:rPr>
          <w:rFonts w:cstheme="majorBidi"/>
        </w:rPr>
        <w:t>mandated by Council 201</w:t>
      </w:r>
      <w:r w:rsidR="00CC27D1">
        <w:rPr>
          <w:rFonts w:cstheme="majorBidi"/>
        </w:rPr>
        <w:t>8</w:t>
      </w:r>
      <w:r w:rsidR="00D8485D" w:rsidRPr="00720B6A">
        <w:rPr>
          <w:rFonts w:cstheme="majorBidi"/>
        </w:rPr>
        <w:t>.</w:t>
      </w:r>
      <w:r w:rsidR="00A679CE">
        <w:rPr>
          <w:rFonts w:cstheme="majorBidi"/>
        </w:rPr>
        <w:t xml:space="preserve"> He mentioned that Decision 482 was established in a period of large increase of </w:t>
      </w:r>
      <w:r w:rsidR="00A679CE" w:rsidRPr="00A679CE">
        <w:rPr>
          <w:rFonts w:cstheme="majorBidi"/>
          <w:bCs/>
          <w:lang w:val="en-GB"/>
        </w:rPr>
        <w:t>satellite network filings</w:t>
      </w:r>
      <w:r w:rsidR="00A679CE" w:rsidRPr="00A679CE">
        <w:rPr>
          <w:rFonts w:cstheme="majorBidi"/>
          <w:bCs/>
        </w:rPr>
        <w:t xml:space="preserve"> with</w:t>
      </w:r>
      <w:r w:rsidR="00A679CE">
        <w:rPr>
          <w:rFonts w:cstheme="majorBidi"/>
        </w:rPr>
        <w:t xml:space="preserve"> the </w:t>
      </w:r>
      <w:r w:rsidR="00227385">
        <w:rPr>
          <w:rFonts w:cstheme="majorBidi"/>
        </w:rPr>
        <w:t xml:space="preserve">objective </w:t>
      </w:r>
      <w:r w:rsidR="00A679CE">
        <w:rPr>
          <w:rFonts w:cstheme="majorBidi"/>
        </w:rPr>
        <w:t xml:space="preserve">to help eliminate the so called “paper satellites”. </w:t>
      </w:r>
      <w:r w:rsidR="00025679">
        <w:rPr>
          <w:rFonts w:cstheme="majorBidi"/>
        </w:rPr>
        <w:t xml:space="preserve">He added that as a consequence of the Cost Recovery flat fee, the additional cost of increasing complex networks is zero but the </w:t>
      </w:r>
      <w:r w:rsidR="00025679" w:rsidRPr="00025679">
        <w:rPr>
          <w:rFonts w:cstheme="majorBidi"/>
        </w:rPr>
        <w:t xml:space="preserve">additional cost of </w:t>
      </w:r>
      <w:r w:rsidR="00025679">
        <w:rPr>
          <w:rFonts w:cstheme="majorBidi"/>
        </w:rPr>
        <w:t>processing those networks is not zero and this discrepancy should be avoided</w:t>
      </w:r>
      <w:r w:rsidR="00EB6FCF">
        <w:rPr>
          <w:rFonts w:cstheme="majorBidi"/>
        </w:rPr>
        <w:t xml:space="preserve"> with an appropriate adjustment to Decision 482 to be provided by this</w:t>
      </w:r>
      <w:r w:rsidR="00EB6FCF" w:rsidRPr="00EB6FCF">
        <w:rPr>
          <w:szCs w:val="28"/>
          <w:lang w:val="en-AU"/>
        </w:rPr>
        <w:t xml:space="preserve"> </w:t>
      </w:r>
      <w:r w:rsidR="00EB6FCF" w:rsidRPr="008619F9">
        <w:rPr>
          <w:szCs w:val="28"/>
          <w:lang w:val="en-AU"/>
        </w:rPr>
        <w:t>Expert Group</w:t>
      </w:r>
      <w:r w:rsidR="00025679">
        <w:rPr>
          <w:rFonts w:cstheme="majorBidi"/>
        </w:rPr>
        <w:t xml:space="preserve">. </w:t>
      </w:r>
    </w:p>
    <w:p w:rsidR="00C30BAD" w:rsidRDefault="00C30BAD" w:rsidP="007F3873">
      <w:pPr>
        <w:snapToGrid w:val="0"/>
        <w:spacing w:before="100" w:beforeAutospacing="1" w:after="100" w:afterAutospacing="1" w:line="240" w:lineRule="auto"/>
        <w:jc w:val="both"/>
        <w:rPr>
          <w:rFonts w:cstheme="majorBidi"/>
        </w:rPr>
      </w:pPr>
      <w:r w:rsidRPr="00720B6A">
        <w:rPr>
          <w:rFonts w:cstheme="majorBidi"/>
        </w:rPr>
        <w:t xml:space="preserve">The Chairman thanked the </w:t>
      </w:r>
      <w:r w:rsidR="007F3873">
        <w:rPr>
          <w:rFonts w:cstheme="majorBidi"/>
        </w:rPr>
        <w:t xml:space="preserve">BR </w:t>
      </w:r>
      <w:r w:rsidR="008D345E" w:rsidRPr="008D345E">
        <w:rPr>
          <w:rFonts w:cstheme="majorBidi"/>
        </w:rPr>
        <w:t xml:space="preserve">Director </w:t>
      </w:r>
      <w:r w:rsidRPr="00720B6A">
        <w:rPr>
          <w:rFonts w:cstheme="majorBidi"/>
        </w:rPr>
        <w:t xml:space="preserve">for </w:t>
      </w:r>
      <w:r w:rsidR="008E5003">
        <w:rPr>
          <w:rFonts w:cstheme="majorBidi"/>
        </w:rPr>
        <w:t>his</w:t>
      </w:r>
      <w:r w:rsidRPr="00720B6A">
        <w:rPr>
          <w:rFonts w:cstheme="majorBidi"/>
        </w:rPr>
        <w:t xml:space="preserve"> support. The Chairman stressed the need for the Group to work together in the spirit of consensus.</w:t>
      </w:r>
    </w:p>
    <w:p w:rsidR="00B56475" w:rsidRPr="00720B6A" w:rsidRDefault="00B56475" w:rsidP="007F3873">
      <w:pPr>
        <w:snapToGrid w:val="0"/>
        <w:spacing w:before="100" w:beforeAutospacing="1" w:after="100" w:afterAutospacing="1" w:line="240" w:lineRule="auto"/>
        <w:jc w:val="both"/>
        <w:rPr>
          <w:rFonts w:cstheme="majorBidi"/>
        </w:rPr>
      </w:pPr>
      <w:r w:rsidRPr="00720B6A">
        <w:rPr>
          <w:rFonts w:cstheme="majorBidi"/>
        </w:rPr>
        <w:t xml:space="preserve">The </w:t>
      </w:r>
      <w:r w:rsidR="00A46C4C">
        <w:rPr>
          <w:rFonts w:cstheme="majorBidi"/>
        </w:rPr>
        <w:t>draft a</w:t>
      </w:r>
      <w:r w:rsidRPr="00720B6A">
        <w:rPr>
          <w:rFonts w:cstheme="majorBidi"/>
        </w:rPr>
        <w:t>genda</w:t>
      </w:r>
      <w:r w:rsidR="00A46C4C">
        <w:rPr>
          <w:rFonts w:cstheme="majorBidi"/>
        </w:rPr>
        <w:t xml:space="preserve">, </w:t>
      </w:r>
      <w:r>
        <w:rPr>
          <w:rFonts w:cstheme="majorBidi"/>
        </w:rPr>
        <w:t>Doc</w:t>
      </w:r>
      <w:r w:rsidR="00A46C4C">
        <w:rPr>
          <w:rFonts w:cstheme="majorBidi"/>
        </w:rPr>
        <w:t>ument</w:t>
      </w:r>
      <w:r>
        <w:rPr>
          <w:rFonts w:cstheme="majorBidi"/>
        </w:rPr>
        <w:t xml:space="preserve"> </w:t>
      </w:r>
      <w:hyperlink r:id="rId9" w:history="1">
        <w:r w:rsidRPr="009B01FA">
          <w:rPr>
            <w:rStyle w:val="Hyperlink"/>
            <w:rFonts w:cstheme="majorBidi"/>
            <w:bCs/>
            <w:lang w:val="de-CH"/>
          </w:rPr>
          <w:t>EG-D482-1/1</w:t>
        </w:r>
      </w:hyperlink>
      <w:r w:rsidR="00A46C4C" w:rsidRPr="00602CD5">
        <w:rPr>
          <w:rFonts w:cstheme="majorBidi"/>
        </w:rPr>
        <w:t>,</w:t>
      </w:r>
      <w:r w:rsidRPr="00720B6A">
        <w:rPr>
          <w:rFonts w:cstheme="majorBidi"/>
        </w:rPr>
        <w:t xml:space="preserve"> was presented and a</w:t>
      </w:r>
      <w:r>
        <w:rPr>
          <w:rFonts w:cstheme="majorBidi"/>
        </w:rPr>
        <w:t>pproved.</w:t>
      </w:r>
      <w:r w:rsidR="004E1136">
        <w:rPr>
          <w:rFonts w:cstheme="majorBidi"/>
        </w:rPr>
        <w:t xml:space="preserve"> It was requested that the </w:t>
      </w:r>
      <w:r w:rsidR="007F3873">
        <w:rPr>
          <w:rFonts w:cstheme="majorBidi"/>
        </w:rPr>
        <w:t>BR</w:t>
      </w:r>
      <w:r w:rsidR="004E1136">
        <w:rPr>
          <w:rFonts w:cstheme="majorBidi"/>
        </w:rPr>
        <w:t xml:space="preserve"> make its documents available </w:t>
      </w:r>
      <w:r w:rsidR="00825826">
        <w:rPr>
          <w:rFonts w:cstheme="majorBidi"/>
        </w:rPr>
        <w:t xml:space="preserve">prior </w:t>
      </w:r>
      <w:r w:rsidR="001F5B49">
        <w:rPr>
          <w:rFonts w:cstheme="majorBidi"/>
        </w:rPr>
        <w:t>to</w:t>
      </w:r>
      <w:r w:rsidR="004E1136">
        <w:rPr>
          <w:rFonts w:cstheme="majorBidi"/>
        </w:rPr>
        <w:t xml:space="preserve"> the deadline </w:t>
      </w:r>
      <w:r w:rsidR="001F5B49">
        <w:rPr>
          <w:rFonts w:cstheme="majorBidi"/>
        </w:rPr>
        <w:t>for</w:t>
      </w:r>
      <w:r w:rsidR="004E1136">
        <w:rPr>
          <w:rFonts w:cstheme="majorBidi"/>
        </w:rPr>
        <w:t xml:space="preserve"> the </w:t>
      </w:r>
      <w:r w:rsidR="001F5B49">
        <w:rPr>
          <w:rFonts w:cstheme="majorBidi"/>
        </w:rPr>
        <w:t>contribution</w:t>
      </w:r>
      <w:r w:rsidR="004E1136">
        <w:rPr>
          <w:rFonts w:cstheme="majorBidi"/>
        </w:rPr>
        <w:t>s from the membership to allow sufficient time for study</w:t>
      </w:r>
      <w:r w:rsidR="00825826">
        <w:rPr>
          <w:rFonts w:cstheme="majorBidi"/>
        </w:rPr>
        <w:t xml:space="preserve"> and prepar</w:t>
      </w:r>
      <w:r w:rsidR="001F5B49">
        <w:rPr>
          <w:rFonts w:cstheme="majorBidi"/>
        </w:rPr>
        <w:t xml:space="preserve">ation of </w:t>
      </w:r>
      <w:r w:rsidR="00825826">
        <w:rPr>
          <w:rFonts w:cstheme="majorBidi"/>
        </w:rPr>
        <w:t>contributions</w:t>
      </w:r>
      <w:r w:rsidR="004E1136">
        <w:rPr>
          <w:rFonts w:cstheme="majorBidi"/>
        </w:rPr>
        <w:t xml:space="preserve">. </w:t>
      </w:r>
    </w:p>
    <w:p w:rsidR="00C30BAD" w:rsidRPr="00720B6A" w:rsidRDefault="00C30BAD" w:rsidP="00602CD5">
      <w:p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  <w:b/>
          <w:bCs/>
        </w:rPr>
      </w:pPr>
      <w:r w:rsidRPr="00720B6A">
        <w:rPr>
          <w:rFonts w:cstheme="majorBidi"/>
          <w:b/>
        </w:rPr>
        <w:t>2</w:t>
      </w:r>
      <w:r w:rsidRPr="00720B6A">
        <w:rPr>
          <w:rFonts w:cstheme="majorBidi"/>
          <w:b/>
        </w:rPr>
        <w:tab/>
      </w:r>
      <w:r w:rsidR="00602CD5" w:rsidRPr="00602CD5">
        <w:rPr>
          <w:rFonts w:cstheme="majorBidi"/>
          <w:b/>
          <w:lang w:val="en-AU"/>
        </w:rPr>
        <w:t>Terms of reference</w:t>
      </w:r>
    </w:p>
    <w:p w:rsidR="00C30BAD" w:rsidRPr="00720B6A" w:rsidRDefault="00C30BAD" w:rsidP="00602CD5">
      <w:pPr>
        <w:snapToGrid w:val="0"/>
        <w:spacing w:before="100" w:beforeAutospacing="1" w:after="100" w:afterAutospacing="1" w:line="240" w:lineRule="auto"/>
        <w:jc w:val="both"/>
        <w:rPr>
          <w:rFonts w:cstheme="majorBidi"/>
        </w:rPr>
      </w:pPr>
      <w:r w:rsidRPr="00720B6A">
        <w:rPr>
          <w:rFonts w:cstheme="majorBidi"/>
        </w:rPr>
        <w:t xml:space="preserve">The </w:t>
      </w:r>
      <w:r w:rsidR="00602CD5">
        <w:rPr>
          <w:rFonts w:cstheme="majorBidi"/>
        </w:rPr>
        <w:t>t</w:t>
      </w:r>
      <w:proofErr w:type="spellStart"/>
      <w:r w:rsidR="00602CD5" w:rsidRPr="00602CD5">
        <w:rPr>
          <w:rFonts w:cstheme="majorBidi"/>
          <w:lang w:val="en-AU"/>
        </w:rPr>
        <w:t>erms</w:t>
      </w:r>
      <w:proofErr w:type="spellEnd"/>
      <w:r w:rsidR="00602CD5" w:rsidRPr="00602CD5">
        <w:rPr>
          <w:rFonts w:cstheme="majorBidi"/>
          <w:lang w:val="en-AU"/>
        </w:rPr>
        <w:t xml:space="preserve"> of reference</w:t>
      </w:r>
      <w:r w:rsidR="00602CD5" w:rsidRPr="00602CD5">
        <w:rPr>
          <w:rFonts w:ascii="Calibri" w:eastAsia="SimSun" w:hAnsi="Calibri" w:cs="Times New Roman Bold"/>
          <w:b/>
          <w:sz w:val="28"/>
          <w:szCs w:val="24"/>
          <w:lang w:val="en-AU" w:eastAsia="en-AU"/>
        </w:rPr>
        <w:t xml:space="preserve"> </w:t>
      </w:r>
      <w:r w:rsidR="00602CD5" w:rsidRPr="00602CD5">
        <w:rPr>
          <w:rFonts w:cstheme="majorBidi"/>
          <w:bCs/>
          <w:lang w:val="en-AU"/>
        </w:rPr>
        <w:t>of the Council Expert Group on Decision 482</w:t>
      </w:r>
      <w:r w:rsidR="00602CD5">
        <w:rPr>
          <w:rFonts w:cstheme="majorBidi"/>
          <w:bCs/>
          <w:lang w:val="en-AU"/>
        </w:rPr>
        <w:t xml:space="preserve">, Annex to </w:t>
      </w:r>
      <w:r w:rsidR="009B01FA">
        <w:rPr>
          <w:rFonts w:cstheme="majorBidi"/>
        </w:rPr>
        <w:t>Doc</w:t>
      </w:r>
      <w:r w:rsidR="00602CD5">
        <w:rPr>
          <w:rFonts w:cstheme="majorBidi"/>
        </w:rPr>
        <w:t>ument</w:t>
      </w:r>
      <w:r w:rsidR="009B01FA">
        <w:rPr>
          <w:rFonts w:cstheme="majorBidi"/>
        </w:rPr>
        <w:t xml:space="preserve"> </w:t>
      </w:r>
      <w:hyperlink r:id="rId10" w:history="1">
        <w:r w:rsidR="009B01FA" w:rsidRPr="009B01FA">
          <w:rPr>
            <w:rStyle w:val="Hyperlink"/>
            <w:rFonts w:cstheme="majorBidi"/>
            <w:bCs/>
            <w:lang w:val="de-CH"/>
          </w:rPr>
          <w:t>EG-D482-1/1</w:t>
        </w:r>
      </w:hyperlink>
      <w:r w:rsidR="00602CD5" w:rsidRPr="00602CD5">
        <w:rPr>
          <w:rFonts w:cstheme="majorBidi"/>
        </w:rPr>
        <w:t>,</w:t>
      </w:r>
      <w:r w:rsidRPr="00602CD5">
        <w:rPr>
          <w:rFonts w:cstheme="majorBidi"/>
        </w:rPr>
        <w:t xml:space="preserve"> </w:t>
      </w:r>
      <w:r w:rsidRPr="00720B6A">
        <w:rPr>
          <w:rFonts w:cstheme="majorBidi"/>
        </w:rPr>
        <w:t>was presented.</w:t>
      </w:r>
      <w:r w:rsidR="00F465CD" w:rsidRPr="00720B6A">
        <w:rPr>
          <w:rFonts w:cstheme="majorBidi"/>
        </w:rPr>
        <w:t xml:space="preserve"> </w:t>
      </w:r>
      <w:r w:rsidR="009E2A38" w:rsidRPr="00133AC3">
        <w:rPr>
          <w:rFonts w:cstheme="majorBidi"/>
        </w:rPr>
        <w:t>No comments were provided.</w:t>
      </w:r>
      <w:r w:rsidR="00F465CD" w:rsidRPr="00720B6A">
        <w:rPr>
          <w:rFonts w:cstheme="majorBidi"/>
        </w:rPr>
        <w:t xml:space="preserve"> </w:t>
      </w:r>
    </w:p>
    <w:p w:rsidR="00027968" w:rsidRPr="00720B6A" w:rsidRDefault="00D805C4" w:rsidP="00BE3F2B">
      <w:pPr>
        <w:snapToGrid w:val="0"/>
        <w:spacing w:before="100" w:beforeAutospacing="1" w:after="100" w:afterAutospacing="1" w:line="240" w:lineRule="auto"/>
        <w:ind w:left="720" w:hanging="720"/>
        <w:jc w:val="both"/>
        <w:outlineLvl w:val="0"/>
        <w:rPr>
          <w:rFonts w:cstheme="majorBidi"/>
          <w:b/>
          <w:bCs/>
        </w:rPr>
      </w:pPr>
      <w:r w:rsidRPr="00720B6A">
        <w:rPr>
          <w:rFonts w:cstheme="majorBidi"/>
          <w:b/>
          <w:bCs/>
        </w:rPr>
        <w:t>3</w:t>
      </w:r>
      <w:r w:rsidRPr="00720B6A">
        <w:rPr>
          <w:rFonts w:cstheme="majorBidi"/>
          <w:b/>
          <w:bCs/>
        </w:rPr>
        <w:tab/>
      </w:r>
      <w:r w:rsidR="00852CDA" w:rsidRPr="00852CDA">
        <w:rPr>
          <w:rFonts w:cstheme="majorBidi"/>
          <w:b/>
          <w:bCs/>
          <w:lang w:val="en-AU"/>
        </w:rPr>
        <w:t>Review of Procedure B for complex non-GSO satellite filings</w:t>
      </w:r>
    </w:p>
    <w:p w:rsidR="002D53C6" w:rsidRPr="00720B6A" w:rsidRDefault="00B42716" w:rsidP="005130C8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b/>
        </w:rPr>
        <w:t>Document</w:t>
      </w:r>
      <w:r w:rsidR="002D53C6" w:rsidRPr="00720B6A">
        <w:rPr>
          <w:b/>
        </w:rPr>
        <w:t xml:space="preserve"> </w:t>
      </w:r>
      <w:hyperlink r:id="rId11" w:history="1">
        <w:r w:rsidR="009A39FB" w:rsidRPr="009A39FB">
          <w:rPr>
            <w:rStyle w:val="Hyperlink"/>
            <w:b/>
            <w:lang w:val="de-CH"/>
          </w:rPr>
          <w:t>EG-D482-1/2</w:t>
        </w:r>
      </w:hyperlink>
      <w:r w:rsidR="002D53C6" w:rsidRPr="00720B6A">
        <w:rPr>
          <w:b/>
        </w:rPr>
        <w:t xml:space="preserve"> from </w:t>
      </w:r>
      <w:r w:rsidR="00B57828">
        <w:rPr>
          <w:b/>
        </w:rPr>
        <w:t xml:space="preserve">the </w:t>
      </w:r>
      <w:r w:rsidR="00B57828" w:rsidRPr="00B57828">
        <w:rPr>
          <w:b/>
          <w:lang w:val="en-AU"/>
        </w:rPr>
        <w:t>United States of America</w:t>
      </w:r>
      <w:r w:rsidR="002D53C6" w:rsidRPr="00720B6A">
        <w:rPr>
          <w:b/>
        </w:rPr>
        <w:t xml:space="preserve"> - </w:t>
      </w:r>
      <w:r w:rsidR="00B57828" w:rsidRPr="00B57828">
        <w:rPr>
          <w:b/>
          <w:lang w:val="en-AU"/>
        </w:rPr>
        <w:t>Working Document on NGSO Cost Recovery and draft revisions to Decision 482</w:t>
      </w:r>
    </w:p>
    <w:p w:rsidR="005130C8" w:rsidRPr="005130C8" w:rsidRDefault="005130C8" w:rsidP="002E48E7">
      <w:pPr>
        <w:spacing w:before="100" w:beforeAutospacing="1" w:after="100" w:afterAutospacing="1" w:line="240" w:lineRule="auto"/>
        <w:jc w:val="both"/>
        <w:rPr>
          <w:bCs/>
          <w:lang w:val="en-GB"/>
        </w:rPr>
      </w:pPr>
      <w:r w:rsidRPr="005130C8">
        <w:rPr>
          <w:bCs/>
          <w:lang w:val="en-GB"/>
        </w:rPr>
        <w:t>Th</w:t>
      </w:r>
      <w:r w:rsidR="00C1432C">
        <w:rPr>
          <w:bCs/>
          <w:lang w:val="en-GB"/>
        </w:rPr>
        <w:t>e</w:t>
      </w:r>
      <w:r w:rsidRPr="005130C8">
        <w:rPr>
          <w:bCs/>
          <w:lang w:val="en-GB"/>
        </w:rPr>
        <w:t xml:space="preserve"> </w:t>
      </w:r>
      <w:r w:rsidR="00C1432C">
        <w:rPr>
          <w:bCs/>
          <w:lang w:val="en-GB"/>
        </w:rPr>
        <w:t>document</w:t>
      </w:r>
      <w:r w:rsidRPr="005130C8">
        <w:rPr>
          <w:bCs/>
          <w:lang w:val="en-GB"/>
        </w:rPr>
        <w:t xml:space="preserve"> </w:t>
      </w:r>
      <w:r w:rsidR="00353CC4">
        <w:rPr>
          <w:bCs/>
          <w:lang w:val="en-GB"/>
        </w:rPr>
        <w:t xml:space="preserve">provides a detailed </w:t>
      </w:r>
      <w:r w:rsidRPr="005130C8">
        <w:rPr>
          <w:bCs/>
          <w:lang w:val="en-GB"/>
        </w:rPr>
        <w:t>analys</w:t>
      </w:r>
      <w:r w:rsidR="00353CC4">
        <w:rPr>
          <w:bCs/>
          <w:lang w:val="en-GB"/>
        </w:rPr>
        <w:t>i</w:t>
      </w:r>
      <w:r w:rsidRPr="005130C8">
        <w:rPr>
          <w:bCs/>
          <w:lang w:val="en-GB"/>
        </w:rPr>
        <w:t xml:space="preserve">s </w:t>
      </w:r>
      <w:r w:rsidR="00353CC4">
        <w:rPr>
          <w:bCs/>
          <w:lang w:val="en-GB"/>
        </w:rPr>
        <w:t xml:space="preserve">of </w:t>
      </w:r>
      <w:r w:rsidRPr="005130C8">
        <w:rPr>
          <w:bCs/>
          <w:lang w:val="en-GB"/>
        </w:rPr>
        <w:t xml:space="preserve">Procedure B </w:t>
      </w:r>
      <w:r w:rsidR="00C1432C">
        <w:rPr>
          <w:bCs/>
          <w:lang w:val="en-GB"/>
        </w:rPr>
        <w:t xml:space="preserve">and </w:t>
      </w:r>
      <w:r w:rsidR="00C1432C" w:rsidRPr="005130C8">
        <w:rPr>
          <w:bCs/>
          <w:lang w:val="en-GB"/>
        </w:rPr>
        <w:t xml:space="preserve">is only applicable to </w:t>
      </w:r>
      <w:r w:rsidR="00C1432C">
        <w:rPr>
          <w:bCs/>
          <w:lang w:val="en-GB"/>
        </w:rPr>
        <w:t>non-</w:t>
      </w:r>
      <w:r w:rsidR="00C1432C" w:rsidRPr="005130C8">
        <w:rPr>
          <w:bCs/>
          <w:lang w:val="en-GB"/>
        </w:rPr>
        <w:t>GSO cost recovery filings</w:t>
      </w:r>
      <w:r w:rsidRPr="005130C8">
        <w:rPr>
          <w:bCs/>
          <w:lang w:val="en-GB"/>
        </w:rPr>
        <w:t>.</w:t>
      </w:r>
      <w:r w:rsidR="00C1432C">
        <w:rPr>
          <w:bCs/>
          <w:lang w:val="en-GB"/>
        </w:rPr>
        <w:t xml:space="preserve"> The </w:t>
      </w:r>
      <w:r w:rsidRPr="005130C8">
        <w:rPr>
          <w:bCs/>
          <w:lang w:val="en-GB"/>
        </w:rPr>
        <w:t>Attachment to th</w:t>
      </w:r>
      <w:r w:rsidR="00C1432C">
        <w:rPr>
          <w:bCs/>
          <w:lang w:val="en-GB"/>
        </w:rPr>
        <w:t xml:space="preserve">e document </w:t>
      </w:r>
      <w:r w:rsidRPr="005130C8">
        <w:rPr>
          <w:bCs/>
          <w:lang w:val="en-GB"/>
        </w:rPr>
        <w:t>contains a spreadsheet for the user to evaluate potential changes</w:t>
      </w:r>
      <w:r w:rsidR="00C1432C" w:rsidRPr="00C1432C">
        <w:t xml:space="preserve"> </w:t>
      </w:r>
      <w:r w:rsidR="00C1432C" w:rsidRPr="00084C8E">
        <w:t xml:space="preserve">to </w:t>
      </w:r>
      <w:r w:rsidR="00C1432C">
        <w:t xml:space="preserve">the formula for </w:t>
      </w:r>
      <w:r w:rsidR="00C1432C" w:rsidRPr="00084C8E">
        <w:t>Cost Recovery</w:t>
      </w:r>
      <w:r w:rsidRPr="005130C8">
        <w:rPr>
          <w:bCs/>
          <w:lang w:val="en-GB"/>
        </w:rPr>
        <w:t>.</w:t>
      </w:r>
    </w:p>
    <w:p w:rsidR="00C92E9B" w:rsidRDefault="00B81940" w:rsidP="007F3873">
      <w:pPr>
        <w:spacing w:before="100" w:beforeAutospacing="1" w:after="100" w:afterAutospacing="1" w:line="240" w:lineRule="auto"/>
        <w:jc w:val="both"/>
        <w:rPr>
          <w:bCs/>
        </w:rPr>
      </w:pPr>
      <w:r w:rsidRPr="00B81940">
        <w:rPr>
          <w:bCs/>
        </w:rPr>
        <w:lastRenderedPageBreak/>
        <w:t xml:space="preserve">The </w:t>
      </w:r>
      <w:r w:rsidRPr="00B81940">
        <w:rPr>
          <w:bCs/>
          <w:lang w:val="en-GB"/>
        </w:rPr>
        <w:t>document</w:t>
      </w:r>
      <w:r w:rsidRPr="00B81940">
        <w:rPr>
          <w:bCs/>
        </w:rPr>
        <w:t xml:space="preserve"> states that </w:t>
      </w:r>
      <w:r w:rsidR="00262C2C" w:rsidRPr="00262C2C">
        <w:rPr>
          <w:bCs/>
          <w:lang w:val="en-AU"/>
        </w:rPr>
        <w:t xml:space="preserve">Cost Recovery charges applicable to various types of non-GSO satellite systems should be transparent, reviewed with care, ensure a fair and appropriate sharing of associated processing costs, and reflect the actual and demonstrable costs by the </w:t>
      </w:r>
      <w:r w:rsidR="007F3873">
        <w:rPr>
          <w:bCs/>
          <w:lang w:val="en-AU"/>
        </w:rPr>
        <w:t>BR</w:t>
      </w:r>
      <w:r w:rsidR="00262C2C" w:rsidRPr="00262C2C">
        <w:rPr>
          <w:bCs/>
          <w:lang w:val="en-AU"/>
        </w:rPr>
        <w:t xml:space="preserve"> to process the filings taking into account that the purpose of cost recovery is not revenue creation but purely recovery of actual cost</w:t>
      </w:r>
      <w:r w:rsidR="006C6048" w:rsidRPr="00720B6A">
        <w:rPr>
          <w:bCs/>
        </w:rPr>
        <w:t>.</w:t>
      </w:r>
      <w:r w:rsidR="002141A7" w:rsidRPr="002141A7">
        <w:rPr>
          <w:rFonts w:eastAsia="SimSun" w:cs="Times New Roman"/>
          <w:sz w:val="24"/>
          <w:szCs w:val="24"/>
          <w:lang w:val="en-AU" w:eastAsia="en-AU"/>
        </w:rPr>
        <w:t xml:space="preserve"> </w:t>
      </w:r>
      <w:r w:rsidR="002141A7" w:rsidRPr="002141A7">
        <w:rPr>
          <w:bCs/>
          <w:lang w:val="en-AU"/>
        </w:rPr>
        <w:t xml:space="preserve">Any changes to Cost Recovery should take into account the actual time and other resources (e.g., computer time) spent by </w:t>
      </w:r>
      <w:r w:rsidR="007F3873">
        <w:rPr>
          <w:bCs/>
          <w:lang w:val="en-AU"/>
        </w:rPr>
        <w:t>BR</w:t>
      </w:r>
      <w:r w:rsidR="002141A7" w:rsidRPr="002141A7">
        <w:rPr>
          <w:bCs/>
          <w:lang w:val="en-AU"/>
        </w:rPr>
        <w:t xml:space="preserve"> staff on processing filings.</w:t>
      </w:r>
      <w:r w:rsidR="00C92E9B">
        <w:rPr>
          <w:bCs/>
          <w:lang w:val="en-AU"/>
        </w:rPr>
        <w:t xml:space="preserve"> </w:t>
      </w:r>
      <w:r w:rsidR="00C92E9B" w:rsidRPr="00C92E9B">
        <w:rPr>
          <w:bCs/>
          <w:lang w:val="en-AU"/>
        </w:rPr>
        <w:t xml:space="preserve">Without having more information on the actual cost of processing such filings, </w:t>
      </w:r>
      <w:r w:rsidR="00C92E9B">
        <w:rPr>
          <w:bCs/>
          <w:lang w:val="en-AU"/>
        </w:rPr>
        <w:t xml:space="preserve">any </w:t>
      </w:r>
      <w:r w:rsidR="00C92E9B" w:rsidRPr="00C92E9B">
        <w:rPr>
          <w:bCs/>
          <w:lang w:val="en-AU"/>
        </w:rPr>
        <w:t>proposals to change Decision 482 would be premature.</w:t>
      </w:r>
      <w:r w:rsidR="00C92E9B">
        <w:rPr>
          <w:bCs/>
          <w:lang w:val="en-AU"/>
        </w:rPr>
        <w:t xml:space="preserve"> The B</w:t>
      </w:r>
      <w:r w:rsidR="007F3873">
        <w:rPr>
          <w:bCs/>
          <w:lang w:val="en-AU"/>
        </w:rPr>
        <w:t>R</w:t>
      </w:r>
      <w:r w:rsidR="00C92E9B">
        <w:rPr>
          <w:bCs/>
          <w:lang w:val="en-AU"/>
        </w:rPr>
        <w:t xml:space="preserve"> is </w:t>
      </w:r>
      <w:r w:rsidR="00C92E9B" w:rsidRPr="00C92E9B">
        <w:rPr>
          <w:bCs/>
          <w:lang w:val="en-AU"/>
        </w:rPr>
        <w:t>encourage</w:t>
      </w:r>
      <w:r w:rsidR="00C92E9B">
        <w:rPr>
          <w:bCs/>
          <w:lang w:val="en-AU"/>
        </w:rPr>
        <w:t>d</w:t>
      </w:r>
      <w:r w:rsidR="00C92E9B" w:rsidRPr="00C92E9B">
        <w:rPr>
          <w:bCs/>
          <w:lang w:val="en-AU"/>
        </w:rPr>
        <w:t xml:space="preserve"> to provide information on the actual cost of processing large non-GSO system filings</w:t>
      </w:r>
      <w:r w:rsidR="004F1DB4">
        <w:rPr>
          <w:bCs/>
          <w:lang w:val="en-AU"/>
        </w:rPr>
        <w:t>.</w:t>
      </w:r>
      <w:r w:rsidR="00C92E9B" w:rsidRPr="00C92E9B">
        <w:rPr>
          <w:bCs/>
          <w:lang w:val="en-AU"/>
        </w:rPr>
        <w:t xml:space="preserve"> </w:t>
      </w:r>
    </w:p>
    <w:p w:rsidR="00DA2FED" w:rsidRDefault="00DA2FED" w:rsidP="00DA2FED">
      <w:pPr>
        <w:spacing w:before="100" w:beforeAutospacing="1" w:after="100" w:afterAutospacing="1" w:line="240" w:lineRule="auto"/>
        <w:jc w:val="both"/>
        <w:rPr>
          <w:bCs/>
        </w:rPr>
      </w:pPr>
      <w:r>
        <w:rPr>
          <w:bCs/>
        </w:rPr>
        <w:t>During the d</w:t>
      </w:r>
      <w:r w:rsidRPr="00DA2FED">
        <w:rPr>
          <w:bCs/>
        </w:rPr>
        <w:t xml:space="preserve">iscussions </w:t>
      </w:r>
      <w:r>
        <w:rPr>
          <w:bCs/>
        </w:rPr>
        <w:t>it was mentioned that:</w:t>
      </w:r>
    </w:p>
    <w:p w:rsidR="00521D08" w:rsidRPr="0092208A" w:rsidRDefault="00A01B31" w:rsidP="00A01B3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bCs/>
        </w:rPr>
      </w:pPr>
      <w:r w:rsidRPr="0092208A">
        <w:rPr>
          <w:bCs/>
          <w:lang w:val="en-AU"/>
        </w:rPr>
        <w:t>T</w:t>
      </w:r>
      <w:r w:rsidR="00B50B2E" w:rsidRPr="0092208A">
        <w:rPr>
          <w:bCs/>
          <w:lang w:val="en-AU"/>
        </w:rPr>
        <w:t>he purpose of cost recovery is not revenue creation but purely recovery of actual cost</w:t>
      </w:r>
      <w:r w:rsidR="00B50B2E" w:rsidRPr="0092208A">
        <w:rPr>
          <w:bCs/>
        </w:rPr>
        <w:t>.</w:t>
      </w:r>
    </w:p>
    <w:p w:rsidR="00521D08" w:rsidRPr="0092208A" w:rsidRDefault="00521D08" w:rsidP="00521D0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bCs/>
        </w:rPr>
      </w:pPr>
      <w:r w:rsidRPr="0092208A">
        <w:rPr>
          <w:bCs/>
        </w:rPr>
        <w:t xml:space="preserve">The </w:t>
      </w:r>
      <w:r w:rsidR="005272C9" w:rsidRPr="0092208A">
        <w:rPr>
          <w:bCs/>
        </w:rPr>
        <w:t>use of an individual staff</w:t>
      </w:r>
      <w:r w:rsidRPr="0092208A">
        <w:rPr>
          <w:bCs/>
        </w:rPr>
        <w:t xml:space="preserve"> tracking mechanism </w:t>
      </w:r>
      <w:r w:rsidR="005272C9" w:rsidRPr="0092208A">
        <w:rPr>
          <w:bCs/>
        </w:rPr>
        <w:t xml:space="preserve">for processing satellite network filings </w:t>
      </w:r>
      <w:r w:rsidRPr="0092208A">
        <w:rPr>
          <w:bCs/>
        </w:rPr>
        <w:t xml:space="preserve">was </w:t>
      </w:r>
      <w:r w:rsidR="005272C9" w:rsidRPr="0092208A">
        <w:rPr>
          <w:bCs/>
        </w:rPr>
        <w:t xml:space="preserve">implemented in the early 2000 </w:t>
      </w:r>
      <w:r w:rsidRPr="0092208A">
        <w:rPr>
          <w:bCs/>
        </w:rPr>
        <w:t>but finally abandoned in 2005.</w:t>
      </w:r>
    </w:p>
    <w:p w:rsidR="00521D08" w:rsidRPr="0092208A" w:rsidRDefault="00521D08" w:rsidP="007C7DE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bCs/>
        </w:rPr>
      </w:pPr>
      <w:r w:rsidRPr="0092208A">
        <w:rPr>
          <w:bCs/>
        </w:rPr>
        <w:t xml:space="preserve">There is a need to better evaluate </w:t>
      </w:r>
      <w:r w:rsidR="005272C9" w:rsidRPr="0092208A">
        <w:rPr>
          <w:bCs/>
        </w:rPr>
        <w:t xml:space="preserve">the </w:t>
      </w:r>
      <w:r w:rsidR="00317B42" w:rsidRPr="0092208A">
        <w:rPr>
          <w:bCs/>
        </w:rPr>
        <w:t>notion</w:t>
      </w:r>
      <w:r w:rsidR="005272C9" w:rsidRPr="0092208A">
        <w:rPr>
          <w:bCs/>
        </w:rPr>
        <w:t xml:space="preserve"> of</w:t>
      </w:r>
      <w:r w:rsidRPr="0092208A">
        <w:rPr>
          <w:bCs/>
        </w:rPr>
        <w:t xml:space="preserve"> complex and large filings</w:t>
      </w:r>
      <w:r w:rsidR="005F3A2B" w:rsidRPr="0092208A">
        <w:rPr>
          <w:bCs/>
        </w:rPr>
        <w:t xml:space="preserve"> and to avoid invoices </w:t>
      </w:r>
      <w:r w:rsidR="007C7DE1" w:rsidRPr="0092208A">
        <w:rPr>
          <w:bCs/>
        </w:rPr>
        <w:t>with</w:t>
      </w:r>
      <w:r w:rsidR="005F3A2B" w:rsidRPr="0092208A">
        <w:rPr>
          <w:bCs/>
        </w:rPr>
        <w:t xml:space="preserve"> excessive values</w:t>
      </w:r>
      <w:r w:rsidRPr="0092208A">
        <w:rPr>
          <w:bCs/>
        </w:rPr>
        <w:t>.</w:t>
      </w:r>
    </w:p>
    <w:p w:rsidR="00DA2FED" w:rsidRPr="0092208A" w:rsidRDefault="001925F0" w:rsidP="005F3A2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bCs/>
        </w:rPr>
      </w:pPr>
      <w:r w:rsidRPr="0092208A">
        <w:rPr>
          <w:bCs/>
        </w:rPr>
        <w:t>Any</w:t>
      </w:r>
      <w:r w:rsidR="005F3A2B" w:rsidRPr="0092208A">
        <w:rPr>
          <w:bCs/>
        </w:rPr>
        <w:t xml:space="preserve"> </w:t>
      </w:r>
      <w:r w:rsidRPr="0092208A">
        <w:rPr>
          <w:bCs/>
        </w:rPr>
        <w:t xml:space="preserve">draft </w:t>
      </w:r>
      <w:r w:rsidR="005F3A2B" w:rsidRPr="0092208A">
        <w:rPr>
          <w:bCs/>
        </w:rPr>
        <w:t xml:space="preserve">modifications to Decision 482 </w:t>
      </w:r>
      <w:r w:rsidRPr="0092208A">
        <w:rPr>
          <w:bCs/>
        </w:rPr>
        <w:t xml:space="preserve">are premature </w:t>
      </w:r>
      <w:r w:rsidR="005F3A2B" w:rsidRPr="0092208A">
        <w:rPr>
          <w:bCs/>
        </w:rPr>
        <w:t xml:space="preserve">at this meeting which should only prepare a report on studies and </w:t>
      </w:r>
      <w:r w:rsidR="005F3A2B" w:rsidRPr="0092208A">
        <w:rPr>
          <w:bCs/>
          <w:lang w:val="en-AU"/>
        </w:rPr>
        <w:t>recommendations</w:t>
      </w:r>
      <w:r w:rsidRPr="0092208A">
        <w:rPr>
          <w:bCs/>
          <w:lang w:val="en-AU"/>
        </w:rPr>
        <w:t xml:space="preserve"> for follow-up action</w:t>
      </w:r>
      <w:r w:rsidR="00317B42" w:rsidRPr="0092208A">
        <w:rPr>
          <w:bCs/>
          <w:lang w:val="en-AU"/>
        </w:rPr>
        <w:t>s</w:t>
      </w:r>
      <w:r w:rsidR="005F3A2B" w:rsidRPr="0092208A">
        <w:rPr>
          <w:bCs/>
          <w:lang w:val="en-AU"/>
        </w:rPr>
        <w:t>.</w:t>
      </w:r>
    </w:p>
    <w:p w:rsidR="00735713" w:rsidRPr="00033364" w:rsidRDefault="001925F0" w:rsidP="0092208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bCs/>
        </w:rPr>
      </w:pPr>
      <w:r w:rsidRPr="0092208A">
        <w:rPr>
          <w:bCs/>
        </w:rPr>
        <w:t>Only</w:t>
      </w:r>
      <w:r w:rsidR="00F80B4A" w:rsidRPr="0092208A">
        <w:rPr>
          <w:bCs/>
        </w:rPr>
        <w:t xml:space="preserve"> </w:t>
      </w:r>
      <w:r w:rsidR="008209A7" w:rsidRPr="0092208A">
        <w:rPr>
          <w:bCs/>
        </w:rPr>
        <w:t xml:space="preserve">the </w:t>
      </w:r>
      <w:r w:rsidR="00F80B4A" w:rsidRPr="0092208A">
        <w:rPr>
          <w:bCs/>
        </w:rPr>
        <w:t>consider</w:t>
      </w:r>
      <w:r w:rsidRPr="0092208A">
        <w:rPr>
          <w:bCs/>
        </w:rPr>
        <w:t xml:space="preserve">ation of </w:t>
      </w:r>
      <w:r w:rsidR="00F80B4A" w:rsidRPr="0092208A">
        <w:rPr>
          <w:bCs/>
        </w:rPr>
        <w:t>break point</w:t>
      </w:r>
      <w:r w:rsidRPr="0092208A">
        <w:rPr>
          <w:bCs/>
        </w:rPr>
        <w:t>s (existing and possible new ones)</w:t>
      </w:r>
      <w:r w:rsidR="00F80B4A" w:rsidRPr="0092208A">
        <w:rPr>
          <w:bCs/>
        </w:rPr>
        <w:t xml:space="preserve"> </w:t>
      </w:r>
      <w:r w:rsidR="00026796" w:rsidRPr="0092208A">
        <w:rPr>
          <w:bCs/>
        </w:rPr>
        <w:t xml:space="preserve">may be discussed </w:t>
      </w:r>
      <w:r w:rsidR="00F80B4A" w:rsidRPr="0092208A">
        <w:rPr>
          <w:bCs/>
        </w:rPr>
        <w:t>at this point in time</w:t>
      </w:r>
      <w:r w:rsidR="00EE16CD" w:rsidRPr="0092208A">
        <w:rPr>
          <w:bCs/>
        </w:rPr>
        <w:t>,</w:t>
      </w:r>
      <w:r w:rsidR="00F80B4A" w:rsidRPr="0092208A">
        <w:rPr>
          <w:bCs/>
        </w:rPr>
        <w:t xml:space="preserve"> </w:t>
      </w:r>
      <w:r w:rsidRPr="0092208A">
        <w:rPr>
          <w:bCs/>
        </w:rPr>
        <w:t>as the overall</w:t>
      </w:r>
      <w:r w:rsidRPr="00033364">
        <w:rPr>
          <w:bCs/>
        </w:rPr>
        <w:t xml:space="preserve"> issue </w:t>
      </w:r>
      <w:r w:rsidR="00F80B4A" w:rsidRPr="00033364">
        <w:rPr>
          <w:bCs/>
        </w:rPr>
        <w:t>is still being quantified.</w:t>
      </w:r>
    </w:p>
    <w:p w:rsidR="00F80B4A" w:rsidRDefault="0041508A" w:rsidP="0041508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bCs/>
        </w:rPr>
      </w:pPr>
      <w:r>
        <w:rPr>
          <w:bCs/>
        </w:rPr>
        <w:t xml:space="preserve">Not only </w:t>
      </w:r>
      <w:r w:rsidR="00F80B4A">
        <w:rPr>
          <w:bCs/>
        </w:rPr>
        <w:t xml:space="preserve">complex </w:t>
      </w:r>
      <w:r>
        <w:rPr>
          <w:bCs/>
        </w:rPr>
        <w:t xml:space="preserve">satellite </w:t>
      </w:r>
      <w:r w:rsidR="00F80B4A">
        <w:rPr>
          <w:bCs/>
        </w:rPr>
        <w:t>system</w:t>
      </w:r>
      <w:r>
        <w:rPr>
          <w:bCs/>
        </w:rPr>
        <w:t>s</w:t>
      </w:r>
      <w:r w:rsidR="00F80B4A">
        <w:rPr>
          <w:bCs/>
        </w:rPr>
        <w:t xml:space="preserve"> </w:t>
      </w:r>
      <w:r>
        <w:rPr>
          <w:bCs/>
        </w:rPr>
        <w:t xml:space="preserve">have a high number </w:t>
      </w:r>
      <w:r w:rsidR="00F80B4A">
        <w:rPr>
          <w:bCs/>
        </w:rPr>
        <w:t xml:space="preserve">of units. </w:t>
      </w:r>
      <w:r>
        <w:rPr>
          <w:bCs/>
        </w:rPr>
        <w:t xml:space="preserve">Simple </w:t>
      </w:r>
      <w:r w:rsidRPr="0041508A">
        <w:rPr>
          <w:bCs/>
        </w:rPr>
        <w:t xml:space="preserve">satellite systems </w:t>
      </w:r>
      <w:r>
        <w:rPr>
          <w:bCs/>
        </w:rPr>
        <w:t xml:space="preserve">may also </w:t>
      </w:r>
      <w:r w:rsidR="00F80B4A">
        <w:rPr>
          <w:bCs/>
        </w:rPr>
        <w:t>have high number of units.</w:t>
      </w:r>
    </w:p>
    <w:p w:rsidR="00C12AFF" w:rsidRDefault="001F1555" w:rsidP="001F155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bCs/>
        </w:rPr>
      </w:pPr>
      <w:r>
        <w:rPr>
          <w:bCs/>
        </w:rPr>
        <w:t xml:space="preserve">The number of units is not the only criterion to characterize </w:t>
      </w:r>
      <w:r w:rsidRPr="001F1555">
        <w:rPr>
          <w:bCs/>
        </w:rPr>
        <w:t>complex satellite systems</w:t>
      </w:r>
      <w:r>
        <w:rPr>
          <w:bCs/>
        </w:rPr>
        <w:t>. There is a need to identify the criteria to</w:t>
      </w:r>
      <w:r w:rsidRPr="001F1555">
        <w:rPr>
          <w:bCs/>
        </w:rPr>
        <w:t xml:space="preserve"> characterize complex satellite systems</w:t>
      </w:r>
      <w:r>
        <w:rPr>
          <w:bCs/>
        </w:rPr>
        <w:t>.</w:t>
      </w:r>
    </w:p>
    <w:p w:rsidR="00A5042E" w:rsidRPr="00720B6A" w:rsidRDefault="00B42716" w:rsidP="00BE3F2B">
      <w:pPr>
        <w:spacing w:before="100" w:beforeAutospacing="1" w:after="100" w:afterAutospacing="1" w:line="240" w:lineRule="auto"/>
        <w:jc w:val="both"/>
        <w:rPr>
          <w:rFonts w:cstheme="majorBidi"/>
          <w:b/>
          <w:spacing w:val="-4"/>
        </w:rPr>
      </w:pPr>
      <w:r>
        <w:rPr>
          <w:rFonts w:cstheme="majorBidi"/>
          <w:b/>
          <w:spacing w:val="-4"/>
        </w:rPr>
        <w:t>Document</w:t>
      </w:r>
      <w:r w:rsidR="00A5042E" w:rsidRPr="00720B6A">
        <w:rPr>
          <w:rFonts w:cstheme="majorBidi"/>
          <w:b/>
          <w:spacing w:val="-4"/>
        </w:rPr>
        <w:t xml:space="preserve"> </w:t>
      </w:r>
      <w:hyperlink r:id="rId12" w:history="1">
        <w:r w:rsidR="009A39FB" w:rsidRPr="009A39FB">
          <w:rPr>
            <w:rStyle w:val="Hyperlink"/>
            <w:rFonts w:cstheme="majorBidi"/>
            <w:b/>
            <w:spacing w:val="-4"/>
            <w:lang w:val="de-CH"/>
          </w:rPr>
          <w:t>EG-D482-1/3</w:t>
        </w:r>
      </w:hyperlink>
      <w:r w:rsidR="00A5042E" w:rsidRPr="00720B6A">
        <w:rPr>
          <w:rFonts w:cstheme="majorBidi"/>
          <w:b/>
          <w:spacing w:val="-4"/>
        </w:rPr>
        <w:t xml:space="preserve"> from </w:t>
      </w:r>
      <w:r w:rsidR="00B23930">
        <w:rPr>
          <w:rFonts w:cstheme="majorBidi"/>
          <w:b/>
          <w:spacing w:val="-4"/>
        </w:rPr>
        <w:t>France</w:t>
      </w:r>
      <w:r w:rsidR="00A5042E" w:rsidRPr="00720B6A">
        <w:rPr>
          <w:rFonts w:cstheme="majorBidi"/>
          <w:b/>
          <w:spacing w:val="-4"/>
        </w:rPr>
        <w:t xml:space="preserve"> - </w:t>
      </w:r>
      <w:r w:rsidR="00806F63" w:rsidRPr="00806F63">
        <w:rPr>
          <w:rFonts w:cstheme="majorBidi"/>
          <w:b/>
          <w:spacing w:val="-4"/>
          <w:lang w:val="en-AU"/>
        </w:rPr>
        <w:t>C</w:t>
      </w:r>
      <w:r w:rsidR="00806F63">
        <w:rPr>
          <w:rFonts w:cstheme="majorBidi"/>
          <w:b/>
          <w:spacing w:val="-4"/>
          <w:lang w:val="en-AU"/>
        </w:rPr>
        <w:t>ost</w:t>
      </w:r>
      <w:r w:rsidR="00806F63" w:rsidRPr="00806F63">
        <w:rPr>
          <w:rFonts w:cstheme="majorBidi"/>
          <w:b/>
          <w:spacing w:val="-4"/>
          <w:lang w:val="en-AU"/>
        </w:rPr>
        <w:t xml:space="preserve"> R</w:t>
      </w:r>
      <w:r w:rsidR="00806F63">
        <w:rPr>
          <w:rFonts w:cstheme="majorBidi"/>
          <w:b/>
          <w:spacing w:val="-4"/>
          <w:lang w:val="en-AU"/>
        </w:rPr>
        <w:t>ecovery</w:t>
      </w:r>
      <w:r w:rsidR="00806F63" w:rsidRPr="00806F63">
        <w:rPr>
          <w:rFonts w:cstheme="majorBidi"/>
          <w:b/>
          <w:spacing w:val="-4"/>
          <w:lang w:val="en-AU"/>
        </w:rPr>
        <w:t xml:space="preserve"> </w:t>
      </w:r>
      <w:r w:rsidR="00806F63">
        <w:rPr>
          <w:rFonts w:cstheme="majorBidi"/>
          <w:b/>
          <w:spacing w:val="-4"/>
          <w:lang w:val="en-AU"/>
        </w:rPr>
        <w:t>applicable</w:t>
      </w:r>
      <w:r w:rsidR="00806F63" w:rsidRPr="00806F63">
        <w:rPr>
          <w:rFonts w:cstheme="majorBidi"/>
          <w:b/>
          <w:spacing w:val="-4"/>
          <w:lang w:val="en-AU"/>
        </w:rPr>
        <w:t xml:space="preserve"> </w:t>
      </w:r>
      <w:r w:rsidR="00806F63">
        <w:rPr>
          <w:rFonts w:cstheme="majorBidi"/>
          <w:b/>
          <w:spacing w:val="-4"/>
          <w:lang w:val="en-AU"/>
        </w:rPr>
        <w:t>to</w:t>
      </w:r>
      <w:r w:rsidR="00806F63" w:rsidRPr="00806F63">
        <w:rPr>
          <w:rFonts w:cstheme="majorBidi"/>
          <w:b/>
          <w:spacing w:val="-4"/>
          <w:lang w:val="en-AU"/>
        </w:rPr>
        <w:t xml:space="preserve"> </w:t>
      </w:r>
      <w:r w:rsidR="00806F63">
        <w:rPr>
          <w:rFonts w:cstheme="majorBidi"/>
          <w:b/>
          <w:spacing w:val="-4"/>
          <w:lang w:val="en-AU"/>
        </w:rPr>
        <w:t>non</w:t>
      </w:r>
      <w:r w:rsidR="00806F63" w:rsidRPr="00806F63">
        <w:rPr>
          <w:rFonts w:cstheme="majorBidi"/>
          <w:b/>
          <w:spacing w:val="-4"/>
          <w:lang w:val="en-AU"/>
        </w:rPr>
        <w:t>-</w:t>
      </w:r>
      <w:r w:rsidR="001531D0">
        <w:rPr>
          <w:rFonts w:cstheme="majorBidi"/>
          <w:b/>
          <w:spacing w:val="-4"/>
          <w:lang w:val="en-AU"/>
        </w:rPr>
        <w:t>GSO</w:t>
      </w:r>
      <w:r w:rsidR="00806F63">
        <w:rPr>
          <w:rFonts w:cstheme="majorBidi"/>
          <w:b/>
          <w:spacing w:val="-4"/>
          <w:lang w:val="en-AU"/>
        </w:rPr>
        <w:t xml:space="preserve"> satellite</w:t>
      </w:r>
      <w:r w:rsidR="00806F63" w:rsidRPr="00806F63">
        <w:rPr>
          <w:rFonts w:cstheme="majorBidi"/>
          <w:b/>
          <w:spacing w:val="-4"/>
          <w:lang w:val="en-AU"/>
        </w:rPr>
        <w:t xml:space="preserve"> </w:t>
      </w:r>
      <w:r w:rsidR="00806F63">
        <w:rPr>
          <w:rFonts w:cstheme="majorBidi"/>
          <w:b/>
          <w:spacing w:val="-4"/>
          <w:lang w:val="en-AU"/>
        </w:rPr>
        <w:t>systems</w:t>
      </w:r>
      <w:r w:rsidR="00806F63" w:rsidRPr="00806F63">
        <w:rPr>
          <w:rFonts w:cstheme="majorBidi"/>
          <w:b/>
          <w:spacing w:val="-4"/>
          <w:lang w:val="en-AU"/>
        </w:rPr>
        <w:t xml:space="preserve"> </w:t>
      </w:r>
      <w:r w:rsidR="00806F63">
        <w:rPr>
          <w:rFonts w:cstheme="majorBidi"/>
          <w:b/>
          <w:spacing w:val="-4"/>
          <w:lang w:val="en-AU"/>
        </w:rPr>
        <w:t>filings</w:t>
      </w:r>
    </w:p>
    <w:p w:rsidR="0029069A" w:rsidRDefault="00697B57" w:rsidP="007F3873">
      <w:pPr>
        <w:spacing w:before="100" w:beforeAutospacing="1" w:after="100" w:afterAutospacing="1" w:line="240" w:lineRule="auto"/>
        <w:jc w:val="both"/>
        <w:rPr>
          <w:lang w:val="en-GB"/>
        </w:rPr>
      </w:pPr>
      <w:r w:rsidRPr="00697B57">
        <w:rPr>
          <w:rFonts w:cstheme="majorBidi"/>
          <w:bCs/>
          <w:spacing w:val="-4"/>
          <w:lang w:val="en-GB"/>
        </w:rPr>
        <w:t xml:space="preserve">The document analyses Procedure B and </w:t>
      </w:r>
      <w:r w:rsidR="007B1597" w:rsidRPr="00720B6A">
        <w:rPr>
          <w:rFonts w:cstheme="majorBidi"/>
          <w:bCs/>
          <w:spacing w:val="-4"/>
        </w:rPr>
        <w:t xml:space="preserve">states that </w:t>
      </w:r>
      <w:r w:rsidRPr="00697B57">
        <w:rPr>
          <w:rFonts w:cstheme="majorBidi"/>
          <w:bCs/>
          <w:spacing w:val="-4"/>
          <w:lang w:val="en-GB"/>
        </w:rPr>
        <w:t>the Expert Group should study in more detail the relevance of the number of units of the ‘breakpoint’ to qualify the complex non-GSO satellite filings</w:t>
      </w:r>
      <w:r w:rsidR="00E82EB5">
        <w:rPr>
          <w:rFonts w:cstheme="majorBidi"/>
          <w:bCs/>
          <w:spacing w:val="-4"/>
          <w:lang w:val="en-GB"/>
        </w:rPr>
        <w:t xml:space="preserve">, and </w:t>
      </w:r>
      <w:r w:rsidR="00E82EB5" w:rsidRPr="002E7146">
        <w:rPr>
          <w:lang w:val="en-GB"/>
        </w:rPr>
        <w:t>should consider a new mechanism to limit the Cost Recovery fee as the number of units becomes very large</w:t>
      </w:r>
      <w:r w:rsidR="007B1597" w:rsidRPr="00720B6A">
        <w:rPr>
          <w:rFonts w:cstheme="majorBidi"/>
          <w:bCs/>
          <w:spacing w:val="-4"/>
        </w:rPr>
        <w:t>.</w:t>
      </w:r>
      <w:r w:rsidR="00E82EB5" w:rsidRPr="00E82EB5">
        <w:rPr>
          <w:lang w:val="en-GB"/>
        </w:rPr>
        <w:t xml:space="preserve"> </w:t>
      </w:r>
      <w:r w:rsidR="00E82EB5">
        <w:rPr>
          <w:lang w:val="en-GB"/>
        </w:rPr>
        <w:t>T</w:t>
      </w:r>
      <w:r w:rsidR="00E82EB5" w:rsidRPr="002E7146">
        <w:rPr>
          <w:lang w:val="en-GB"/>
        </w:rPr>
        <w:t>he Cost Recovery fee should be related to the real increase of the workload for the B</w:t>
      </w:r>
      <w:r w:rsidR="007F3873">
        <w:rPr>
          <w:lang w:val="en-GB"/>
        </w:rPr>
        <w:t>R</w:t>
      </w:r>
      <w:r w:rsidR="00E82EB5" w:rsidRPr="002E7146">
        <w:rPr>
          <w:lang w:val="en-GB"/>
        </w:rPr>
        <w:t xml:space="preserve"> </w:t>
      </w:r>
      <w:r w:rsidR="00E82EB5">
        <w:rPr>
          <w:lang w:val="en-GB"/>
        </w:rPr>
        <w:t xml:space="preserve">of the complex non-GSO </w:t>
      </w:r>
      <w:r w:rsidR="00B27360">
        <w:rPr>
          <w:lang w:val="en-GB"/>
        </w:rPr>
        <w:t xml:space="preserve">satellite </w:t>
      </w:r>
      <w:r w:rsidR="00E82EB5">
        <w:rPr>
          <w:lang w:val="en-GB"/>
        </w:rPr>
        <w:t>filings.</w:t>
      </w:r>
    </w:p>
    <w:p w:rsidR="007B1597" w:rsidRPr="00720B6A" w:rsidRDefault="0029069A" w:rsidP="00785CC0">
      <w:pPr>
        <w:spacing w:before="100" w:beforeAutospacing="1" w:after="100" w:afterAutospacing="1" w:line="240" w:lineRule="auto"/>
        <w:jc w:val="both"/>
        <w:rPr>
          <w:rFonts w:cstheme="majorBidi"/>
          <w:bCs/>
          <w:spacing w:val="-4"/>
        </w:rPr>
      </w:pPr>
      <w:r>
        <w:rPr>
          <w:lang w:val="en-GB"/>
        </w:rPr>
        <w:t xml:space="preserve">Any changes to the </w:t>
      </w:r>
      <w:r w:rsidRPr="0029069A">
        <w:rPr>
          <w:lang w:val="en-GB"/>
        </w:rPr>
        <w:t>Cost Recovery charges</w:t>
      </w:r>
      <w:r>
        <w:rPr>
          <w:lang w:val="en-GB"/>
        </w:rPr>
        <w:t xml:space="preserve"> should apply to </w:t>
      </w:r>
      <w:r w:rsidRPr="0029069A">
        <w:rPr>
          <w:lang w:val="en-GB"/>
        </w:rPr>
        <w:t>coordination requests with a date of receipt after the effective date of approved changes, and to Notifications which are associated with these coordination requests with a date of receipt after the effective date of approved changes</w:t>
      </w:r>
      <w:r w:rsidR="00785CC0">
        <w:rPr>
          <w:lang w:val="en-GB"/>
        </w:rPr>
        <w:t>.</w:t>
      </w:r>
    </w:p>
    <w:p w:rsidR="0029069A" w:rsidRPr="0029069A" w:rsidRDefault="0029069A" w:rsidP="0029069A">
      <w:pPr>
        <w:spacing w:before="100" w:beforeAutospacing="1" w:after="100" w:afterAutospacing="1" w:line="240" w:lineRule="auto"/>
        <w:jc w:val="both"/>
        <w:rPr>
          <w:rFonts w:cstheme="majorBidi"/>
        </w:rPr>
      </w:pPr>
      <w:r w:rsidRPr="0029069A">
        <w:rPr>
          <w:rFonts w:cstheme="majorBidi"/>
        </w:rPr>
        <w:t>During the discussions it was mentioned that:</w:t>
      </w:r>
    </w:p>
    <w:p w:rsidR="0029069A" w:rsidRPr="0029069A" w:rsidRDefault="0029069A" w:rsidP="000D1A5E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 w:rsidRPr="0029069A">
        <w:rPr>
          <w:rFonts w:cstheme="majorBidi"/>
        </w:rPr>
        <w:t xml:space="preserve">It is very important to highlight that </w:t>
      </w:r>
      <w:r w:rsidR="00226EF8">
        <w:rPr>
          <w:rFonts w:cstheme="majorBidi"/>
        </w:rPr>
        <w:t>a</w:t>
      </w:r>
      <w:r w:rsidR="00226EF8" w:rsidRPr="00226EF8">
        <w:rPr>
          <w:rFonts w:cstheme="majorBidi"/>
          <w:lang w:val="en-GB"/>
        </w:rPr>
        <w:t xml:space="preserve">ny changes to the Cost Recovery charges should </w:t>
      </w:r>
      <w:r w:rsidR="00226EF8">
        <w:rPr>
          <w:rFonts w:cstheme="majorBidi"/>
          <w:lang w:val="en-GB"/>
        </w:rPr>
        <w:t xml:space="preserve">not </w:t>
      </w:r>
      <w:r w:rsidR="00226EF8" w:rsidRPr="00226EF8">
        <w:rPr>
          <w:rFonts w:cstheme="majorBidi"/>
          <w:lang w:val="en-GB"/>
        </w:rPr>
        <w:t>apply</w:t>
      </w:r>
      <w:r w:rsidR="00226EF8">
        <w:rPr>
          <w:rFonts w:cstheme="majorBidi"/>
          <w:lang w:val="en-GB"/>
        </w:rPr>
        <w:t xml:space="preserve"> retroactively</w:t>
      </w:r>
      <w:r w:rsidR="000D1A5E">
        <w:rPr>
          <w:rFonts w:cstheme="majorBidi"/>
          <w:lang w:val="en-GB"/>
        </w:rPr>
        <w:t>. Care should be taken regarding the date of entry into force of any changes</w:t>
      </w:r>
      <w:r w:rsidRPr="0029069A">
        <w:rPr>
          <w:rFonts w:cstheme="majorBidi"/>
        </w:rPr>
        <w:t>.</w:t>
      </w:r>
    </w:p>
    <w:p w:rsidR="0029069A" w:rsidRPr="0029069A" w:rsidRDefault="004176A6" w:rsidP="007F3873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>
        <w:rPr>
          <w:rFonts w:cstheme="majorBidi"/>
        </w:rPr>
        <w:t xml:space="preserve">If there is no </w:t>
      </w:r>
      <w:r w:rsidR="003B613E">
        <w:rPr>
          <w:rFonts w:cstheme="majorBidi"/>
        </w:rPr>
        <w:t>incentive on</w:t>
      </w:r>
      <w:r w:rsidRPr="00226EF8">
        <w:rPr>
          <w:rFonts w:cstheme="majorBidi"/>
          <w:lang w:val="en-GB"/>
        </w:rPr>
        <w:t xml:space="preserve"> the Cost Recovery charges</w:t>
      </w:r>
      <w:r>
        <w:rPr>
          <w:rFonts w:cstheme="majorBidi"/>
          <w:lang w:val="en-GB"/>
        </w:rPr>
        <w:t xml:space="preserve">, submission of complex filings </w:t>
      </w:r>
      <w:r w:rsidR="00510A96">
        <w:rPr>
          <w:rFonts w:cstheme="majorBidi"/>
          <w:lang w:val="en-GB"/>
        </w:rPr>
        <w:t>c</w:t>
      </w:r>
      <w:r>
        <w:rPr>
          <w:rFonts w:cstheme="majorBidi"/>
          <w:lang w:val="en-GB"/>
        </w:rPr>
        <w:t xml:space="preserve">ould </w:t>
      </w:r>
      <w:r w:rsidR="00510A96">
        <w:rPr>
          <w:rFonts w:cstheme="majorBidi"/>
          <w:lang w:val="en-GB"/>
        </w:rPr>
        <w:t>continue at</w:t>
      </w:r>
      <w:r>
        <w:rPr>
          <w:rFonts w:cstheme="majorBidi"/>
          <w:lang w:val="en-GB"/>
        </w:rPr>
        <w:t xml:space="preserve"> no additional cost for the administrations </w:t>
      </w:r>
      <w:r w:rsidR="00510A96">
        <w:rPr>
          <w:rFonts w:cstheme="majorBidi"/>
          <w:lang w:val="en-GB"/>
        </w:rPr>
        <w:t xml:space="preserve">but </w:t>
      </w:r>
      <w:r>
        <w:rPr>
          <w:rFonts w:cstheme="majorBidi"/>
          <w:lang w:val="en-GB"/>
        </w:rPr>
        <w:t>high additional cost for the B</w:t>
      </w:r>
      <w:r w:rsidR="007F3873">
        <w:rPr>
          <w:rFonts w:cstheme="majorBidi"/>
          <w:lang w:val="en-GB"/>
        </w:rPr>
        <w:t>R</w:t>
      </w:r>
      <w:r w:rsidR="0029069A" w:rsidRPr="0029069A">
        <w:rPr>
          <w:rFonts w:cstheme="majorBidi"/>
        </w:rPr>
        <w:t>.</w:t>
      </w:r>
    </w:p>
    <w:p w:rsidR="0029069A" w:rsidRPr="004A72E8" w:rsidRDefault="0029069A" w:rsidP="00E76E85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 w:rsidRPr="004A72E8">
        <w:rPr>
          <w:rFonts w:cstheme="majorBidi"/>
        </w:rPr>
        <w:t xml:space="preserve">There is a need to </w:t>
      </w:r>
      <w:r w:rsidR="003E716D" w:rsidRPr="004A72E8">
        <w:rPr>
          <w:rFonts w:cstheme="majorBidi"/>
        </w:rPr>
        <w:t xml:space="preserve">find a balance </w:t>
      </w:r>
      <w:r w:rsidR="00510A96">
        <w:rPr>
          <w:rFonts w:cstheme="majorBidi"/>
        </w:rPr>
        <w:t xml:space="preserve">for complex filings with very large number of units </w:t>
      </w:r>
      <w:r w:rsidR="003E716D" w:rsidRPr="004A72E8">
        <w:rPr>
          <w:rFonts w:cstheme="majorBidi"/>
        </w:rPr>
        <w:t xml:space="preserve">and the </w:t>
      </w:r>
      <w:r w:rsidR="00510A96">
        <w:rPr>
          <w:rFonts w:cstheme="majorBidi"/>
        </w:rPr>
        <w:t>consideration of</w:t>
      </w:r>
      <w:r w:rsidR="003E716D" w:rsidRPr="004A72E8">
        <w:rPr>
          <w:rFonts w:cstheme="majorBidi"/>
        </w:rPr>
        <w:t xml:space="preserve"> a </w:t>
      </w:r>
      <w:r w:rsidR="00E76E85">
        <w:rPr>
          <w:rFonts w:cstheme="majorBidi"/>
        </w:rPr>
        <w:t>second break point</w:t>
      </w:r>
      <w:r w:rsidR="00E76E85" w:rsidRPr="004A72E8">
        <w:rPr>
          <w:rFonts w:cstheme="majorBidi"/>
        </w:rPr>
        <w:t xml:space="preserve"> </w:t>
      </w:r>
      <w:r w:rsidR="00E76E85">
        <w:rPr>
          <w:rFonts w:cstheme="majorBidi"/>
        </w:rPr>
        <w:t>(</w:t>
      </w:r>
      <w:r w:rsidR="003E716D" w:rsidRPr="004A72E8">
        <w:rPr>
          <w:rFonts w:cstheme="majorBidi"/>
        </w:rPr>
        <w:t>ceiling</w:t>
      </w:r>
      <w:r w:rsidR="00E76E85">
        <w:rPr>
          <w:rFonts w:cstheme="majorBidi"/>
        </w:rPr>
        <w:t>)</w:t>
      </w:r>
      <w:r w:rsidR="003E716D" w:rsidRPr="004A72E8">
        <w:rPr>
          <w:rFonts w:cstheme="majorBidi"/>
        </w:rPr>
        <w:t xml:space="preserve"> could </w:t>
      </w:r>
      <w:r w:rsidR="00510A96">
        <w:rPr>
          <w:rFonts w:cstheme="majorBidi"/>
        </w:rPr>
        <w:t>be consensual</w:t>
      </w:r>
      <w:r w:rsidRPr="004A72E8">
        <w:rPr>
          <w:rFonts w:cstheme="majorBidi"/>
        </w:rPr>
        <w:t>.</w:t>
      </w:r>
      <w:r w:rsidR="004A72E8">
        <w:rPr>
          <w:rFonts w:cstheme="majorBidi"/>
        </w:rPr>
        <w:t xml:space="preserve"> </w:t>
      </w:r>
      <w:r w:rsidR="007C7DE1" w:rsidRPr="004A72E8">
        <w:rPr>
          <w:rFonts w:cstheme="majorBidi"/>
          <w:bCs/>
        </w:rPr>
        <w:t>There is a need to avoid invoices with excessive values</w:t>
      </w:r>
      <w:r w:rsidRPr="004A72E8">
        <w:rPr>
          <w:rFonts w:cstheme="majorBidi"/>
          <w:lang w:val="en-AU"/>
        </w:rPr>
        <w:t>.</w:t>
      </w:r>
    </w:p>
    <w:p w:rsidR="0029069A" w:rsidRPr="0029069A" w:rsidRDefault="00715F53" w:rsidP="0092208A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>
        <w:rPr>
          <w:rFonts w:cstheme="majorBidi"/>
        </w:rPr>
        <w:t xml:space="preserve">Complex filings delay the processing of other filings and </w:t>
      </w:r>
      <w:r w:rsidR="004B5875">
        <w:rPr>
          <w:rFonts w:cstheme="majorBidi"/>
        </w:rPr>
        <w:t xml:space="preserve">thus </w:t>
      </w:r>
      <w:r>
        <w:rPr>
          <w:rFonts w:cstheme="majorBidi"/>
        </w:rPr>
        <w:t xml:space="preserve">should be </w:t>
      </w:r>
      <w:r w:rsidR="00317B42">
        <w:rPr>
          <w:rFonts w:cstheme="majorBidi"/>
        </w:rPr>
        <w:t>discouraged</w:t>
      </w:r>
      <w:r w:rsidR="0029069A" w:rsidRPr="0029069A">
        <w:rPr>
          <w:rFonts w:cstheme="majorBidi"/>
        </w:rPr>
        <w:t>.</w:t>
      </w:r>
    </w:p>
    <w:p w:rsidR="0029069A" w:rsidRPr="005C6AA2" w:rsidRDefault="004B5875" w:rsidP="007F3873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 w:rsidRPr="005C6AA2">
        <w:rPr>
          <w:lang w:val="en-GB"/>
        </w:rPr>
        <w:t xml:space="preserve">The Cost Recovery fee should </w:t>
      </w:r>
      <w:r w:rsidRPr="005C6AA2">
        <w:rPr>
          <w:bCs/>
          <w:lang w:val="en-AU"/>
        </w:rPr>
        <w:t xml:space="preserve">reflect the </w:t>
      </w:r>
      <w:r w:rsidR="005C6AA2">
        <w:rPr>
          <w:bCs/>
          <w:lang w:val="en-AU"/>
        </w:rPr>
        <w:t xml:space="preserve">real work and </w:t>
      </w:r>
      <w:r w:rsidRPr="005C6AA2">
        <w:rPr>
          <w:bCs/>
          <w:lang w:val="en-AU"/>
        </w:rPr>
        <w:t xml:space="preserve">actual </w:t>
      </w:r>
      <w:r w:rsidR="003121D4" w:rsidRPr="005C6AA2">
        <w:rPr>
          <w:bCs/>
          <w:lang w:val="en-AU"/>
        </w:rPr>
        <w:t>time</w:t>
      </w:r>
      <w:r w:rsidR="005C6AA2">
        <w:rPr>
          <w:bCs/>
          <w:lang w:val="en-AU"/>
        </w:rPr>
        <w:t>/</w:t>
      </w:r>
      <w:r w:rsidR="003121D4" w:rsidRPr="005C6AA2">
        <w:rPr>
          <w:bCs/>
          <w:lang w:val="en-AU"/>
        </w:rPr>
        <w:t>efforts spent by the B</w:t>
      </w:r>
      <w:r w:rsidR="007F3873">
        <w:rPr>
          <w:bCs/>
          <w:lang w:val="en-AU"/>
        </w:rPr>
        <w:t>R</w:t>
      </w:r>
      <w:r w:rsidR="005C6AA2">
        <w:rPr>
          <w:bCs/>
          <w:lang w:val="en-AU"/>
        </w:rPr>
        <w:t>,</w:t>
      </w:r>
      <w:r w:rsidR="005C6AA2" w:rsidRPr="005C6AA2">
        <w:rPr>
          <w:bCs/>
          <w:lang w:val="en-AU"/>
        </w:rPr>
        <w:t xml:space="preserve"> and thus </w:t>
      </w:r>
      <w:r w:rsidR="005C6AA2">
        <w:rPr>
          <w:bCs/>
          <w:lang w:val="en-AU"/>
        </w:rPr>
        <w:t>t</w:t>
      </w:r>
      <w:r w:rsidR="005C6AA2" w:rsidRPr="005C6AA2">
        <w:rPr>
          <w:rFonts w:cstheme="majorBidi"/>
        </w:rPr>
        <w:t xml:space="preserve">here is a need to know </w:t>
      </w:r>
      <w:r w:rsidR="00663226">
        <w:rPr>
          <w:rFonts w:cstheme="majorBidi"/>
        </w:rPr>
        <w:t xml:space="preserve">more details on </w:t>
      </w:r>
      <w:r w:rsidR="005C6AA2" w:rsidRPr="005C6AA2">
        <w:rPr>
          <w:rFonts w:cstheme="majorBidi"/>
        </w:rPr>
        <w:t>the actual/real cost of the B</w:t>
      </w:r>
      <w:r w:rsidR="007F3873">
        <w:rPr>
          <w:rFonts w:cstheme="majorBidi"/>
        </w:rPr>
        <w:t>R</w:t>
      </w:r>
      <w:r w:rsidR="005C6AA2">
        <w:rPr>
          <w:rFonts w:cstheme="majorBidi"/>
        </w:rPr>
        <w:t>.</w:t>
      </w:r>
    </w:p>
    <w:p w:rsidR="0029069A" w:rsidRDefault="00564200" w:rsidP="003F278A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>
        <w:rPr>
          <w:rFonts w:cstheme="majorBidi"/>
        </w:rPr>
        <w:lastRenderedPageBreak/>
        <w:t xml:space="preserve">The work of this group should be limited to </w:t>
      </w:r>
      <w:r w:rsidR="00317B42">
        <w:rPr>
          <w:rFonts w:cstheme="majorBidi"/>
        </w:rPr>
        <w:t xml:space="preserve">the </w:t>
      </w:r>
      <w:r>
        <w:rPr>
          <w:rFonts w:cstheme="majorBidi"/>
        </w:rPr>
        <w:t>scope</w:t>
      </w:r>
      <w:r w:rsidR="00510A96">
        <w:rPr>
          <w:rFonts w:cstheme="majorBidi"/>
        </w:rPr>
        <w:t xml:space="preserve"> defined in its term of reference</w:t>
      </w:r>
      <w:r w:rsidR="003F278A">
        <w:rPr>
          <w:rFonts w:cstheme="majorBidi"/>
        </w:rPr>
        <w:t>,</w:t>
      </w:r>
      <w:r>
        <w:rPr>
          <w:rFonts w:cstheme="majorBidi"/>
        </w:rPr>
        <w:t xml:space="preserve"> </w:t>
      </w:r>
      <w:r w:rsidR="003F278A">
        <w:rPr>
          <w:rFonts w:cstheme="majorBidi"/>
        </w:rPr>
        <w:t xml:space="preserve">concentrate on technical/regulatory aspects and </w:t>
      </w:r>
      <w:r w:rsidR="00510A96">
        <w:rPr>
          <w:rFonts w:cstheme="majorBidi"/>
        </w:rPr>
        <w:t>refrain from</w:t>
      </w:r>
      <w:r>
        <w:rPr>
          <w:rFonts w:cstheme="majorBidi"/>
        </w:rPr>
        <w:t xml:space="preserve"> revis</w:t>
      </w:r>
      <w:r w:rsidR="00510A96">
        <w:rPr>
          <w:rFonts w:cstheme="majorBidi"/>
        </w:rPr>
        <w:t>ing</w:t>
      </w:r>
      <w:r>
        <w:rPr>
          <w:rFonts w:cstheme="majorBidi"/>
        </w:rPr>
        <w:t xml:space="preserve"> entirely the structure of Cost Recovery in Decision 482</w:t>
      </w:r>
      <w:r w:rsidR="003F278A">
        <w:rPr>
          <w:rFonts w:cstheme="majorBidi"/>
        </w:rPr>
        <w:t>.</w:t>
      </w:r>
    </w:p>
    <w:p w:rsidR="00AC3A34" w:rsidRPr="0029069A" w:rsidRDefault="006F76D9" w:rsidP="0092208A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 w:rsidRPr="006F76D9">
        <w:rPr>
          <w:rFonts w:cstheme="majorBidi"/>
        </w:rPr>
        <w:t xml:space="preserve">The work of this </w:t>
      </w:r>
      <w:r w:rsidRPr="0092208A">
        <w:rPr>
          <w:rFonts w:cstheme="majorBidi"/>
        </w:rPr>
        <w:t xml:space="preserve">group should only affect the </w:t>
      </w:r>
      <w:r w:rsidR="00510A96" w:rsidRPr="0092208A">
        <w:rPr>
          <w:rFonts w:cstheme="majorBidi"/>
        </w:rPr>
        <w:t xml:space="preserve">non-GSO </w:t>
      </w:r>
      <w:r w:rsidRPr="0092208A">
        <w:rPr>
          <w:rFonts w:cstheme="majorBidi"/>
        </w:rPr>
        <w:t xml:space="preserve">excess cases that create </w:t>
      </w:r>
      <w:r w:rsidR="00510A96" w:rsidRPr="0092208A">
        <w:rPr>
          <w:rFonts w:cstheme="majorBidi"/>
        </w:rPr>
        <w:t xml:space="preserve">additional work </w:t>
      </w:r>
      <w:r w:rsidR="00317B42" w:rsidRPr="0092208A">
        <w:rPr>
          <w:rFonts w:cstheme="majorBidi"/>
        </w:rPr>
        <w:t xml:space="preserve">for the BR </w:t>
      </w:r>
      <w:r w:rsidR="00510A96" w:rsidRPr="0092208A">
        <w:rPr>
          <w:rFonts w:cstheme="majorBidi"/>
        </w:rPr>
        <w:t xml:space="preserve">and delay </w:t>
      </w:r>
      <w:r w:rsidR="0044420F" w:rsidRPr="0092208A">
        <w:rPr>
          <w:rFonts w:cstheme="majorBidi"/>
        </w:rPr>
        <w:t>the processing of filings</w:t>
      </w:r>
      <w:r w:rsidR="00317B42" w:rsidRPr="0092208A">
        <w:rPr>
          <w:rFonts w:cstheme="majorBidi"/>
        </w:rPr>
        <w:t xml:space="preserve"> </w:t>
      </w:r>
      <w:r w:rsidRPr="0092208A">
        <w:rPr>
          <w:rFonts w:cstheme="majorBidi"/>
        </w:rPr>
        <w:t>and should</w:t>
      </w:r>
      <w:r>
        <w:rPr>
          <w:rFonts w:cstheme="majorBidi"/>
        </w:rPr>
        <w:t xml:space="preserve"> not impact other </w:t>
      </w:r>
      <w:r w:rsidR="00AD304A">
        <w:rPr>
          <w:rFonts w:cstheme="majorBidi"/>
        </w:rPr>
        <w:t xml:space="preserve">GSO and non-GSO </w:t>
      </w:r>
      <w:r>
        <w:rPr>
          <w:rFonts w:cstheme="majorBidi"/>
        </w:rPr>
        <w:t>cases. Administrations shall comply RR No. 4.1.</w:t>
      </w:r>
    </w:p>
    <w:p w:rsidR="00C01837" w:rsidRPr="00720B6A" w:rsidRDefault="00882375" w:rsidP="00BE3F2B">
      <w:pPr>
        <w:spacing w:before="100" w:beforeAutospacing="1" w:after="100" w:afterAutospacing="1" w:line="240" w:lineRule="auto"/>
        <w:jc w:val="both"/>
        <w:rPr>
          <w:rFonts w:cstheme="majorBidi"/>
          <w:b/>
        </w:rPr>
      </w:pPr>
      <w:r>
        <w:rPr>
          <w:rFonts w:cstheme="majorBidi"/>
          <w:b/>
        </w:rPr>
        <w:t>Document</w:t>
      </w:r>
      <w:r w:rsidR="001F5480" w:rsidRPr="00720B6A">
        <w:rPr>
          <w:rFonts w:cstheme="majorBidi"/>
          <w:b/>
        </w:rPr>
        <w:t xml:space="preserve"> </w:t>
      </w:r>
      <w:hyperlink r:id="rId13" w:history="1">
        <w:r w:rsidR="009A39FB" w:rsidRPr="009A39FB">
          <w:rPr>
            <w:rStyle w:val="Hyperlink"/>
            <w:rFonts w:cstheme="majorBidi"/>
            <w:b/>
            <w:lang w:val="de-CH"/>
          </w:rPr>
          <w:t>EG-D482-1/4</w:t>
        </w:r>
      </w:hyperlink>
      <w:r w:rsidR="001F5480" w:rsidRPr="00720B6A">
        <w:rPr>
          <w:rFonts w:cstheme="majorBidi"/>
          <w:b/>
        </w:rPr>
        <w:t xml:space="preserve"> from </w:t>
      </w:r>
      <w:r w:rsidR="001531D0" w:rsidRPr="001531D0">
        <w:rPr>
          <w:rFonts w:cstheme="majorBidi"/>
          <w:b/>
          <w:lang w:val="en-GB"/>
        </w:rPr>
        <w:t>the Secretariat</w:t>
      </w:r>
      <w:r w:rsidR="001F5480" w:rsidRPr="00720B6A">
        <w:rPr>
          <w:rFonts w:cstheme="majorBidi"/>
          <w:b/>
        </w:rPr>
        <w:t xml:space="preserve"> - Review of </w:t>
      </w:r>
      <w:r w:rsidR="001531D0" w:rsidRPr="001531D0">
        <w:rPr>
          <w:rFonts w:cstheme="majorBidi"/>
          <w:b/>
          <w:bCs/>
          <w:lang w:val="en-GB"/>
        </w:rPr>
        <w:t>P</w:t>
      </w:r>
      <w:r w:rsidR="001531D0">
        <w:rPr>
          <w:rFonts w:cstheme="majorBidi"/>
          <w:b/>
          <w:bCs/>
          <w:lang w:val="en-GB"/>
        </w:rPr>
        <w:t>rocedure</w:t>
      </w:r>
      <w:r w:rsidR="001531D0" w:rsidRPr="001531D0">
        <w:rPr>
          <w:rFonts w:cstheme="majorBidi"/>
          <w:b/>
          <w:bCs/>
          <w:lang w:val="en-GB"/>
        </w:rPr>
        <w:t xml:space="preserve"> B </w:t>
      </w:r>
      <w:r w:rsidR="001531D0">
        <w:rPr>
          <w:rFonts w:cstheme="majorBidi"/>
          <w:b/>
          <w:bCs/>
          <w:lang w:val="en-GB"/>
        </w:rPr>
        <w:t>for</w:t>
      </w:r>
      <w:r w:rsidR="001531D0" w:rsidRPr="001531D0">
        <w:rPr>
          <w:rFonts w:cstheme="majorBidi"/>
          <w:b/>
          <w:bCs/>
          <w:lang w:val="en-GB"/>
        </w:rPr>
        <w:t xml:space="preserve"> </w:t>
      </w:r>
      <w:r w:rsidR="001531D0">
        <w:rPr>
          <w:rFonts w:cstheme="majorBidi"/>
          <w:b/>
          <w:bCs/>
          <w:lang w:val="en-GB"/>
        </w:rPr>
        <w:t>complex</w:t>
      </w:r>
      <w:r w:rsidR="001531D0" w:rsidRPr="001531D0">
        <w:rPr>
          <w:rFonts w:cstheme="majorBidi"/>
          <w:b/>
          <w:bCs/>
          <w:lang w:val="en-GB"/>
        </w:rPr>
        <w:t xml:space="preserve"> </w:t>
      </w:r>
      <w:r w:rsidR="001531D0">
        <w:rPr>
          <w:rFonts w:cstheme="majorBidi"/>
          <w:b/>
          <w:bCs/>
          <w:lang w:val="en-GB"/>
        </w:rPr>
        <w:t>non</w:t>
      </w:r>
      <w:r w:rsidR="001531D0" w:rsidRPr="001531D0">
        <w:rPr>
          <w:rFonts w:cstheme="majorBidi"/>
          <w:b/>
          <w:bCs/>
          <w:lang w:val="en-GB"/>
        </w:rPr>
        <w:t xml:space="preserve">-GSO </w:t>
      </w:r>
      <w:r w:rsidR="001531D0">
        <w:rPr>
          <w:rFonts w:cstheme="majorBidi"/>
          <w:b/>
          <w:bCs/>
          <w:lang w:val="en-GB"/>
        </w:rPr>
        <w:t>satellite</w:t>
      </w:r>
      <w:r w:rsidR="001531D0" w:rsidRPr="001531D0">
        <w:rPr>
          <w:rFonts w:cstheme="majorBidi"/>
          <w:b/>
          <w:bCs/>
          <w:lang w:val="en-GB"/>
        </w:rPr>
        <w:t xml:space="preserve"> </w:t>
      </w:r>
      <w:r w:rsidR="001531D0">
        <w:rPr>
          <w:rFonts w:cstheme="majorBidi"/>
          <w:b/>
          <w:bCs/>
          <w:lang w:val="en-GB"/>
        </w:rPr>
        <w:t>filings</w:t>
      </w:r>
    </w:p>
    <w:p w:rsidR="007A7D6D" w:rsidRDefault="00BE7612" w:rsidP="007A7D6D">
      <w:pPr>
        <w:jc w:val="both"/>
      </w:pPr>
      <w:r w:rsidRPr="00BE7612">
        <w:rPr>
          <w:lang w:val="en-GB"/>
        </w:rPr>
        <w:t>Th</w:t>
      </w:r>
      <w:r>
        <w:rPr>
          <w:lang w:val="en-GB"/>
        </w:rPr>
        <w:t>e</w:t>
      </w:r>
      <w:r w:rsidRPr="00BE7612">
        <w:rPr>
          <w:lang w:val="en-GB"/>
        </w:rPr>
        <w:t xml:space="preserve"> document aims at providing more information to the Council Expert Group on the main cost drivers of the regulatory processes associated to complex non-GSO </w:t>
      </w:r>
      <w:r w:rsidR="00381E84">
        <w:rPr>
          <w:lang w:val="en-GB"/>
        </w:rPr>
        <w:t xml:space="preserve">satellite </w:t>
      </w:r>
      <w:r w:rsidRPr="00BE7612">
        <w:rPr>
          <w:lang w:val="en-GB"/>
        </w:rPr>
        <w:t>filings.</w:t>
      </w:r>
      <w:r w:rsidR="007A7D6D">
        <w:rPr>
          <w:lang w:val="en-GB"/>
        </w:rPr>
        <w:t xml:space="preserve"> The</w:t>
      </w:r>
      <w:r w:rsidR="007A7D6D" w:rsidRPr="007A7D6D">
        <w:rPr>
          <w:lang w:val="en-GB"/>
        </w:rPr>
        <w:t xml:space="preserve"> document provides an assessment based on relative comparisons to existing resources used for processing non-GSO </w:t>
      </w:r>
      <w:r w:rsidR="00381E84">
        <w:rPr>
          <w:lang w:val="en-GB"/>
        </w:rPr>
        <w:t xml:space="preserve">satellite </w:t>
      </w:r>
      <w:r w:rsidR="007A7D6D" w:rsidRPr="007A7D6D">
        <w:rPr>
          <w:lang w:val="en-GB"/>
        </w:rPr>
        <w:t>filings</w:t>
      </w:r>
      <w:r w:rsidR="007A7D6D">
        <w:rPr>
          <w:lang w:val="en-GB"/>
        </w:rPr>
        <w:t>, and b</w:t>
      </w:r>
      <w:r w:rsidR="007A7D6D" w:rsidRPr="007A7D6D">
        <w:rPr>
          <w:lang w:val="en-GB"/>
        </w:rPr>
        <w:t>ased on this assessment</w:t>
      </w:r>
      <w:r w:rsidR="007A7D6D">
        <w:rPr>
          <w:lang w:val="en-GB"/>
        </w:rPr>
        <w:t xml:space="preserve"> it</w:t>
      </w:r>
      <w:r w:rsidR="007A7D6D" w:rsidRPr="007A7D6D">
        <w:rPr>
          <w:lang w:val="en-GB"/>
        </w:rPr>
        <w:t xml:space="preserve"> suggests some possible ways forward concerning Procedure B.</w:t>
      </w:r>
    </w:p>
    <w:p w:rsidR="00882375" w:rsidRDefault="00954B46" w:rsidP="007F3873">
      <w:pPr>
        <w:jc w:val="both"/>
        <w:rPr>
          <w:lang w:val="en-GB"/>
        </w:rPr>
      </w:pPr>
      <w:r w:rsidRPr="00954B46">
        <w:rPr>
          <w:lang w:val="en-GB"/>
        </w:rPr>
        <w:t xml:space="preserve">The </w:t>
      </w:r>
      <w:r>
        <w:rPr>
          <w:lang w:val="en-GB"/>
        </w:rPr>
        <w:t>document provides in its annex e</w:t>
      </w:r>
      <w:proofErr w:type="spellStart"/>
      <w:r>
        <w:t>xamples</w:t>
      </w:r>
      <w:proofErr w:type="spellEnd"/>
      <w:r>
        <w:t xml:space="preserve"> and statistics related to Procedure B</w:t>
      </w:r>
      <w:r>
        <w:rPr>
          <w:lang w:val="en-GB"/>
        </w:rPr>
        <w:t xml:space="preserve"> and invites the </w:t>
      </w:r>
      <w:r w:rsidRPr="00954B46">
        <w:rPr>
          <w:lang w:val="en-GB"/>
        </w:rPr>
        <w:t>Council Expert group to consider the</w:t>
      </w:r>
      <w:r>
        <w:rPr>
          <w:lang w:val="en-GB"/>
        </w:rPr>
        <w:t xml:space="preserve">m in order to </w:t>
      </w:r>
      <w:r w:rsidRPr="00954B46">
        <w:rPr>
          <w:lang w:val="en-GB"/>
        </w:rPr>
        <w:t xml:space="preserve">determine the most appropriate break point. On this basis, the </w:t>
      </w:r>
      <w:r>
        <w:rPr>
          <w:lang w:val="en-GB"/>
        </w:rPr>
        <w:t>B</w:t>
      </w:r>
      <w:r w:rsidR="007F3873">
        <w:rPr>
          <w:lang w:val="en-GB"/>
        </w:rPr>
        <w:t>R</w:t>
      </w:r>
      <w:r w:rsidRPr="00954B46">
        <w:rPr>
          <w:lang w:val="en-GB"/>
        </w:rPr>
        <w:t xml:space="preserve"> w</w:t>
      </w:r>
      <w:r>
        <w:rPr>
          <w:lang w:val="en-GB"/>
        </w:rPr>
        <w:t>ould</w:t>
      </w:r>
      <w:r w:rsidRPr="00954B46">
        <w:rPr>
          <w:lang w:val="en-GB"/>
        </w:rPr>
        <w:t xml:space="preserve"> be in a position to assess the added resources needed to process non-GSO filings beyond the second breakpoint.</w:t>
      </w:r>
    </w:p>
    <w:p w:rsidR="00F12BB7" w:rsidRPr="0029069A" w:rsidRDefault="00F12BB7" w:rsidP="00F12BB7">
      <w:pPr>
        <w:spacing w:before="100" w:beforeAutospacing="1" w:after="100" w:afterAutospacing="1" w:line="240" w:lineRule="auto"/>
        <w:jc w:val="both"/>
        <w:rPr>
          <w:rFonts w:cstheme="majorBidi"/>
        </w:rPr>
      </w:pPr>
      <w:r w:rsidRPr="0029069A">
        <w:rPr>
          <w:rFonts w:cstheme="majorBidi"/>
        </w:rPr>
        <w:t>During the discussions it was mentioned that:</w:t>
      </w:r>
    </w:p>
    <w:p w:rsidR="00F12BB7" w:rsidRDefault="00F12BB7" w:rsidP="007F3873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>
        <w:rPr>
          <w:rFonts w:cstheme="majorBidi"/>
        </w:rPr>
        <w:t xml:space="preserve">Complexity of a non-GSO </w:t>
      </w:r>
      <w:r w:rsidR="00E64590">
        <w:rPr>
          <w:rFonts w:cstheme="majorBidi"/>
        </w:rPr>
        <w:t xml:space="preserve">satellite </w:t>
      </w:r>
      <w:r>
        <w:rPr>
          <w:rFonts w:cstheme="majorBidi"/>
        </w:rPr>
        <w:t xml:space="preserve">filing may not </w:t>
      </w:r>
      <w:r w:rsidR="00E64590">
        <w:rPr>
          <w:rFonts w:cstheme="majorBidi"/>
        </w:rPr>
        <w:t xml:space="preserve">be </w:t>
      </w:r>
      <w:r>
        <w:rPr>
          <w:rFonts w:cstheme="majorBidi"/>
        </w:rPr>
        <w:t xml:space="preserve">modelled in the most precise way by cost recovery units </w:t>
      </w:r>
      <w:r w:rsidR="001925F0">
        <w:rPr>
          <w:rFonts w:cstheme="majorBidi"/>
        </w:rPr>
        <w:t xml:space="preserve">however </w:t>
      </w:r>
      <w:r>
        <w:rPr>
          <w:rFonts w:cstheme="majorBidi"/>
        </w:rPr>
        <w:t>alternatives, such as those presented by the B</w:t>
      </w:r>
      <w:r w:rsidR="007F3873">
        <w:rPr>
          <w:rFonts w:cstheme="majorBidi"/>
        </w:rPr>
        <w:t>R</w:t>
      </w:r>
      <w:r>
        <w:rPr>
          <w:rFonts w:cstheme="majorBidi"/>
        </w:rPr>
        <w:t xml:space="preserve"> during the October 2017 meeting of ITU-R Working Party 4A would lead to additional formulas to be inserted in Decision 482, which may complicate the Decision.</w:t>
      </w:r>
    </w:p>
    <w:p w:rsidR="001954A4" w:rsidRPr="0092208A" w:rsidRDefault="00F12BB7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 w:rsidRPr="0092208A">
        <w:rPr>
          <w:rFonts w:cstheme="majorBidi"/>
        </w:rPr>
        <w:t xml:space="preserve">Having an upper boundary to invoices </w:t>
      </w:r>
      <w:r w:rsidR="001954A4" w:rsidRPr="0092208A">
        <w:rPr>
          <w:rFonts w:cstheme="majorBidi"/>
        </w:rPr>
        <w:t>is necessary</w:t>
      </w:r>
      <w:r w:rsidR="001925F0" w:rsidRPr="0092208A">
        <w:rPr>
          <w:rFonts w:cstheme="majorBidi"/>
        </w:rPr>
        <w:t xml:space="preserve">, to avoid non-payment by administrations </w:t>
      </w:r>
      <w:r w:rsidR="00E15DAD" w:rsidRPr="0092208A">
        <w:rPr>
          <w:rFonts w:cstheme="majorBidi"/>
        </w:rPr>
        <w:t>of</w:t>
      </w:r>
      <w:r w:rsidR="001925F0" w:rsidRPr="0092208A">
        <w:rPr>
          <w:rFonts w:cstheme="majorBidi"/>
        </w:rPr>
        <w:t xml:space="preserve"> very large invoices, </w:t>
      </w:r>
      <w:r w:rsidR="00172B48" w:rsidRPr="0092208A">
        <w:rPr>
          <w:rFonts w:cstheme="majorBidi"/>
        </w:rPr>
        <w:t xml:space="preserve">and recourse to the </w:t>
      </w:r>
      <w:r w:rsidR="00317B42" w:rsidRPr="0092208A">
        <w:rPr>
          <w:rFonts w:cstheme="majorBidi"/>
        </w:rPr>
        <w:t xml:space="preserve">ITU </w:t>
      </w:r>
      <w:r w:rsidR="00172B48" w:rsidRPr="0092208A">
        <w:rPr>
          <w:rFonts w:cstheme="majorBidi"/>
        </w:rPr>
        <w:t xml:space="preserve">reserve account </w:t>
      </w:r>
      <w:r w:rsidR="001925F0" w:rsidRPr="0092208A">
        <w:rPr>
          <w:rFonts w:cstheme="majorBidi"/>
        </w:rPr>
        <w:t>as it occurred in early 2000</w:t>
      </w:r>
      <w:r w:rsidR="001954A4" w:rsidRPr="0092208A">
        <w:rPr>
          <w:rFonts w:cstheme="majorBidi"/>
        </w:rPr>
        <w:t>.</w:t>
      </w:r>
    </w:p>
    <w:p w:rsidR="00F12BB7" w:rsidRDefault="001954A4" w:rsidP="007F3873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>
        <w:rPr>
          <w:rFonts w:cstheme="majorBidi"/>
        </w:rPr>
        <w:t xml:space="preserve">Estimates of time and costs spent by </w:t>
      </w:r>
      <w:r w:rsidR="00E64590">
        <w:rPr>
          <w:rFonts w:cstheme="majorBidi"/>
        </w:rPr>
        <w:t>the B</w:t>
      </w:r>
      <w:r w:rsidR="007F3873">
        <w:rPr>
          <w:rFonts w:cstheme="majorBidi"/>
        </w:rPr>
        <w:t>R</w:t>
      </w:r>
      <w:r>
        <w:rPr>
          <w:rFonts w:cstheme="majorBidi"/>
        </w:rPr>
        <w:t xml:space="preserve"> to process non-GSO satellite filings larger than 1000 units are needed to be able to define breakpoints between “usual” and “complex” filings. </w:t>
      </w:r>
    </w:p>
    <w:p w:rsidR="00F24051" w:rsidRDefault="001954A4" w:rsidP="007F3873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</w:pPr>
      <w:r w:rsidRPr="001954A4">
        <w:rPr>
          <w:rFonts w:cstheme="majorBidi"/>
        </w:rPr>
        <w:t>Regulatory actions by WRC-19 on standardization of input data are seen as the most viable long-term solution. Beside</w:t>
      </w:r>
      <w:r w:rsidR="00E64590">
        <w:rPr>
          <w:rFonts w:cstheme="majorBidi"/>
        </w:rPr>
        <w:t>s</w:t>
      </w:r>
      <w:r w:rsidRPr="001954A4">
        <w:rPr>
          <w:rFonts w:cstheme="majorBidi"/>
        </w:rPr>
        <w:t xml:space="preserve"> compiling existing proposals to modify </w:t>
      </w:r>
      <w:r w:rsidR="00381E84">
        <w:rPr>
          <w:rFonts w:cstheme="majorBidi"/>
        </w:rPr>
        <w:t xml:space="preserve">RR </w:t>
      </w:r>
      <w:r w:rsidRPr="001954A4">
        <w:rPr>
          <w:rFonts w:cstheme="majorBidi"/>
        </w:rPr>
        <w:t xml:space="preserve">Appendix 4, </w:t>
      </w:r>
      <w:r w:rsidR="00381E84">
        <w:rPr>
          <w:rFonts w:cstheme="majorBidi"/>
        </w:rPr>
        <w:t>the B</w:t>
      </w:r>
      <w:r w:rsidR="007F3873">
        <w:rPr>
          <w:rFonts w:cstheme="majorBidi"/>
        </w:rPr>
        <w:t>R</w:t>
      </w:r>
      <w:r w:rsidRPr="001954A4">
        <w:rPr>
          <w:rFonts w:cstheme="majorBidi"/>
        </w:rPr>
        <w:t xml:space="preserve"> is invited to suggest additional possible changes to this Appendix that would facilitate handling complex non-GSO </w:t>
      </w:r>
      <w:r w:rsidR="00381E84">
        <w:rPr>
          <w:rFonts w:cstheme="majorBidi"/>
        </w:rPr>
        <w:t xml:space="preserve">satellite </w:t>
      </w:r>
      <w:r w:rsidRPr="001954A4">
        <w:rPr>
          <w:rFonts w:cstheme="majorBidi"/>
        </w:rPr>
        <w:t xml:space="preserve">filings. </w:t>
      </w:r>
    </w:p>
    <w:p w:rsidR="00882375" w:rsidRPr="00720B6A" w:rsidRDefault="00882375" w:rsidP="00882375">
      <w:pPr>
        <w:snapToGrid w:val="0"/>
        <w:spacing w:before="100" w:beforeAutospacing="1" w:after="100" w:afterAutospacing="1" w:line="240" w:lineRule="auto"/>
        <w:ind w:left="720" w:hanging="720"/>
        <w:jc w:val="both"/>
        <w:outlineLvl w:val="0"/>
        <w:rPr>
          <w:rFonts w:cstheme="majorBidi"/>
          <w:b/>
          <w:bCs/>
        </w:rPr>
      </w:pPr>
      <w:r>
        <w:rPr>
          <w:rFonts w:cstheme="majorBidi"/>
          <w:b/>
          <w:bCs/>
        </w:rPr>
        <w:t>4</w:t>
      </w:r>
      <w:r w:rsidRPr="00720B6A">
        <w:rPr>
          <w:rFonts w:cstheme="majorBidi"/>
          <w:b/>
          <w:bCs/>
        </w:rPr>
        <w:tab/>
      </w:r>
      <w:r w:rsidRPr="00882375">
        <w:rPr>
          <w:rFonts w:cstheme="majorBidi"/>
          <w:b/>
          <w:bCs/>
          <w:lang w:val="en-AU"/>
        </w:rPr>
        <w:t>Review of Procedure C</w:t>
      </w:r>
      <w:r w:rsidRPr="00720B6A">
        <w:rPr>
          <w:rFonts w:cstheme="majorBidi"/>
          <w:b/>
          <w:bCs/>
        </w:rPr>
        <w:t xml:space="preserve"> </w:t>
      </w:r>
    </w:p>
    <w:p w:rsidR="00A066F0" w:rsidRPr="00720B6A" w:rsidRDefault="00882375" w:rsidP="00B84970">
      <w:pPr>
        <w:keepLines/>
        <w:spacing w:before="100" w:beforeAutospacing="1" w:after="100" w:afterAutospacing="1" w:line="240" w:lineRule="auto"/>
        <w:ind w:left="720" w:hanging="720"/>
        <w:jc w:val="both"/>
        <w:outlineLvl w:val="0"/>
        <w:rPr>
          <w:rFonts w:cstheme="majorBidi"/>
          <w:b/>
          <w:spacing w:val="-4"/>
        </w:rPr>
      </w:pPr>
      <w:r>
        <w:rPr>
          <w:rFonts w:cstheme="majorBidi"/>
          <w:b/>
          <w:spacing w:val="-4"/>
        </w:rPr>
        <w:t>Document</w:t>
      </w:r>
      <w:r w:rsidR="00A066F0" w:rsidRPr="00720B6A">
        <w:rPr>
          <w:rFonts w:cstheme="majorBidi"/>
          <w:b/>
          <w:spacing w:val="-4"/>
        </w:rPr>
        <w:t xml:space="preserve"> </w:t>
      </w:r>
      <w:hyperlink r:id="rId14" w:history="1">
        <w:r w:rsidR="002631C4" w:rsidRPr="002631C4">
          <w:rPr>
            <w:rStyle w:val="Hyperlink"/>
            <w:rFonts w:cstheme="majorBidi"/>
            <w:b/>
            <w:spacing w:val="-4"/>
            <w:lang w:val="de-CH"/>
          </w:rPr>
          <w:t>EG-D482-1/5</w:t>
        </w:r>
      </w:hyperlink>
      <w:r w:rsidR="00A066F0" w:rsidRPr="00720B6A">
        <w:rPr>
          <w:rFonts w:cstheme="majorBidi"/>
          <w:b/>
          <w:spacing w:val="-4"/>
        </w:rPr>
        <w:t xml:space="preserve"> from</w:t>
      </w:r>
      <w:r w:rsidR="00A066F0" w:rsidRPr="00720B6A">
        <w:rPr>
          <w:b/>
        </w:rPr>
        <w:t xml:space="preserve"> </w:t>
      </w:r>
      <w:r w:rsidR="00B84970" w:rsidRPr="00B84970">
        <w:rPr>
          <w:rFonts w:cstheme="majorBidi"/>
          <w:b/>
          <w:spacing w:val="-4"/>
          <w:lang w:val="en-GB"/>
        </w:rPr>
        <w:t>the Secretariat</w:t>
      </w:r>
      <w:r w:rsidR="00A066F0" w:rsidRPr="00720B6A">
        <w:rPr>
          <w:rFonts w:cstheme="majorBidi"/>
          <w:b/>
          <w:spacing w:val="-4"/>
        </w:rPr>
        <w:t xml:space="preserve"> - </w:t>
      </w:r>
      <w:r w:rsidR="00B84970" w:rsidRPr="00B84970">
        <w:rPr>
          <w:rFonts w:cstheme="majorBidi"/>
          <w:b/>
          <w:bCs/>
          <w:spacing w:val="-4"/>
        </w:rPr>
        <w:t xml:space="preserve">Review of </w:t>
      </w:r>
      <w:r w:rsidR="00B84970" w:rsidRPr="00B84970">
        <w:rPr>
          <w:rFonts w:cstheme="majorBidi"/>
          <w:b/>
          <w:bCs/>
          <w:spacing w:val="-4"/>
          <w:lang w:val="en-GB"/>
        </w:rPr>
        <w:t>Procedure C</w:t>
      </w:r>
    </w:p>
    <w:p w:rsidR="003376BC" w:rsidRDefault="009D2312" w:rsidP="009D2312">
      <w:pPr>
        <w:keepLines/>
        <w:jc w:val="both"/>
        <w:rPr>
          <w:lang w:val="en-GB"/>
        </w:rPr>
      </w:pPr>
      <w:r w:rsidRPr="009D2312">
        <w:rPr>
          <w:lang w:val="en-GB"/>
        </w:rPr>
        <w:t>Th</w:t>
      </w:r>
      <w:r>
        <w:rPr>
          <w:lang w:val="en-GB"/>
        </w:rPr>
        <w:t>e</w:t>
      </w:r>
      <w:r w:rsidRPr="009D2312">
        <w:rPr>
          <w:lang w:val="en-GB"/>
        </w:rPr>
        <w:t xml:space="preserve"> document aims at providing more information to the Council Expert Group on the main items driving costs of the process of examining conformity of certain non-GSO satellite filings with the equivalent power flux</w:t>
      </w:r>
      <w:r>
        <w:rPr>
          <w:lang w:val="en-GB"/>
        </w:rPr>
        <w:t>-</w:t>
      </w:r>
      <w:r w:rsidRPr="009D2312">
        <w:rPr>
          <w:lang w:val="en-GB"/>
        </w:rPr>
        <w:t>density (</w:t>
      </w:r>
      <w:proofErr w:type="spellStart"/>
      <w:r w:rsidRPr="009D2312">
        <w:rPr>
          <w:lang w:val="en-GB"/>
        </w:rPr>
        <w:t>epfd</w:t>
      </w:r>
      <w:proofErr w:type="spellEnd"/>
      <w:r w:rsidRPr="009D2312">
        <w:rPr>
          <w:lang w:val="en-GB"/>
        </w:rPr>
        <w:t>) limits contained in Article 22 of the Radio Regulations.</w:t>
      </w:r>
      <w:r w:rsidR="003376BC" w:rsidRPr="003376BC">
        <w:rPr>
          <w:lang w:val="en-GB"/>
        </w:rPr>
        <w:t xml:space="preserve"> </w:t>
      </w:r>
      <w:r w:rsidR="003376BC" w:rsidRPr="009D2312">
        <w:rPr>
          <w:lang w:val="en-GB"/>
        </w:rPr>
        <w:t>Based on this assessment, the document suggests some possible ways forward concerning Procedure C.</w:t>
      </w:r>
    </w:p>
    <w:p w:rsidR="009D2312" w:rsidRDefault="003376BC" w:rsidP="003376BC">
      <w:pPr>
        <w:keepLines/>
        <w:jc w:val="both"/>
      </w:pPr>
      <w:r w:rsidRPr="003376BC">
        <w:rPr>
          <w:lang w:val="en-GB"/>
        </w:rPr>
        <w:t>Three main factors have been identified:</w:t>
      </w:r>
      <w:r>
        <w:rPr>
          <w:lang w:val="en-GB"/>
        </w:rPr>
        <w:t xml:space="preserve"> </w:t>
      </w:r>
      <w:r w:rsidRPr="003376BC">
        <w:t>more harmonized and standardized input data</w:t>
      </w:r>
      <w:r>
        <w:t xml:space="preserve">, </w:t>
      </w:r>
      <w:r w:rsidRPr="003376BC">
        <w:t>software developments required by revisions to Recommendation ITU-R S.1503</w:t>
      </w:r>
      <w:r>
        <w:t xml:space="preserve"> and s</w:t>
      </w:r>
      <w:proofErr w:type="spellStart"/>
      <w:r w:rsidRPr="003376BC">
        <w:rPr>
          <w:lang w:val="en-GB"/>
        </w:rPr>
        <w:t>oftware</w:t>
      </w:r>
      <w:proofErr w:type="spellEnd"/>
      <w:r w:rsidRPr="003376BC">
        <w:rPr>
          <w:lang w:val="en-GB"/>
        </w:rPr>
        <w:t xml:space="preserve"> maintenance</w:t>
      </w:r>
      <w:r>
        <w:rPr>
          <w:lang w:val="en-GB"/>
        </w:rPr>
        <w:t xml:space="preserve">. </w:t>
      </w:r>
    </w:p>
    <w:p w:rsidR="004F76D2" w:rsidRPr="0029069A" w:rsidRDefault="004F76D2" w:rsidP="004F76D2">
      <w:pPr>
        <w:spacing w:before="100" w:beforeAutospacing="1" w:after="100" w:afterAutospacing="1" w:line="240" w:lineRule="auto"/>
        <w:jc w:val="both"/>
        <w:rPr>
          <w:rFonts w:cstheme="majorBidi"/>
        </w:rPr>
      </w:pPr>
      <w:r w:rsidRPr="0029069A">
        <w:rPr>
          <w:rFonts w:cstheme="majorBidi"/>
        </w:rPr>
        <w:t>During the discussions it was mentioned that:</w:t>
      </w:r>
    </w:p>
    <w:p w:rsidR="004F76D2" w:rsidRDefault="004F76D2" w:rsidP="004F76D2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>
        <w:rPr>
          <w:rFonts w:cstheme="majorBidi"/>
        </w:rPr>
        <w:lastRenderedPageBreak/>
        <w:t xml:space="preserve">Means to provide greater stability to Recommendation ITU-R S.1503 should be investigated (the possibility of incorporating this Recommendation by reference in the Radio Regulations was mentioned). </w:t>
      </w:r>
    </w:p>
    <w:p w:rsidR="00095735" w:rsidRDefault="00095735" w:rsidP="004F76D2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>
        <w:rPr>
          <w:rFonts w:cstheme="majorBidi"/>
        </w:rPr>
        <w:t xml:space="preserve">Updates to the </w:t>
      </w:r>
      <w:proofErr w:type="spellStart"/>
      <w:r>
        <w:rPr>
          <w:rFonts w:cstheme="majorBidi"/>
        </w:rPr>
        <w:t>epfd</w:t>
      </w:r>
      <w:proofErr w:type="spellEnd"/>
      <w:r>
        <w:rPr>
          <w:rFonts w:cstheme="majorBidi"/>
        </w:rPr>
        <w:t xml:space="preserve"> validation software depends on the revisions to Recommendation ITU-R S.1503, which are decided by the ITU membership in ITU-R Study Group 4. As such, it is difficult to predict the occurrence of new </w:t>
      </w:r>
      <w:r w:rsidR="00172B48">
        <w:rPr>
          <w:rFonts w:cstheme="majorBidi"/>
        </w:rPr>
        <w:t>revisions,</w:t>
      </w:r>
      <w:r>
        <w:rPr>
          <w:rFonts w:cstheme="majorBidi"/>
        </w:rPr>
        <w:t xml:space="preserve"> but it can be safely assumed that two years are needed to go through the entire process of a new revision.</w:t>
      </w:r>
    </w:p>
    <w:p w:rsidR="00D13B43" w:rsidRDefault="00D13B43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>
        <w:rPr>
          <w:rFonts w:cstheme="majorBidi"/>
        </w:rPr>
        <w:t>Revisions to Recommendation ITU-R S.1503 are until now always backward compatible.</w:t>
      </w:r>
    </w:p>
    <w:p w:rsidR="00172B48" w:rsidRPr="0092208A" w:rsidRDefault="00095735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</w:pPr>
      <w:proofErr w:type="spellStart"/>
      <w:r w:rsidRPr="0092208A">
        <w:rPr>
          <w:rFonts w:cstheme="majorBidi"/>
        </w:rPr>
        <w:t>Epfd</w:t>
      </w:r>
      <w:proofErr w:type="spellEnd"/>
      <w:r w:rsidRPr="0092208A">
        <w:rPr>
          <w:rFonts w:cstheme="majorBidi"/>
        </w:rPr>
        <w:t xml:space="preserve"> validation software is currently outsourced, but the option of being able to maintain it as an internal software on the long term is studied by </w:t>
      </w:r>
      <w:r w:rsidR="00B7416F" w:rsidRPr="0092208A">
        <w:rPr>
          <w:rFonts w:cstheme="majorBidi"/>
        </w:rPr>
        <w:t>the B</w:t>
      </w:r>
      <w:r w:rsidR="007F3873" w:rsidRPr="0092208A">
        <w:rPr>
          <w:rFonts w:cstheme="majorBidi"/>
        </w:rPr>
        <w:t>R</w:t>
      </w:r>
      <w:r w:rsidRPr="0092208A">
        <w:rPr>
          <w:rFonts w:cstheme="majorBidi"/>
        </w:rPr>
        <w:t xml:space="preserve">. </w:t>
      </w:r>
    </w:p>
    <w:p w:rsidR="00172B48" w:rsidRDefault="00733E85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</w:pPr>
      <w:r w:rsidRPr="0092208A">
        <w:t>Required costs for s</w:t>
      </w:r>
      <w:r w:rsidR="00172B48" w:rsidRPr="0092208A">
        <w:t>oftware updates and maintenance</w:t>
      </w:r>
      <w:r w:rsidRPr="0092208A">
        <w:t>, irrespective of final decisions on D</w:t>
      </w:r>
      <w:r w:rsidR="007C1313" w:rsidRPr="0092208A">
        <w:t>ecision</w:t>
      </w:r>
      <w:r w:rsidR="007C1313">
        <w:t xml:space="preserve"> </w:t>
      </w:r>
      <w:r>
        <w:t>482,</w:t>
      </w:r>
      <w:r w:rsidR="00172B48">
        <w:t xml:space="preserve"> </w:t>
      </w:r>
      <w:r w:rsidR="00317B42">
        <w:t>are always</w:t>
      </w:r>
      <w:r>
        <w:t xml:space="preserve"> discussed </w:t>
      </w:r>
      <w:r w:rsidR="00172B48" w:rsidRPr="00172B48">
        <w:t>by the Council during the approval of</w:t>
      </w:r>
      <w:r>
        <w:t xml:space="preserve"> ITU</w:t>
      </w:r>
      <w:r w:rsidR="00172B48" w:rsidRPr="00172B48">
        <w:t xml:space="preserve"> </w:t>
      </w:r>
      <w:r w:rsidRPr="00172B48">
        <w:t>biennial</w:t>
      </w:r>
      <w:r>
        <w:t xml:space="preserve"> budgets.</w:t>
      </w:r>
    </w:p>
    <w:p w:rsidR="00882375" w:rsidRPr="00882375" w:rsidRDefault="00882375" w:rsidP="00BE3F2B">
      <w:pPr>
        <w:ind w:left="720" w:hanging="720"/>
        <w:jc w:val="both"/>
        <w:rPr>
          <w:rFonts w:cstheme="majorBidi"/>
          <w:b/>
          <w:bCs/>
          <w:spacing w:val="-4"/>
        </w:rPr>
      </w:pPr>
      <w:r>
        <w:rPr>
          <w:rFonts w:cstheme="majorBidi"/>
          <w:b/>
          <w:bCs/>
          <w:spacing w:val="-4"/>
        </w:rPr>
        <w:t>5</w:t>
      </w:r>
      <w:r w:rsidRPr="00882375">
        <w:rPr>
          <w:rFonts w:cstheme="majorBidi"/>
          <w:b/>
          <w:bCs/>
          <w:spacing w:val="-4"/>
        </w:rPr>
        <w:tab/>
      </w:r>
      <w:r w:rsidRPr="00882375">
        <w:rPr>
          <w:rFonts w:cstheme="majorBidi"/>
          <w:b/>
          <w:bCs/>
          <w:spacing w:val="-4"/>
          <w:lang w:val="en-AU"/>
        </w:rPr>
        <w:t>Draft structure for a report containing recommendations about the possible revision of Decision 482 with regard to complex non-GSO satellite filings</w:t>
      </w:r>
    </w:p>
    <w:p w:rsidR="003A5819" w:rsidRPr="00720B6A" w:rsidRDefault="002631C4" w:rsidP="00490026">
      <w:pPr>
        <w:spacing w:before="100" w:beforeAutospacing="1" w:after="100" w:afterAutospacing="1" w:line="240" w:lineRule="auto"/>
        <w:jc w:val="both"/>
        <w:outlineLvl w:val="0"/>
        <w:rPr>
          <w:b/>
          <w:bCs/>
        </w:rPr>
      </w:pPr>
      <w:r w:rsidRPr="002631C4">
        <w:rPr>
          <w:b/>
          <w:bCs/>
        </w:rPr>
        <w:t xml:space="preserve">Document </w:t>
      </w:r>
      <w:hyperlink r:id="rId15" w:history="1">
        <w:r w:rsidRPr="002631C4">
          <w:rPr>
            <w:rStyle w:val="Hyperlink"/>
            <w:b/>
            <w:bCs/>
            <w:lang w:val="de-CH"/>
          </w:rPr>
          <w:t>EG-D482-1/7</w:t>
        </w:r>
      </w:hyperlink>
      <w:r>
        <w:rPr>
          <w:b/>
          <w:bCs/>
        </w:rPr>
        <w:t xml:space="preserve"> </w:t>
      </w:r>
      <w:r w:rsidR="003A5819" w:rsidRPr="00720B6A">
        <w:rPr>
          <w:b/>
          <w:bCs/>
        </w:rPr>
        <w:t xml:space="preserve">from the </w:t>
      </w:r>
      <w:r w:rsidR="00490026" w:rsidRPr="00490026">
        <w:rPr>
          <w:b/>
          <w:bCs/>
          <w:lang w:val="en-AU"/>
        </w:rPr>
        <w:t>Chairman</w:t>
      </w:r>
      <w:r w:rsidR="003A5819" w:rsidRPr="00720B6A">
        <w:rPr>
          <w:b/>
          <w:bCs/>
        </w:rPr>
        <w:t xml:space="preserve"> - </w:t>
      </w:r>
      <w:r w:rsidR="00490026" w:rsidRPr="00490026">
        <w:rPr>
          <w:b/>
          <w:bCs/>
          <w:lang w:val="en-AU"/>
        </w:rPr>
        <w:t>Draft structure for a report containing recommendations about the possible revision of Decision 482 with regard to complex non-GSO satellite filings</w:t>
      </w:r>
    </w:p>
    <w:p w:rsidR="00793EB6" w:rsidRDefault="009F13AA" w:rsidP="007F3873">
      <w:pPr>
        <w:jc w:val="both"/>
      </w:pPr>
      <w:r w:rsidRPr="009F13AA">
        <w:rPr>
          <w:lang w:val="en-GB"/>
        </w:rPr>
        <w:t xml:space="preserve">The document provides in its annex </w:t>
      </w:r>
      <w:r w:rsidRPr="009F13AA">
        <w:rPr>
          <w:lang w:val="en-AU"/>
        </w:rPr>
        <w:t>a draft structure for a report</w:t>
      </w:r>
      <w:r w:rsidRPr="009F13AA">
        <w:rPr>
          <w:b/>
          <w:bCs/>
          <w:lang w:val="en-AU"/>
        </w:rPr>
        <w:t xml:space="preserve"> </w:t>
      </w:r>
      <w:r w:rsidRPr="009F13AA">
        <w:rPr>
          <w:lang w:val="en-AU"/>
        </w:rPr>
        <w:t xml:space="preserve">containing recommendations about the possible revision of Decision 482 with regard to complex non-GSO satellite </w:t>
      </w:r>
      <w:r w:rsidR="00172B48" w:rsidRPr="009F13AA">
        <w:rPr>
          <w:lang w:val="en-AU"/>
        </w:rPr>
        <w:t>filings</w:t>
      </w:r>
      <w:r w:rsidR="00172B48">
        <w:rPr>
          <w:lang w:val="en-AU"/>
        </w:rPr>
        <w:t xml:space="preserve"> and</w:t>
      </w:r>
      <w:r>
        <w:rPr>
          <w:lang w:val="en-AU"/>
        </w:rPr>
        <w:t xml:space="preserve"> invites</w:t>
      </w:r>
      <w:r w:rsidRPr="009F13AA">
        <w:rPr>
          <w:lang w:val="en-AU"/>
        </w:rPr>
        <w:t xml:space="preserve"> </w:t>
      </w:r>
      <w:r>
        <w:rPr>
          <w:lang w:val="en-AU"/>
        </w:rPr>
        <w:t>t</w:t>
      </w:r>
      <w:r w:rsidRPr="009F13AA">
        <w:rPr>
          <w:lang w:val="en-AU"/>
        </w:rPr>
        <w:t>he Council Expert Group to review it and provide comments in order to be able to develop the report requested by Council.</w:t>
      </w:r>
      <w:r w:rsidR="00F24051">
        <w:rPr>
          <w:lang w:val="en-AU"/>
        </w:rPr>
        <w:t xml:space="preserve"> The meeting reviewed the document and agreed on a revised version of the</w:t>
      </w:r>
      <w:r w:rsidR="00F24051" w:rsidRPr="00F24051">
        <w:rPr>
          <w:lang w:val="en-AU"/>
        </w:rPr>
        <w:t xml:space="preserve"> </w:t>
      </w:r>
      <w:r w:rsidR="00F24051" w:rsidRPr="009F13AA">
        <w:rPr>
          <w:lang w:val="en-AU"/>
        </w:rPr>
        <w:t>draft structure</w:t>
      </w:r>
      <w:r w:rsidR="00F24051">
        <w:rPr>
          <w:lang w:val="en-AU"/>
        </w:rPr>
        <w:t xml:space="preserve"> </w:t>
      </w:r>
      <w:r w:rsidR="00AD5D9D">
        <w:rPr>
          <w:lang w:val="en-AU"/>
        </w:rPr>
        <w:t xml:space="preserve">as </w:t>
      </w:r>
      <w:r w:rsidR="00F24051">
        <w:rPr>
          <w:lang w:val="en-AU"/>
        </w:rPr>
        <w:t xml:space="preserve">contained in </w:t>
      </w:r>
      <w:r w:rsidR="00D50638">
        <w:rPr>
          <w:lang w:val="en-AU"/>
        </w:rPr>
        <w:t>Annex 1</w:t>
      </w:r>
      <w:r w:rsidR="00F24051">
        <w:rPr>
          <w:lang w:val="en-AU"/>
        </w:rPr>
        <w:t xml:space="preserve"> to this Report. </w:t>
      </w:r>
      <w:r w:rsidR="00092AF4" w:rsidRPr="00092AF4">
        <w:rPr>
          <w:lang w:val="en-AU"/>
        </w:rPr>
        <w:t xml:space="preserve">The meeting </w:t>
      </w:r>
      <w:r w:rsidR="00092AF4">
        <w:rPr>
          <w:lang w:val="en-AU"/>
        </w:rPr>
        <w:t xml:space="preserve">further </w:t>
      </w:r>
      <w:r w:rsidR="00092AF4" w:rsidRPr="00092AF4">
        <w:rPr>
          <w:lang w:val="en-AU"/>
        </w:rPr>
        <w:t xml:space="preserve">agreed </w:t>
      </w:r>
      <w:r w:rsidR="000E3500">
        <w:rPr>
          <w:lang w:val="en-AU"/>
        </w:rPr>
        <w:t xml:space="preserve">to request the </w:t>
      </w:r>
      <w:r w:rsidR="007F3873">
        <w:rPr>
          <w:lang w:val="en-AU"/>
        </w:rPr>
        <w:t>BR</w:t>
      </w:r>
      <w:r w:rsidR="000E3500">
        <w:rPr>
          <w:lang w:val="en-AU"/>
        </w:rPr>
        <w:t xml:space="preserve"> to provide </w:t>
      </w:r>
      <w:r w:rsidR="00726E59">
        <w:rPr>
          <w:lang w:val="en-AU"/>
        </w:rPr>
        <w:t xml:space="preserve">certain </w:t>
      </w:r>
      <w:r w:rsidR="000E3500">
        <w:rPr>
          <w:lang w:val="en-AU"/>
        </w:rPr>
        <w:t xml:space="preserve">information </w:t>
      </w:r>
      <w:r w:rsidR="00092AF4" w:rsidRPr="00092AF4">
        <w:rPr>
          <w:lang w:val="en-AU"/>
        </w:rPr>
        <w:t xml:space="preserve">as contained in Annex </w:t>
      </w:r>
      <w:r w:rsidR="00092AF4">
        <w:rPr>
          <w:lang w:val="en-AU"/>
        </w:rPr>
        <w:t>2</w:t>
      </w:r>
      <w:r w:rsidR="00092AF4" w:rsidRPr="00092AF4">
        <w:rPr>
          <w:lang w:val="en-AU"/>
        </w:rPr>
        <w:t xml:space="preserve"> to this Report</w:t>
      </w:r>
      <w:r w:rsidR="00092AF4">
        <w:rPr>
          <w:lang w:val="en-AU"/>
        </w:rPr>
        <w:t>.</w:t>
      </w:r>
      <w:r w:rsidR="00092AF4" w:rsidRPr="00092AF4">
        <w:rPr>
          <w:lang w:val="en-AU"/>
        </w:rPr>
        <w:t xml:space="preserve"> </w:t>
      </w:r>
      <w:r w:rsidR="00393AB5">
        <w:rPr>
          <w:lang w:val="en-AU"/>
        </w:rPr>
        <w:t>D</w:t>
      </w:r>
      <w:proofErr w:type="spellStart"/>
      <w:r w:rsidR="00F24051" w:rsidRPr="00F24051">
        <w:t>uring</w:t>
      </w:r>
      <w:proofErr w:type="spellEnd"/>
      <w:r w:rsidR="00F24051" w:rsidRPr="00F24051">
        <w:t xml:space="preserve"> the discussions </w:t>
      </w:r>
      <w:r w:rsidR="00393AB5">
        <w:t>the B</w:t>
      </w:r>
      <w:r w:rsidR="007F3873">
        <w:t>R</w:t>
      </w:r>
      <w:r w:rsidR="00393AB5">
        <w:t xml:space="preserve"> was </w:t>
      </w:r>
      <w:r w:rsidR="00B32EF7">
        <w:t xml:space="preserve">also </w:t>
      </w:r>
      <w:r w:rsidR="00393AB5">
        <w:t>requested to provide a flowchart describing the different procedures as well as information on statistics/data on the implementation of Procedure A.</w:t>
      </w:r>
    </w:p>
    <w:p w:rsidR="00F24051" w:rsidRPr="00F24051" w:rsidRDefault="00393AB5" w:rsidP="00793EB6">
      <w:pPr>
        <w:jc w:val="both"/>
      </w:pPr>
      <w:r>
        <w:t xml:space="preserve">Contributions were also invited to </w:t>
      </w:r>
      <w:r w:rsidR="00793EB6" w:rsidRPr="00793EB6">
        <w:t xml:space="preserve">develop the report </w:t>
      </w:r>
      <w:r w:rsidR="00793EB6" w:rsidRPr="00793EB6">
        <w:rPr>
          <w:lang w:val="en-AU"/>
        </w:rPr>
        <w:t>requested by Council</w:t>
      </w:r>
      <w:r w:rsidR="007D2202">
        <w:rPr>
          <w:lang w:val="en-AU"/>
        </w:rPr>
        <w:t>.</w:t>
      </w:r>
    </w:p>
    <w:p w:rsidR="009F5F08" w:rsidRPr="00720B6A" w:rsidRDefault="00E128C6" w:rsidP="00E128C6">
      <w:pPr>
        <w:keepNext/>
        <w:keepLines/>
        <w:snapToGrid w:val="0"/>
        <w:spacing w:before="100" w:beforeAutospacing="1" w:after="100" w:afterAutospacing="1" w:line="240" w:lineRule="auto"/>
        <w:jc w:val="both"/>
        <w:rPr>
          <w:rFonts w:cstheme="majorBidi"/>
          <w:b/>
        </w:rPr>
      </w:pPr>
      <w:r>
        <w:rPr>
          <w:rFonts w:cstheme="majorBidi"/>
          <w:b/>
        </w:rPr>
        <w:t>6</w:t>
      </w:r>
      <w:r w:rsidR="009F5F08" w:rsidRPr="00720B6A">
        <w:rPr>
          <w:rFonts w:cstheme="majorBidi"/>
          <w:b/>
        </w:rPr>
        <w:tab/>
      </w:r>
      <w:r w:rsidRPr="00E128C6">
        <w:rPr>
          <w:rFonts w:cstheme="majorBidi"/>
          <w:b/>
          <w:lang w:val="en-AU"/>
        </w:rPr>
        <w:t>Information on exceptionally complex GSO satellite filings</w:t>
      </w:r>
    </w:p>
    <w:p w:rsidR="00E128C6" w:rsidRDefault="00E128C6" w:rsidP="00BE3F2B">
      <w:pPr>
        <w:snapToGrid w:val="0"/>
        <w:spacing w:before="100" w:beforeAutospacing="1" w:after="100" w:afterAutospacing="1" w:line="240" w:lineRule="auto"/>
        <w:jc w:val="both"/>
        <w:rPr>
          <w:rFonts w:cstheme="majorBidi"/>
        </w:rPr>
      </w:pPr>
      <w:r w:rsidRPr="00E128C6">
        <w:rPr>
          <w:rFonts w:cstheme="majorBidi"/>
          <w:b/>
          <w:bCs/>
        </w:rPr>
        <w:t xml:space="preserve">Document </w:t>
      </w:r>
      <w:hyperlink r:id="rId16" w:history="1">
        <w:r w:rsidRPr="00E128C6">
          <w:rPr>
            <w:rStyle w:val="Hyperlink"/>
            <w:rFonts w:cstheme="majorBidi"/>
            <w:b/>
            <w:bCs/>
            <w:lang w:val="de-CH"/>
          </w:rPr>
          <w:t>EG-D482-1/6</w:t>
        </w:r>
      </w:hyperlink>
      <w:r w:rsidRPr="00E128C6">
        <w:rPr>
          <w:rFonts w:cstheme="majorBidi"/>
          <w:b/>
          <w:bCs/>
        </w:rPr>
        <w:t xml:space="preserve"> from</w:t>
      </w:r>
      <w:r>
        <w:rPr>
          <w:rFonts w:cstheme="majorBidi"/>
        </w:rPr>
        <w:t xml:space="preserve"> </w:t>
      </w:r>
      <w:r w:rsidR="00BE3F2B" w:rsidRPr="00BE3F2B">
        <w:rPr>
          <w:rFonts w:cstheme="majorBidi"/>
          <w:b/>
          <w:lang w:val="en-GB"/>
        </w:rPr>
        <w:t>the Secretariat</w:t>
      </w:r>
      <w:r w:rsidR="00BE3F2B" w:rsidRPr="00BE3F2B">
        <w:rPr>
          <w:rFonts w:cstheme="majorBidi"/>
          <w:b/>
        </w:rPr>
        <w:t xml:space="preserve"> - </w:t>
      </w:r>
      <w:r w:rsidR="00BE3F2B" w:rsidRPr="00BE3F2B">
        <w:rPr>
          <w:rFonts w:cstheme="majorBidi"/>
          <w:b/>
          <w:bCs/>
          <w:lang w:val="en-GB"/>
        </w:rPr>
        <w:t>I</w:t>
      </w:r>
      <w:r w:rsidR="00BE3F2B">
        <w:rPr>
          <w:rFonts w:cstheme="majorBidi"/>
          <w:b/>
          <w:bCs/>
          <w:lang w:val="en-GB"/>
        </w:rPr>
        <w:t>nformation</w:t>
      </w:r>
      <w:r w:rsidR="00BE3F2B" w:rsidRPr="00BE3F2B">
        <w:rPr>
          <w:rFonts w:cstheme="majorBidi"/>
          <w:b/>
          <w:bCs/>
          <w:lang w:val="en-GB"/>
        </w:rPr>
        <w:t xml:space="preserve"> </w:t>
      </w:r>
      <w:r w:rsidR="00BE3F2B">
        <w:rPr>
          <w:rFonts w:cstheme="majorBidi"/>
          <w:b/>
          <w:bCs/>
          <w:lang w:val="en-GB"/>
        </w:rPr>
        <w:t>about</w:t>
      </w:r>
      <w:r w:rsidR="00BE3F2B" w:rsidRPr="00BE3F2B">
        <w:rPr>
          <w:rFonts w:cstheme="majorBidi"/>
          <w:b/>
          <w:bCs/>
          <w:lang w:val="en-GB"/>
        </w:rPr>
        <w:t xml:space="preserve"> </w:t>
      </w:r>
      <w:r w:rsidR="00BE3F2B">
        <w:rPr>
          <w:rFonts w:cstheme="majorBidi"/>
          <w:b/>
          <w:bCs/>
          <w:lang w:val="en-GB"/>
        </w:rPr>
        <w:t>exceptionally</w:t>
      </w:r>
      <w:r w:rsidR="00BE3F2B" w:rsidRPr="00BE3F2B">
        <w:rPr>
          <w:rFonts w:cstheme="majorBidi"/>
          <w:b/>
          <w:bCs/>
          <w:lang w:val="en-GB"/>
        </w:rPr>
        <w:t xml:space="preserve"> </w:t>
      </w:r>
      <w:r w:rsidR="00BE3F2B">
        <w:rPr>
          <w:rFonts w:cstheme="majorBidi"/>
          <w:b/>
          <w:bCs/>
          <w:lang w:val="en-GB"/>
        </w:rPr>
        <w:t>complex</w:t>
      </w:r>
      <w:r w:rsidR="00BE3F2B" w:rsidRPr="00BE3F2B">
        <w:rPr>
          <w:rFonts w:cstheme="majorBidi"/>
          <w:b/>
          <w:bCs/>
          <w:lang w:val="en-GB"/>
        </w:rPr>
        <w:t xml:space="preserve"> GSO </w:t>
      </w:r>
      <w:r w:rsidR="00BE3F2B">
        <w:rPr>
          <w:rFonts w:cstheme="majorBidi"/>
          <w:b/>
          <w:bCs/>
          <w:lang w:val="en-GB"/>
        </w:rPr>
        <w:t>satellite</w:t>
      </w:r>
      <w:r w:rsidR="00BE3F2B" w:rsidRPr="00BE3F2B">
        <w:rPr>
          <w:rFonts w:cstheme="majorBidi"/>
          <w:b/>
          <w:bCs/>
          <w:lang w:val="en-GB"/>
        </w:rPr>
        <w:t xml:space="preserve"> </w:t>
      </w:r>
      <w:r w:rsidR="00BE3F2B">
        <w:rPr>
          <w:rFonts w:cstheme="majorBidi"/>
          <w:b/>
          <w:bCs/>
          <w:lang w:val="en-GB"/>
        </w:rPr>
        <w:t>filings</w:t>
      </w:r>
    </w:p>
    <w:p w:rsidR="00082310" w:rsidRDefault="00426B40" w:rsidP="00110F46">
      <w:pPr>
        <w:snapToGrid w:val="0"/>
        <w:spacing w:before="100" w:beforeAutospacing="1" w:after="100" w:afterAutospacing="1" w:line="240" w:lineRule="auto"/>
        <w:jc w:val="both"/>
        <w:rPr>
          <w:rFonts w:cstheme="majorBidi"/>
        </w:rPr>
      </w:pPr>
      <w:r w:rsidRPr="00426B40">
        <w:rPr>
          <w:rFonts w:cstheme="majorBidi"/>
          <w:lang w:val="en-GB"/>
        </w:rPr>
        <w:t>Th</w:t>
      </w:r>
      <w:r>
        <w:rPr>
          <w:rFonts w:cstheme="majorBidi"/>
          <w:lang w:val="en-GB"/>
        </w:rPr>
        <w:t>e</w:t>
      </w:r>
      <w:r w:rsidRPr="00426B40">
        <w:rPr>
          <w:rFonts w:cstheme="majorBidi"/>
          <w:lang w:val="en-GB"/>
        </w:rPr>
        <w:t xml:space="preserve"> document aims at providing information to the Council Expert Group on the need to take action</w:t>
      </w:r>
      <w:r w:rsidR="00110F46">
        <w:rPr>
          <w:rFonts w:cstheme="majorBidi"/>
          <w:lang w:val="en-GB"/>
        </w:rPr>
        <w:t xml:space="preserve"> with regard to </w:t>
      </w:r>
      <w:r w:rsidR="00110F46" w:rsidRPr="00110F46">
        <w:rPr>
          <w:rFonts w:cstheme="majorBidi"/>
          <w:lang w:val="en-GB"/>
        </w:rPr>
        <w:t>exceptionally complex GSO satellite filings</w:t>
      </w:r>
      <w:r w:rsidRPr="00426B40">
        <w:rPr>
          <w:rFonts w:cstheme="majorBidi"/>
          <w:lang w:val="en-GB"/>
        </w:rPr>
        <w:t>, with the understanding that detailed consideration whether the approach of Procedure B should also be applicable to the cases of exceptionally complex GSO satellite filings could only start once studies of complex non-GSO satellite filings have been completed.</w:t>
      </w:r>
    </w:p>
    <w:p w:rsidR="004F76D2" w:rsidRDefault="004F76D2" w:rsidP="00A15E31">
      <w:pPr>
        <w:spacing w:before="100" w:beforeAutospacing="1" w:after="100" w:afterAutospacing="1" w:line="240" w:lineRule="auto"/>
        <w:jc w:val="both"/>
        <w:rPr>
          <w:rFonts w:cstheme="majorBidi"/>
        </w:rPr>
      </w:pPr>
      <w:r>
        <w:rPr>
          <w:rFonts w:cstheme="majorBidi"/>
        </w:rPr>
        <w:t>Following the presentation, it was mentioned that:</w:t>
      </w:r>
    </w:p>
    <w:p w:rsidR="004F76D2" w:rsidRDefault="00172B48" w:rsidP="007F3873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>
        <w:rPr>
          <w:rFonts w:cstheme="majorBidi"/>
        </w:rPr>
        <w:t>For exceptionally complex GSO filings, t</w:t>
      </w:r>
      <w:r w:rsidR="004F76D2">
        <w:rPr>
          <w:rFonts w:cstheme="majorBidi"/>
        </w:rPr>
        <w:t>he consultation with the notifying administration that the RRB instructed the B</w:t>
      </w:r>
      <w:r w:rsidR="007F3873">
        <w:rPr>
          <w:rFonts w:cstheme="majorBidi"/>
        </w:rPr>
        <w:t>R</w:t>
      </w:r>
      <w:r w:rsidR="00D851DD">
        <w:rPr>
          <w:rFonts w:cstheme="majorBidi"/>
        </w:rPr>
        <w:t xml:space="preserve"> </w:t>
      </w:r>
      <w:r w:rsidR="004F76D2">
        <w:rPr>
          <w:rFonts w:cstheme="majorBidi"/>
        </w:rPr>
        <w:t xml:space="preserve">to perform should be done during a 30-day period similar (or in some cases identical) to the period given to notifying administrations to reply about questions concerning correctness of information at </w:t>
      </w:r>
      <w:r>
        <w:rPr>
          <w:rFonts w:cstheme="majorBidi"/>
        </w:rPr>
        <w:t xml:space="preserve">the </w:t>
      </w:r>
      <w:r w:rsidR="004F76D2">
        <w:rPr>
          <w:rFonts w:cstheme="majorBidi"/>
        </w:rPr>
        <w:t>receivability</w:t>
      </w:r>
      <w:r>
        <w:rPr>
          <w:rFonts w:cstheme="majorBidi"/>
        </w:rPr>
        <w:t xml:space="preserve"> stage</w:t>
      </w:r>
      <w:r w:rsidR="004F76D2">
        <w:rPr>
          <w:rFonts w:cstheme="majorBidi"/>
        </w:rPr>
        <w:t xml:space="preserve">. </w:t>
      </w:r>
    </w:p>
    <w:p w:rsidR="004F76D2" w:rsidRPr="0029069A" w:rsidRDefault="004F76D2" w:rsidP="00EB38AB">
      <w:pPr>
        <w:numPr>
          <w:ilvl w:val="0"/>
          <w:numId w:val="21"/>
        </w:num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</w:rPr>
      </w:pPr>
      <w:r>
        <w:rPr>
          <w:rFonts w:cstheme="majorBidi"/>
        </w:rPr>
        <w:t xml:space="preserve">The matter has to be also reported to CPM19-2 and WRC-19 through the </w:t>
      </w:r>
      <w:r w:rsidR="007F3873">
        <w:rPr>
          <w:rFonts w:cstheme="majorBidi"/>
        </w:rPr>
        <w:t xml:space="preserve">BR </w:t>
      </w:r>
      <w:r>
        <w:rPr>
          <w:rFonts w:cstheme="majorBidi"/>
        </w:rPr>
        <w:t xml:space="preserve">Director’s </w:t>
      </w:r>
      <w:r w:rsidR="00EB38AB">
        <w:rPr>
          <w:rFonts w:cstheme="majorBidi"/>
        </w:rPr>
        <w:t>R</w:t>
      </w:r>
      <w:r>
        <w:rPr>
          <w:rFonts w:cstheme="majorBidi"/>
        </w:rPr>
        <w:t>eport.</w:t>
      </w:r>
    </w:p>
    <w:p w:rsidR="0091063C" w:rsidRPr="00720B6A" w:rsidRDefault="00F63D33" w:rsidP="005974E2">
      <w:p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  <w:b/>
        </w:rPr>
      </w:pPr>
      <w:r w:rsidRPr="00720B6A">
        <w:rPr>
          <w:rFonts w:cstheme="majorBidi"/>
          <w:b/>
        </w:rPr>
        <w:lastRenderedPageBreak/>
        <w:t>7</w:t>
      </w:r>
      <w:r w:rsidR="003B3322" w:rsidRPr="00720B6A">
        <w:rPr>
          <w:rFonts w:cstheme="majorBidi"/>
          <w:b/>
        </w:rPr>
        <w:tab/>
      </w:r>
      <w:r w:rsidR="005974E2" w:rsidRPr="005974E2">
        <w:rPr>
          <w:rFonts w:cstheme="majorBidi"/>
          <w:b/>
          <w:lang w:val="en-AU"/>
        </w:rPr>
        <w:t>Date(s) of next meeting(s)</w:t>
      </w:r>
    </w:p>
    <w:p w:rsidR="008F6CB6" w:rsidRPr="008F6CB6" w:rsidRDefault="008F6CB6" w:rsidP="000D39BB">
      <w:pPr>
        <w:snapToGrid w:val="0"/>
        <w:spacing w:before="100" w:beforeAutospacing="1" w:after="100" w:afterAutospacing="1" w:line="240" w:lineRule="auto"/>
        <w:jc w:val="both"/>
        <w:rPr>
          <w:rFonts w:cstheme="majorBidi"/>
          <w:bCs/>
          <w:i/>
          <w:iCs/>
          <w:lang w:val="en-GB"/>
        </w:rPr>
      </w:pPr>
      <w:r w:rsidRPr="00214562">
        <w:rPr>
          <w:rFonts w:cstheme="majorBidi"/>
          <w:lang w:val="en-GB"/>
        </w:rPr>
        <w:t>The</w:t>
      </w:r>
      <w:r w:rsidRPr="008F6CB6">
        <w:rPr>
          <w:rFonts w:cstheme="majorBidi"/>
          <w:bCs/>
          <w:lang w:val="en-GB"/>
        </w:rPr>
        <w:t xml:space="preserve"> meeting agreed that the </w:t>
      </w:r>
      <w:r>
        <w:rPr>
          <w:rFonts w:cstheme="majorBidi"/>
          <w:bCs/>
          <w:lang w:val="en-GB"/>
        </w:rPr>
        <w:t xml:space="preserve">second </w:t>
      </w:r>
      <w:r w:rsidRPr="008F6CB6">
        <w:rPr>
          <w:rFonts w:cstheme="majorBidi"/>
          <w:bCs/>
          <w:lang w:val="en-GB"/>
        </w:rPr>
        <w:t xml:space="preserve">meeting </w:t>
      </w:r>
      <w:r>
        <w:rPr>
          <w:rFonts w:cstheme="majorBidi"/>
          <w:bCs/>
          <w:lang w:val="en-GB"/>
        </w:rPr>
        <w:t xml:space="preserve">of the </w:t>
      </w:r>
      <w:r w:rsidRPr="008F6CB6">
        <w:rPr>
          <w:rFonts w:cstheme="majorBidi"/>
          <w:bCs/>
          <w:lang w:val="en-AU"/>
        </w:rPr>
        <w:t>Council Expert Group on Council Decision 482</w:t>
      </w:r>
      <w:r>
        <w:rPr>
          <w:rFonts w:cstheme="majorBidi"/>
          <w:bCs/>
          <w:lang w:val="en-AU"/>
        </w:rPr>
        <w:t xml:space="preserve"> </w:t>
      </w:r>
      <w:r w:rsidRPr="008F6CB6">
        <w:rPr>
          <w:rFonts w:cstheme="majorBidi"/>
          <w:bCs/>
          <w:lang w:val="en-GB"/>
        </w:rPr>
        <w:t xml:space="preserve">will take place on </w:t>
      </w:r>
      <w:r w:rsidR="005516CB">
        <w:rPr>
          <w:rFonts w:cstheme="majorBidi"/>
          <w:bCs/>
          <w:lang w:val="en-GB"/>
        </w:rPr>
        <w:t>28 February and 1</w:t>
      </w:r>
      <w:r w:rsidRPr="008F6CB6">
        <w:rPr>
          <w:rFonts w:cstheme="majorBidi"/>
          <w:bCs/>
          <w:lang w:val="en-GB"/>
        </w:rPr>
        <w:t> </w:t>
      </w:r>
      <w:r>
        <w:rPr>
          <w:rFonts w:cstheme="majorBidi"/>
          <w:bCs/>
          <w:lang w:val="en-GB"/>
        </w:rPr>
        <w:t>March</w:t>
      </w:r>
      <w:r w:rsidRPr="008F6CB6">
        <w:rPr>
          <w:rFonts w:cstheme="majorBidi"/>
          <w:bCs/>
          <w:lang w:val="en-GB"/>
        </w:rPr>
        <w:t xml:space="preserve"> 201</w:t>
      </w:r>
      <w:r>
        <w:rPr>
          <w:rFonts w:cstheme="majorBidi"/>
          <w:bCs/>
          <w:lang w:val="en-GB"/>
        </w:rPr>
        <w:t>9</w:t>
      </w:r>
      <w:r w:rsidR="005516CB" w:rsidRPr="005516CB">
        <w:rPr>
          <w:rFonts w:cstheme="majorBidi"/>
          <w:bCs/>
          <w:lang w:val="en-GB"/>
        </w:rPr>
        <w:t xml:space="preserve"> </w:t>
      </w:r>
      <w:r w:rsidR="005516CB">
        <w:rPr>
          <w:rFonts w:cstheme="majorBidi"/>
          <w:bCs/>
          <w:lang w:val="en-GB"/>
        </w:rPr>
        <w:t>starting immediately after CPM19-2</w:t>
      </w:r>
      <w:r w:rsidR="00630525">
        <w:rPr>
          <w:rFonts w:cstheme="majorBidi"/>
          <w:bCs/>
          <w:lang w:val="en-GB"/>
        </w:rPr>
        <w:t xml:space="preserve"> and a possible third meeting </w:t>
      </w:r>
      <w:r w:rsidR="000D39BB">
        <w:rPr>
          <w:rFonts w:cstheme="majorBidi"/>
          <w:bCs/>
          <w:lang w:val="en-GB"/>
        </w:rPr>
        <w:t>before Council 2019</w:t>
      </w:r>
      <w:r w:rsidRPr="008F6CB6">
        <w:rPr>
          <w:rFonts w:cstheme="majorBidi"/>
          <w:bCs/>
          <w:lang w:val="en-GB"/>
        </w:rPr>
        <w:t>.</w:t>
      </w:r>
      <w:r w:rsidR="008A70CB">
        <w:rPr>
          <w:rFonts w:cstheme="majorBidi"/>
          <w:bCs/>
          <w:lang w:val="en-GB"/>
        </w:rPr>
        <w:t xml:space="preserve"> </w:t>
      </w:r>
    </w:p>
    <w:p w:rsidR="003B3322" w:rsidRPr="00720B6A" w:rsidRDefault="00F63D33" w:rsidP="005974E2">
      <w:p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  <w:b/>
        </w:rPr>
      </w:pPr>
      <w:r w:rsidRPr="00720B6A">
        <w:rPr>
          <w:rFonts w:cstheme="majorBidi"/>
          <w:b/>
        </w:rPr>
        <w:t>8</w:t>
      </w:r>
      <w:r w:rsidR="003B3322" w:rsidRPr="00720B6A">
        <w:rPr>
          <w:rFonts w:cstheme="majorBidi"/>
          <w:b/>
        </w:rPr>
        <w:tab/>
      </w:r>
      <w:r w:rsidR="005974E2" w:rsidRPr="005974E2">
        <w:rPr>
          <w:rFonts w:cstheme="majorBidi"/>
          <w:b/>
          <w:lang w:val="en-AU"/>
        </w:rPr>
        <w:t>Any other business</w:t>
      </w:r>
    </w:p>
    <w:p w:rsidR="003B3322" w:rsidRPr="00720B6A" w:rsidRDefault="003B3322" w:rsidP="007F3873">
      <w:pPr>
        <w:snapToGrid w:val="0"/>
        <w:spacing w:before="100" w:beforeAutospacing="1" w:after="100" w:afterAutospacing="1" w:line="240" w:lineRule="auto"/>
        <w:jc w:val="both"/>
        <w:rPr>
          <w:rFonts w:cstheme="majorBidi"/>
          <w:b/>
        </w:rPr>
      </w:pPr>
      <w:r w:rsidRPr="00720B6A">
        <w:rPr>
          <w:rFonts w:cstheme="majorBidi"/>
        </w:rPr>
        <w:t xml:space="preserve">In closing, the Chairman thanked all the ITU Member States and Sector Members who made contributions and participated in the </w:t>
      </w:r>
      <w:r w:rsidR="00CD003A">
        <w:rPr>
          <w:rFonts w:cstheme="majorBidi"/>
        </w:rPr>
        <w:t>meeting</w:t>
      </w:r>
      <w:r w:rsidRPr="00720B6A">
        <w:rPr>
          <w:rFonts w:cstheme="majorBidi"/>
        </w:rPr>
        <w:t xml:space="preserve"> of the Expert Group</w:t>
      </w:r>
      <w:r w:rsidR="00FC6A46" w:rsidRPr="00720B6A">
        <w:rPr>
          <w:rFonts w:cstheme="majorBidi"/>
        </w:rPr>
        <w:t xml:space="preserve"> (including those who participated remotely)</w:t>
      </w:r>
      <w:r w:rsidRPr="00720B6A">
        <w:rPr>
          <w:rFonts w:cstheme="majorBidi"/>
        </w:rPr>
        <w:t xml:space="preserve">, </w:t>
      </w:r>
      <w:r w:rsidR="0072750A">
        <w:rPr>
          <w:rFonts w:cstheme="majorBidi"/>
        </w:rPr>
        <w:t xml:space="preserve">the </w:t>
      </w:r>
      <w:r w:rsidR="007F3873">
        <w:rPr>
          <w:rFonts w:cstheme="majorBidi"/>
        </w:rPr>
        <w:t xml:space="preserve">BR </w:t>
      </w:r>
      <w:r w:rsidR="0072750A">
        <w:rPr>
          <w:rFonts w:cstheme="majorBidi"/>
        </w:rPr>
        <w:t xml:space="preserve">Director </w:t>
      </w:r>
      <w:r w:rsidRPr="00720B6A">
        <w:rPr>
          <w:rFonts w:cstheme="majorBidi"/>
        </w:rPr>
        <w:t>and the Secretariat for their efficient assistance during the meeting.</w:t>
      </w:r>
      <w:r w:rsidR="00F172C5" w:rsidRPr="00720B6A">
        <w:rPr>
          <w:rFonts w:cstheme="majorBidi"/>
        </w:rPr>
        <w:t xml:space="preserve"> </w:t>
      </w:r>
    </w:p>
    <w:p w:rsidR="003B3322" w:rsidRPr="00720B6A" w:rsidRDefault="003B3322" w:rsidP="00CD003A">
      <w:pPr>
        <w:snapToGrid w:val="0"/>
        <w:spacing w:before="100" w:beforeAutospacing="1" w:after="100" w:afterAutospacing="1" w:line="240" w:lineRule="auto"/>
        <w:jc w:val="both"/>
        <w:rPr>
          <w:rFonts w:cstheme="majorBidi"/>
          <w:b/>
        </w:rPr>
      </w:pPr>
      <w:r w:rsidRPr="00720B6A">
        <w:rPr>
          <w:rFonts w:cstheme="majorBidi"/>
        </w:rPr>
        <w:t>The Group thanked the Chairman and Secretariat for their effective organization and management of the Group.</w:t>
      </w:r>
      <w:r w:rsidR="00FC6A46" w:rsidRPr="00720B6A">
        <w:rPr>
          <w:rFonts w:cstheme="majorBidi"/>
        </w:rPr>
        <w:t xml:space="preserve"> The Group </w:t>
      </w:r>
      <w:r w:rsidR="00247754" w:rsidRPr="00720B6A">
        <w:rPr>
          <w:rFonts w:cstheme="majorBidi"/>
        </w:rPr>
        <w:t xml:space="preserve">also </w:t>
      </w:r>
      <w:r w:rsidR="00FC6A46" w:rsidRPr="00720B6A">
        <w:rPr>
          <w:rFonts w:cstheme="majorBidi"/>
        </w:rPr>
        <w:t>thanked the remote moderator.</w:t>
      </w:r>
    </w:p>
    <w:p w:rsidR="003B6FD8" w:rsidRPr="00A15E31" w:rsidRDefault="003B3322" w:rsidP="00214562">
      <w:pPr>
        <w:snapToGrid w:val="0"/>
        <w:spacing w:before="100" w:beforeAutospacing="1" w:after="100" w:afterAutospacing="1" w:line="240" w:lineRule="auto"/>
        <w:jc w:val="both"/>
        <w:rPr>
          <w:rFonts w:cstheme="majorBidi"/>
          <w:b/>
        </w:rPr>
      </w:pPr>
      <w:r w:rsidRPr="00A15E31">
        <w:rPr>
          <w:rFonts w:cstheme="majorBidi"/>
          <w:b/>
        </w:rPr>
        <w:t>Chairman: Mr</w:t>
      </w:r>
      <w:r w:rsidR="006E4056" w:rsidRPr="00A15E31">
        <w:rPr>
          <w:rFonts w:cstheme="majorBidi"/>
          <w:b/>
        </w:rPr>
        <w:t>.</w:t>
      </w:r>
      <w:r w:rsidRPr="00A15E31">
        <w:rPr>
          <w:rFonts w:cstheme="majorBidi"/>
          <w:b/>
        </w:rPr>
        <w:t xml:space="preserve"> </w:t>
      </w:r>
      <w:r w:rsidR="00867E0A" w:rsidRPr="00A15E31">
        <w:rPr>
          <w:rFonts w:cstheme="majorBidi"/>
          <w:b/>
        </w:rPr>
        <w:t>Nikolay Varlamov</w:t>
      </w:r>
    </w:p>
    <w:p w:rsidR="00FB21D0" w:rsidRDefault="00FB21D0" w:rsidP="00720B6A">
      <w:p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  <w:b/>
        </w:rPr>
      </w:pPr>
    </w:p>
    <w:p w:rsidR="00FB21D0" w:rsidRDefault="00FB21D0" w:rsidP="00720B6A">
      <w:p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  <w:b/>
        </w:rPr>
      </w:pPr>
    </w:p>
    <w:p w:rsidR="00E57DBD" w:rsidRPr="00A15E31" w:rsidRDefault="00B106D3" w:rsidP="00720B6A">
      <w:pPr>
        <w:snapToGrid w:val="0"/>
        <w:spacing w:before="100" w:beforeAutospacing="1" w:after="100" w:afterAutospacing="1" w:line="240" w:lineRule="auto"/>
        <w:jc w:val="both"/>
        <w:outlineLvl w:val="0"/>
        <w:rPr>
          <w:rFonts w:cstheme="majorBidi"/>
          <w:b/>
        </w:rPr>
      </w:pPr>
      <w:r>
        <w:rPr>
          <w:rFonts w:cstheme="majorBidi"/>
          <w:b/>
        </w:rPr>
        <w:t>Annexes:</w:t>
      </w:r>
      <w:r>
        <w:rPr>
          <w:rFonts w:cstheme="majorBidi"/>
          <w:b/>
        </w:rPr>
        <w:tab/>
        <w:t>2</w:t>
      </w:r>
    </w:p>
    <w:p w:rsidR="00611509" w:rsidRDefault="00611509">
      <w:pPr>
        <w:rPr>
          <w:rFonts w:cstheme="majorBidi"/>
          <w:b/>
          <w:u w:val="single"/>
        </w:rPr>
      </w:pPr>
      <w:r>
        <w:rPr>
          <w:rFonts w:cstheme="majorBidi"/>
          <w:b/>
          <w:u w:val="single"/>
        </w:rPr>
        <w:br w:type="page"/>
      </w:r>
    </w:p>
    <w:p w:rsidR="00611509" w:rsidRPr="00611509" w:rsidRDefault="00611509" w:rsidP="00611509">
      <w:pPr>
        <w:spacing w:after="0" w:line="240" w:lineRule="auto"/>
        <w:jc w:val="center"/>
        <w:rPr>
          <w:rFonts w:ascii="Calibri" w:eastAsia="SimSun" w:hAnsi="Calibri" w:cs="Times New Roman"/>
          <w:b/>
          <w:sz w:val="28"/>
          <w:szCs w:val="32"/>
          <w:lang w:eastAsia="en-AU"/>
        </w:rPr>
      </w:pPr>
      <w:r w:rsidRPr="00611509">
        <w:rPr>
          <w:rFonts w:ascii="Calibri" w:eastAsia="SimSun" w:hAnsi="Calibri" w:cs="Times New Roman"/>
          <w:b/>
          <w:sz w:val="28"/>
          <w:szCs w:val="32"/>
          <w:lang w:val="en-AU" w:eastAsia="en-AU"/>
        </w:rPr>
        <w:lastRenderedPageBreak/>
        <w:t>Annex 1</w:t>
      </w:r>
    </w:p>
    <w:p w:rsidR="00611509" w:rsidRPr="00611509" w:rsidRDefault="00611509" w:rsidP="00611509">
      <w:pPr>
        <w:spacing w:before="240" w:after="0" w:line="240" w:lineRule="auto"/>
        <w:jc w:val="center"/>
        <w:rPr>
          <w:rFonts w:ascii="Calibri" w:eastAsia="SimSun" w:hAnsi="Calibri" w:cs="Times New Roman"/>
          <w:caps/>
          <w:sz w:val="28"/>
          <w:szCs w:val="28"/>
          <w:lang w:val="en-AU"/>
        </w:rPr>
      </w:pPr>
      <w:r w:rsidRPr="00611509">
        <w:rPr>
          <w:rFonts w:ascii="Calibri" w:eastAsia="SimSun" w:hAnsi="Calibri" w:cs="Times New Roman"/>
          <w:bCs/>
          <w:caps/>
          <w:sz w:val="28"/>
          <w:szCs w:val="28"/>
          <w:lang w:val="en-AU"/>
        </w:rPr>
        <w:t xml:space="preserve">Preliminary </w:t>
      </w:r>
      <w:r w:rsidRPr="00611509">
        <w:rPr>
          <w:rFonts w:ascii="Calibri" w:eastAsia="SimSun" w:hAnsi="Calibri" w:cs="Times New Roman"/>
          <w:caps/>
          <w:sz w:val="28"/>
          <w:szCs w:val="28"/>
          <w:lang w:val="en-AU"/>
        </w:rPr>
        <w:t xml:space="preserve">Draft structure for a </w:t>
      </w:r>
      <w:r w:rsidRPr="00611509">
        <w:rPr>
          <w:rFonts w:ascii="Calibri" w:eastAsia="SimSun" w:hAnsi="Calibri" w:cs="Times New Roman"/>
          <w:bCs/>
          <w:caps/>
          <w:sz w:val="28"/>
          <w:szCs w:val="28"/>
          <w:lang w:val="en-AU"/>
        </w:rPr>
        <w:t xml:space="preserve">progress </w:t>
      </w:r>
      <w:r w:rsidRPr="00611509">
        <w:rPr>
          <w:rFonts w:ascii="Calibri" w:eastAsia="SimSun" w:hAnsi="Calibri" w:cs="Times New Roman"/>
          <w:caps/>
          <w:sz w:val="28"/>
          <w:szCs w:val="28"/>
          <w:lang w:val="en-AU"/>
        </w:rPr>
        <w:t xml:space="preserve">report containing recommendations about the possible revision of Decision 482 </w:t>
      </w:r>
      <w:r w:rsidRPr="00611509">
        <w:rPr>
          <w:rFonts w:ascii="Calibri" w:eastAsia="SimSun" w:hAnsi="Calibri" w:cs="Times New Roman"/>
          <w:caps/>
          <w:sz w:val="28"/>
          <w:szCs w:val="28"/>
          <w:lang w:val="en-AU"/>
        </w:rPr>
        <w:br/>
        <w:t>with regard to complex/large non-GSO satellite filings</w:t>
      </w:r>
    </w:p>
    <w:p w:rsidR="00611509" w:rsidRPr="00611509" w:rsidRDefault="00611509" w:rsidP="00611509">
      <w:pPr>
        <w:spacing w:after="0" w:line="240" w:lineRule="auto"/>
        <w:rPr>
          <w:rFonts w:ascii="Calibri" w:eastAsia="SimSun" w:hAnsi="Calibri" w:cs="Times New Roman"/>
          <w:sz w:val="24"/>
          <w:szCs w:val="24"/>
          <w:lang w:val="en-GB" w:eastAsia="en-AU"/>
        </w:rPr>
      </w:pP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>1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ab/>
        <w:t>Introduction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 xml:space="preserve">[This section will briefly describe the topic and present the terms of reference of the group.] 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>2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ab/>
        <w:t>Background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  <w:t>3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  <w:tab/>
        <w:t xml:space="preserve">Description of 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>complex/large non-GSO satellite filings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  <w:t>4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  <w:tab/>
        <w:t>Categories and types of complex/large non-GSO filings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>Note: Technical details will be provided in an annex.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>5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ab/>
        <w:t>Procedures on how to review Decision 482 with regard to processing complex/large non-GSO satellite filings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>5.1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ab/>
        <w:t>Procedure A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>Note: Not to be pursued as per Council Decision.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>5.2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ab/>
        <w:t>Procedure B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AU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>5.2.1</w:t>
      </w: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ab/>
        <w:t>Review/</w:t>
      </w: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>Examination of Procedure B relating to the cases of complex/large non-GSO satellite filings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Note: include statistics taking into account impact of Procedure </w:t>
      </w:r>
      <w:proofErr w:type="gramStart"/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>A</w:t>
      </w:r>
      <w:proofErr w:type="gramEnd"/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 in dealing with Procedure B (see request # 1 to the BR in Annex 2</w:t>
      </w: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 xml:space="preserve"> to Doc. </w:t>
      </w:r>
      <w:r w:rsidRPr="00611509">
        <w:rPr>
          <w:rFonts w:ascii="Calibri" w:eastAsia="SimSun" w:hAnsi="Calibri" w:cs="Times New Roman"/>
          <w:bCs/>
          <w:sz w:val="24"/>
          <w:szCs w:val="24"/>
          <w:lang w:val="de-CH" w:eastAsia="en-AU"/>
        </w:rPr>
        <w:t>EG-D482-1/8)</w:t>
      </w: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>.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AU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>5.2.2</w:t>
      </w: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ab/>
      </w: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Impact of complex/large non-GSO filings on the activities of the BR relating to processing of these filings 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AU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>Note: Validation, technical/regulatory examination, publication, etc.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>5.2.3</w:t>
      </w: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ab/>
        <w:t>Review of Cost Recovery fees for complex/large non-GSO satellite filings according to Procedure B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>5.3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ab/>
        <w:t>Procedure C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>5.3.1</w:t>
      </w: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ab/>
        <w:t>Review/</w:t>
      </w: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>Examination of Procedure C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AU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>5.3.2</w:t>
      </w: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ab/>
        <w:t>Major c</w:t>
      </w:r>
      <w:proofErr w:type="spellStart"/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>osts</w:t>
      </w:r>
      <w:proofErr w:type="spellEnd"/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 elements/factors in checking compliance with </w:t>
      </w:r>
      <w:proofErr w:type="spellStart"/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>epfd</w:t>
      </w:r>
      <w:proofErr w:type="spellEnd"/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 limits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>5.3.3</w:t>
      </w: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ab/>
        <w:t xml:space="preserve">Non-recurring and recurring costs associated with checking compliance with </w:t>
      </w:r>
      <w:proofErr w:type="spellStart"/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>epfd</w:t>
      </w:r>
      <w:proofErr w:type="spellEnd"/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 limits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>6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ab/>
        <w:t>Other considerations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>6.1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ab/>
        <w:t xml:space="preserve">Possible modification to certain RR provisions and associated </w:t>
      </w:r>
      <w:proofErr w:type="spellStart"/>
      <w:r w:rsidRPr="00611509">
        <w:rPr>
          <w:rFonts w:ascii="Calibri" w:eastAsia="SimSun" w:hAnsi="Calibri" w:cs="Times New Roman"/>
          <w:b/>
          <w:bCs/>
          <w:sz w:val="24"/>
          <w:szCs w:val="24"/>
          <w:lang w:val="en-GB" w:eastAsia="en-AU"/>
        </w:rPr>
        <w:t>RoP</w:t>
      </w:r>
      <w:proofErr w:type="spellEnd"/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 xml:space="preserve">Note: E.g. RR No. 4.1, </w:t>
      </w:r>
      <w:proofErr w:type="spellStart"/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>RoP</w:t>
      </w:r>
      <w:proofErr w:type="spellEnd"/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 xml:space="preserve"> relating to </w:t>
      </w:r>
      <w:proofErr w:type="spellStart"/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>receivability</w:t>
      </w:r>
      <w:proofErr w:type="spellEnd"/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>, etc.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 xml:space="preserve">Note: During the discussion on the review of Cost Recovery methodologies it was indicated that certain information is to be sought from/provided by the BR (see Annex 2 to Doc. </w:t>
      </w:r>
      <w:r w:rsidRPr="00611509">
        <w:rPr>
          <w:rFonts w:ascii="Calibri" w:eastAsia="SimSun" w:hAnsi="Calibri" w:cs="Times New Roman"/>
          <w:bCs/>
          <w:sz w:val="24"/>
          <w:szCs w:val="24"/>
          <w:lang w:val="de-CH" w:eastAsia="en-AU"/>
        </w:rPr>
        <w:t>EG-D482-1/8</w:t>
      </w:r>
      <w:r w:rsidRPr="00611509">
        <w:rPr>
          <w:rFonts w:ascii="Calibri" w:eastAsia="SimSun" w:hAnsi="Calibri" w:cs="Times New Roman"/>
          <w:sz w:val="24"/>
          <w:szCs w:val="24"/>
          <w:lang w:val="en-GB" w:eastAsia="en-AU"/>
        </w:rPr>
        <w:t xml:space="preserve">). 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  <w:lastRenderedPageBreak/>
        <w:t>7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  <w:tab/>
        <w:t>Recommended course of actions to the 2019 session of ITU Council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  <w:t>7.1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  <w:tab/>
        <w:t>Possible revision of Decision 482 with regard to complex/large non-GSO satellite filings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</w:pPr>
      <w:r w:rsidRPr="00611509"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  <w:t>7.2</w:t>
      </w:r>
      <w:r w:rsidRPr="00611509">
        <w:rPr>
          <w:rFonts w:ascii="Calibri" w:eastAsia="SimSun" w:hAnsi="Calibri" w:cs="Times New Roman"/>
          <w:b/>
          <w:bCs/>
          <w:sz w:val="24"/>
          <w:szCs w:val="24"/>
          <w:lang w:val="en-AU" w:eastAsia="en-AU"/>
        </w:rPr>
        <w:tab/>
        <w:t>To consider the need to further review Decision 482 based on WRC-19 decisions on associated technical/regulatory issues, if available</w:t>
      </w:r>
    </w:p>
    <w:p w:rsidR="00611509" w:rsidRPr="00611509" w:rsidRDefault="00611509" w:rsidP="00611509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611509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Note: The concept of § 7.2 may be included in the Chairman’s Report to Council 2019. </w:t>
      </w:r>
    </w:p>
    <w:p w:rsidR="0076002C" w:rsidRDefault="0076002C">
      <w:pPr>
        <w:rPr>
          <w:rFonts w:cstheme="majorBidi"/>
          <w:b/>
          <w:u w:val="single"/>
          <w:lang w:val="en-GB"/>
        </w:rPr>
      </w:pPr>
      <w:r>
        <w:rPr>
          <w:rFonts w:cstheme="majorBidi"/>
          <w:b/>
          <w:u w:val="single"/>
          <w:lang w:val="en-GB"/>
        </w:rPr>
        <w:br w:type="page"/>
      </w:r>
    </w:p>
    <w:p w:rsidR="0076002C" w:rsidRPr="0076002C" w:rsidRDefault="0076002C" w:rsidP="0076002C">
      <w:pPr>
        <w:spacing w:before="120" w:after="0" w:line="240" w:lineRule="auto"/>
        <w:jc w:val="center"/>
        <w:rPr>
          <w:rFonts w:ascii="Calibri" w:eastAsia="SimSun" w:hAnsi="Calibri" w:cs="Times New Roman"/>
          <w:b/>
          <w:sz w:val="28"/>
          <w:szCs w:val="32"/>
          <w:lang w:eastAsia="en-AU"/>
        </w:rPr>
      </w:pPr>
      <w:r w:rsidRPr="0076002C">
        <w:rPr>
          <w:rFonts w:ascii="Calibri" w:eastAsia="SimSun" w:hAnsi="Calibri" w:cs="Times New Roman"/>
          <w:b/>
          <w:sz w:val="28"/>
          <w:szCs w:val="32"/>
          <w:lang w:val="en-AU" w:eastAsia="en-AU"/>
        </w:rPr>
        <w:lastRenderedPageBreak/>
        <w:t>Annex 2</w:t>
      </w:r>
    </w:p>
    <w:p w:rsidR="0076002C" w:rsidRPr="0076002C" w:rsidRDefault="0076002C" w:rsidP="0076002C">
      <w:pPr>
        <w:snapToGrid w:val="0"/>
        <w:spacing w:before="240" w:after="0" w:line="240" w:lineRule="auto"/>
        <w:jc w:val="center"/>
        <w:rPr>
          <w:rFonts w:ascii="Calibri" w:eastAsia="SimSun" w:hAnsi="Calibri" w:cs="Times New Roman"/>
          <w:caps/>
          <w:sz w:val="28"/>
          <w:szCs w:val="28"/>
          <w:lang w:val="en-GB" w:eastAsia="en-AU"/>
        </w:rPr>
      </w:pPr>
      <w:r w:rsidRPr="0076002C">
        <w:rPr>
          <w:rFonts w:ascii="Calibri" w:eastAsia="SimSun" w:hAnsi="Calibri" w:cs="Times New Roman"/>
          <w:caps/>
          <w:sz w:val="28"/>
          <w:szCs w:val="28"/>
          <w:lang w:val="en-GB" w:eastAsia="en-AU"/>
        </w:rPr>
        <w:t>Requests to the Radiocommunication Bureau</w:t>
      </w:r>
    </w:p>
    <w:p w:rsidR="0076002C" w:rsidRPr="0076002C" w:rsidRDefault="0076002C" w:rsidP="0076002C">
      <w:pPr>
        <w:spacing w:after="0" w:line="240" w:lineRule="auto"/>
        <w:rPr>
          <w:rFonts w:ascii="Calibri" w:eastAsia="SimSun" w:hAnsi="Calibri" w:cs="Times New Roman"/>
          <w:sz w:val="24"/>
          <w:szCs w:val="24"/>
          <w:lang w:val="en-GB" w:eastAsia="en-AU"/>
        </w:rPr>
      </w:pPr>
    </w:p>
    <w:p w:rsidR="0076002C" w:rsidRPr="0076002C" w:rsidRDefault="0076002C" w:rsidP="0076002C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76002C">
        <w:rPr>
          <w:rFonts w:ascii="Calibri" w:eastAsia="SimSun" w:hAnsi="Calibri" w:cs="Times New Roman"/>
          <w:sz w:val="24"/>
          <w:szCs w:val="24"/>
          <w:lang w:val="en-GB" w:eastAsia="en-AU"/>
        </w:rPr>
        <w:t xml:space="preserve">Some of the items below could be included in the Report from the Expert Group </w:t>
      </w:r>
      <w:r w:rsidRPr="0076002C">
        <w:rPr>
          <w:rFonts w:ascii="Calibri" w:eastAsia="SimSun" w:hAnsi="Calibri" w:cs="Times New Roman"/>
          <w:bCs/>
          <w:sz w:val="24"/>
          <w:szCs w:val="24"/>
          <w:lang w:val="en-AU" w:eastAsia="en-AU"/>
        </w:rPr>
        <w:t xml:space="preserve">on Decision 482 </w:t>
      </w:r>
      <w:r w:rsidRPr="0076002C">
        <w:rPr>
          <w:rFonts w:ascii="Calibri" w:eastAsia="SimSun" w:hAnsi="Calibri" w:cs="Times New Roman"/>
          <w:sz w:val="24"/>
          <w:szCs w:val="24"/>
          <w:lang w:val="en-GB" w:eastAsia="en-AU"/>
        </w:rPr>
        <w:t xml:space="preserve">to Council 2019. </w:t>
      </w:r>
    </w:p>
    <w:p w:rsidR="0076002C" w:rsidRPr="0076002C" w:rsidRDefault="0076002C" w:rsidP="0076002C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</w:p>
    <w:p w:rsidR="0076002C" w:rsidRPr="0076002C" w:rsidRDefault="0076002C" w:rsidP="0076002C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AU" w:eastAsia="en-AU"/>
        </w:rPr>
      </w:pP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>1</w:t>
      </w: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ab/>
        <w:t xml:space="preserve">To provide to the next meeting of the </w:t>
      </w:r>
      <w:r w:rsidRPr="0076002C">
        <w:rPr>
          <w:rFonts w:ascii="Calibri" w:eastAsia="SimSun" w:hAnsi="Calibri" w:cs="Times New Roman"/>
          <w:sz w:val="24"/>
          <w:szCs w:val="24"/>
          <w:lang w:val="en-GB" w:eastAsia="en-AU"/>
        </w:rPr>
        <w:t>Expert Group</w:t>
      </w:r>
      <w:r w:rsidRPr="0076002C">
        <w:rPr>
          <w:rFonts w:ascii="Calibri" w:eastAsia="SimSun" w:hAnsi="Calibri" w:cs="Times New Roman"/>
          <w:b/>
          <w:sz w:val="28"/>
          <w:szCs w:val="32"/>
          <w:lang w:val="en-AU" w:eastAsia="en-AU"/>
        </w:rPr>
        <w:t xml:space="preserve"> </w:t>
      </w:r>
      <w:r w:rsidRPr="0076002C">
        <w:rPr>
          <w:rFonts w:ascii="Calibri" w:eastAsia="SimSun" w:hAnsi="Calibri" w:cs="Times New Roman"/>
          <w:bCs/>
          <w:sz w:val="24"/>
          <w:szCs w:val="24"/>
          <w:lang w:val="en-AU" w:eastAsia="en-AU"/>
        </w:rPr>
        <w:t>on Decision 482</w:t>
      </w: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>, to the extent possible, estimation of time spent by various categories of staff (G, P, D) in processing those top 5% complex/large non-GSO satellite filings.</w:t>
      </w:r>
      <w:r w:rsidR="00A951E4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 </w:t>
      </w:r>
      <w:r w:rsidR="00A951E4" w:rsidRPr="001F0C36">
        <w:rPr>
          <w:rFonts w:ascii="Calibri" w:eastAsia="SimSun" w:hAnsi="Calibri" w:cs="Times New Roman"/>
          <w:sz w:val="24"/>
          <w:szCs w:val="24"/>
          <w:lang w:val="en-AU" w:eastAsia="en-AU"/>
        </w:rPr>
        <w:t>It was noted that in order to fully take into account the information provided it would be beneficial to receive this input at least four weeks before the next meeting.</w:t>
      </w:r>
    </w:p>
    <w:p w:rsidR="0076002C" w:rsidRPr="0076002C" w:rsidRDefault="0076002C" w:rsidP="0076002C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AU" w:eastAsia="en-AU"/>
        </w:rPr>
      </w:pP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>2</w:t>
      </w: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ab/>
        <w:t xml:space="preserve">To report to the next meetings of the RRB on the progress achieved and consideration given by the </w:t>
      </w:r>
      <w:r w:rsidRPr="0076002C">
        <w:rPr>
          <w:rFonts w:ascii="Calibri" w:eastAsia="SimSun" w:hAnsi="Calibri" w:cs="Times New Roman"/>
          <w:sz w:val="24"/>
          <w:szCs w:val="24"/>
          <w:lang w:val="en-GB" w:eastAsia="en-AU"/>
        </w:rPr>
        <w:t>Expert Group</w:t>
      </w:r>
      <w:r w:rsidRPr="0076002C">
        <w:rPr>
          <w:rFonts w:ascii="Calibri" w:eastAsia="SimSun" w:hAnsi="Calibri" w:cs="Times New Roman"/>
          <w:b/>
          <w:sz w:val="24"/>
          <w:szCs w:val="24"/>
          <w:lang w:val="en-AU" w:eastAsia="en-AU"/>
        </w:rPr>
        <w:t xml:space="preserve"> </w:t>
      </w:r>
      <w:r w:rsidRPr="0076002C">
        <w:rPr>
          <w:rFonts w:ascii="Calibri" w:eastAsia="SimSun" w:hAnsi="Calibri" w:cs="Times New Roman"/>
          <w:bCs/>
          <w:sz w:val="24"/>
          <w:szCs w:val="24"/>
          <w:lang w:val="en-AU" w:eastAsia="en-AU"/>
        </w:rPr>
        <w:t xml:space="preserve">on Decision 482 </w:t>
      </w: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on the course of action to be taken by the RRB and the BR regarding amendments to certain </w:t>
      </w:r>
      <w:proofErr w:type="spellStart"/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>RoP</w:t>
      </w:r>
      <w:proofErr w:type="spellEnd"/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, such as </w:t>
      </w:r>
      <w:proofErr w:type="spellStart"/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>receivability</w:t>
      </w:r>
      <w:proofErr w:type="spellEnd"/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>, and RR No. 11.31 for the reduction and facilitation of the tasks performed by the BR.</w:t>
      </w:r>
    </w:p>
    <w:p w:rsidR="0076002C" w:rsidRPr="0076002C" w:rsidRDefault="0076002C" w:rsidP="0076002C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>3</w:t>
      </w: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ab/>
        <w:t>To enhance its software towards further automation of certain tasks currently manually performed with a view to reduce the time spent on processing of the above mentioned non-GSO satellite filings.</w:t>
      </w:r>
    </w:p>
    <w:p w:rsidR="0076002C" w:rsidRPr="0076002C" w:rsidRDefault="0076002C" w:rsidP="0076002C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GB" w:eastAsia="en-AU"/>
        </w:rPr>
      </w:pPr>
      <w:r w:rsidRPr="0076002C">
        <w:rPr>
          <w:rFonts w:ascii="Calibri" w:eastAsia="SimSun" w:hAnsi="Calibri" w:cs="Times New Roman"/>
          <w:sz w:val="24"/>
          <w:szCs w:val="24"/>
          <w:lang w:val="en-GB" w:eastAsia="en-AU"/>
        </w:rPr>
        <w:t>4</w:t>
      </w:r>
      <w:r w:rsidRPr="0076002C">
        <w:rPr>
          <w:rFonts w:ascii="Calibri" w:eastAsia="SimSun" w:hAnsi="Calibri" w:cs="Times New Roman"/>
          <w:sz w:val="24"/>
          <w:szCs w:val="24"/>
          <w:lang w:val="en-GB" w:eastAsia="en-AU"/>
        </w:rPr>
        <w:tab/>
        <w:t>To provide to CPM19-2 and WRC-19</w:t>
      </w:r>
      <w:r w:rsidRPr="0076002C">
        <w:rPr>
          <w:rFonts w:ascii="Calibri" w:eastAsia="SimSun" w:hAnsi="Calibri" w:cs="Times New Roman"/>
          <w:sz w:val="24"/>
          <w:szCs w:val="24"/>
          <w:u w:val="words"/>
          <w:lang w:val="en-GB" w:eastAsia="en-AU"/>
        </w:rPr>
        <w:t xml:space="preserve"> </w:t>
      </w:r>
      <w:r w:rsidRPr="0076002C">
        <w:rPr>
          <w:rFonts w:ascii="Calibri" w:eastAsia="SimSun" w:hAnsi="Calibri" w:cs="Times New Roman"/>
          <w:sz w:val="24"/>
          <w:szCs w:val="24"/>
          <w:lang w:val="en-GB" w:eastAsia="en-AU"/>
        </w:rPr>
        <w:t xml:space="preserve">consolidated documents relating to modifications to RR Appendix 4 as suggested by ITU-R and any additional information related to RR Appendix 4 data elements which facilitate the processing of </w:t>
      </w: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>complex/large non-GSO satellite filings.</w:t>
      </w:r>
    </w:p>
    <w:p w:rsidR="0076002C" w:rsidRPr="0076002C" w:rsidRDefault="0076002C" w:rsidP="0076002C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AU" w:eastAsia="en-AU"/>
        </w:rPr>
      </w:pPr>
      <w:r w:rsidRPr="0076002C">
        <w:rPr>
          <w:rFonts w:ascii="Calibri" w:eastAsia="SimSun" w:hAnsi="Calibri" w:cs="Times New Roman"/>
          <w:sz w:val="24"/>
          <w:szCs w:val="24"/>
          <w:lang w:val="en-GB" w:eastAsia="en-AU"/>
        </w:rPr>
        <w:t>5</w:t>
      </w:r>
      <w:r w:rsidRPr="0076002C">
        <w:rPr>
          <w:rFonts w:ascii="Calibri" w:eastAsia="SimSun" w:hAnsi="Calibri" w:cs="Times New Roman"/>
          <w:sz w:val="24"/>
          <w:szCs w:val="24"/>
          <w:lang w:val="en-GB" w:eastAsia="en-AU"/>
        </w:rPr>
        <w:tab/>
        <w:t xml:space="preserve">To review relevant provisions of the RR other than those mentioned in item 4 with a view to identify those provisions which could facilitate and reduce tasks and workload of the BR in processing </w:t>
      </w: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>complex/large non-GSO satellite filings.</w:t>
      </w:r>
    </w:p>
    <w:p w:rsidR="0076002C" w:rsidRPr="0076002C" w:rsidRDefault="0076002C" w:rsidP="0076002C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AU" w:eastAsia="en-AU"/>
        </w:rPr>
      </w:pPr>
    </w:p>
    <w:p w:rsidR="0076002C" w:rsidRPr="0076002C" w:rsidRDefault="0076002C" w:rsidP="0076002C">
      <w:pPr>
        <w:snapToGrid w:val="0"/>
        <w:spacing w:before="120" w:after="120" w:line="240" w:lineRule="auto"/>
        <w:jc w:val="both"/>
        <w:rPr>
          <w:rFonts w:ascii="Calibri" w:eastAsia="SimSun" w:hAnsi="Calibri" w:cs="Times New Roman"/>
          <w:sz w:val="24"/>
          <w:szCs w:val="24"/>
          <w:lang w:val="en-AU" w:eastAsia="en-AU"/>
        </w:rPr>
      </w:pP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Note: The membership of the </w:t>
      </w:r>
      <w:r w:rsidRPr="0076002C">
        <w:rPr>
          <w:rFonts w:ascii="Calibri" w:eastAsia="SimSun" w:hAnsi="Calibri" w:cs="Times New Roman"/>
          <w:sz w:val="24"/>
          <w:szCs w:val="24"/>
          <w:lang w:val="en-GB" w:eastAsia="en-AU"/>
        </w:rPr>
        <w:t>Expert Group</w:t>
      </w:r>
      <w:r w:rsidRPr="0076002C">
        <w:rPr>
          <w:rFonts w:ascii="Calibri" w:eastAsia="SimSun" w:hAnsi="Calibri" w:cs="Times New Roman"/>
          <w:b/>
          <w:sz w:val="24"/>
          <w:szCs w:val="24"/>
          <w:lang w:val="en-AU" w:eastAsia="en-AU"/>
        </w:rPr>
        <w:t xml:space="preserve"> </w:t>
      </w:r>
      <w:r w:rsidRPr="0076002C">
        <w:rPr>
          <w:rFonts w:ascii="Calibri" w:eastAsia="SimSun" w:hAnsi="Calibri" w:cs="Times New Roman"/>
          <w:bCs/>
          <w:sz w:val="24"/>
          <w:szCs w:val="24"/>
          <w:lang w:val="en-AU" w:eastAsia="en-AU"/>
        </w:rPr>
        <w:t>on Decision 482</w:t>
      </w:r>
      <w:r w:rsidRPr="0076002C">
        <w:rPr>
          <w:rFonts w:ascii="Calibri" w:eastAsia="SimSun" w:hAnsi="Calibri" w:cs="Times New Roman"/>
          <w:sz w:val="24"/>
          <w:szCs w:val="24"/>
          <w:lang w:val="en-AU" w:eastAsia="en-AU"/>
        </w:rPr>
        <w:t xml:space="preserve"> is invited to consider the items above with a view to contribute on those actions which may also facilitate the review of the Cost Recovery methodologies.</w:t>
      </w:r>
    </w:p>
    <w:p w:rsidR="00611509" w:rsidRPr="0076002C" w:rsidRDefault="00611509" w:rsidP="00611509">
      <w:pPr>
        <w:snapToGrid w:val="0"/>
        <w:spacing w:before="100" w:beforeAutospacing="1" w:after="100" w:afterAutospacing="1" w:line="240" w:lineRule="auto"/>
        <w:outlineLvl w:val="0"/>
        <w:rPr>
          <w:rFonts w:cstheme="majorBidi"/>
          <w:b/>
          <w:u w:val="single"/>
          <w:lang w:val="en-AU"/>
        </w:rPr>
      </w:pPr>
    </w:p>
    <w:p w:rsidR="00611509" w:rsidRDefault="00611509" w:rsidP="00611509">
      <w:pPr>
        <w:snapToGrid w:val="0"/>
        <w:spacing w:before="100" w:beforeAutospacing="1" w:after="100" w:afterAutospacing="1" w:line="240" w:lineRule="auto"/>
        <w:outlineLvl w:val="0"/>
        <w:rPr>
          <w:rFonts w:cstheme="majorBidi"/>
          <w:b/>
          <w:u w:val="single"/>
        </w:rPr>
      </w:pPr>
    </w:p>
    <w:p w:rsidR="00E57DBD" w:rsidRPr="00A15E31" w:rsidRDefault="00A009B8" w:rsidP="00A009B8">
      <w:pPr>
        <w:snapToGrid w:val="0"/>
        <w:spacing w:before="100" w:beforeAutospacing="1" w:after="100" w:afterAutospacing="1" w:line="240" w:lineRule="auto"/>
        <w:jc w:val="center"/>
        <w:outlineLvl w:val="0"/>
        <w:rPr>
          <w:rFonts w:cstheme="majorBidi"/>
          <w:b/>
          <w:u w:val="single"/>
        </w:rPr>
      </w:pPr>
      <w:r w:rsidRPr="00A15E31">
        <w:rPr>
          <w:rFonts w:cstheme="majorBidi"/>
          <w:b/>
          <w:u w:val="single"/>
        </w:rPr>
        <w:t>                                           </w:t>
      </w:r>
    </w:p>
    <w:sectPr w:rsidR="00E57DBD" w:rsidRPr="00A15E31" w:rsidSect="008B485E">
      <w:headerReference w:type="default" r:id="rId1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C5" w:rsidRDefault="00E77CC5" w:rsidP="008B485E">
      <w:pPr>
        <w:spacing w:after="0" w:line="240" w:lineRule="auto"/>
      </w:pPr>
      <w:r>
        <w:separator/>
      </w:r>
    </w:p>
  </w:endnote>
  <w:endnote w:type="continuationSeparator" w:id="0">
    <w:p w:rsidR="00E77CC5" w:rsidRDefault="00E77CC5" w:rsidP="008B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C5" w:rsidRDefault="00E77CC5" w:rsidP="008B485E">
      <w:pPr>
        <w:spacing w:after="0" w:line="240" w:lineRule="auto"/>
      </w:pPr>
      <w:r>
        <w:separator/>
      </w:r>
    </w:p>
  </w:footnote>
  <w:footnote w:type="continuationSeparator" w:id="0">
    <w:p w:rsidR="00E77CC5" w:rsidRDefault="00E77CC5" w:rsidP="008B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366" w:rsidRDefault="00823366" w:rsidP="008B485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5C37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966"/>
    <w:multiLevelType w:val="hybridMultilevel"/>
    <w:tmpl w:val="38B4ADBC"/>
    <w:lvl w:ilvl="0" w:tplc="D92E6EFE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12535"/>
    <w:multiLevelType w:val="hybridMultilevel"/>
    <w:tmpl w:val="6E7283C8"/>
    <w:lvl w:ilvl="0" w:tplc="F52AF7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75C77"/>
    <w:multiLevelType w:val="hybridMultilevel"/>
    <w:tmpl w:val="282C6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5199"/>
    <w:multiLevelType w:val="hybridMultilevel"/>
    <w:tmpl w:val="2AA0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4E08"/>
    <w:multiLevelType w:val="hybridMultilevel"/>
    <w:tmpl w:val="862C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3675"/>
    <w:multiLevelType w:val="hybridMultilevel"/>
    <w:tmpl w:val="E344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F254F"/>
    <w:multiLevelType w:val="multilevel"/>
    <w:tmpl w:val="E0CC7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3F80DFF"/>
    <w:multiLevelType w:val="multilevel"/>
    <w:tmpl w:val="68E4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37E6D"/>
    <w:multiLevelType w:val="hybridMultilevel"/>
    <w:tmpl w:val="F3E4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E2D72"/>
    <w:multiLevelType w:val="hybridMultilevel"/>
    <w:tmpl w:val="C2C0B542"/>
    <w:lvl w:ilvl="0" w:tplc="00B0B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FB039B"/>
    <w:multiLevelType w:val="hybridMultilevel"/>
    <w:tmpl w:val="ECEE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A40C1"/>
    <w:multiLevelType w:val="hybridMultilevel"/>
    <w:tmpl w:val="2EC2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F4D5D"/>
    <w:multiLevelType w:val="hybridMultilevel"/>
    <w:tmpl w:val="069CC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  <w:rPr>
        <w:rFonts w:hint="default"/>
      </w:rPr>
    </w:lvl>
  </w:abstractNum>
  <w:abstractNum w:abstractNumId="14" w15:restartNumberingAfterBreak="0">
    <w:nsid w:val="408A26CA"/>
    <w:multiLevelType w:val="hybridMultilevel"/>
    <w:tmpl w:val="8CBEC6F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AE"/>
    <w:multiLevelType w:val="hybridMultilevel"/>
    <w:tmpl w:val="38240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CC3337"/>
    <w:multiLevelType w:val="hybridMultilevel"/>
    <w:tmpl w:val="2266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195A"/>
    <w:multiLevelType w:val="hybridMultilevel"/>
    <w:tmpl w:val="98C0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E1C84"/>
    <w:multiLevelType w:val="hybridMultilevel"/>
    <w:tmpl w:val="FDA6914C"/>
    <w:lvl w:ilvl="0" w:tplc="ED40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871AA"/>
    <w:multiLevelType w:val="hybridMultilevel"/>
    <w:tmpl w:val="FF32D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E0BD2"/>
    <w:multiLevelType w:val="hybridMultilevel"/>
    <w:tmpl w:val="6ECA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21822"/>
    <w:multiLevelType w:val="hybridMultilevel"/>
    <w:tmpl w:val="B60C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43A1B"/>
    <w:multiLevelType w:val="hybridMultilevel"/>
    <w:tmpl w:val="99B6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37F"/>
    <w:multiLevelType w:val="hybridMultilevel"/>
    <w:tmpl w:val="A1E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A21BF"/>
    <w:multiLevelType w:val="hybridMultilevel"/>
    <w:tmpl w:val="70388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0"/>
  </w:num>
  <w:num w:numId="5">
    <w:abstractNumId w:val="0"/>
  </w:num>
  <w:num w:numId="6">
    <w:abstractNumId w:val="24"/>
  </w:num>
  <w:num w:numId="7">
    <w:abstractNumId w:val="2"/>
  </w:num>
  <w:num w:numId="8">
    <w:abstractNumId w:val="7"/>
  </w:num>
  <w:num w:numId="9">
    <w:abstractNumId w:val="6"/>
  </w:num>
  <w:num w:numId="10">
    <w:abstractNumId w:val="20"/>
  </w:num>
  <w:num w:numId="11">
    <w:abstractNumId w:val="11"/>
  </w:num>
  <w:num w:numId="12">
    <w:abstractNumId w:val="18"/>
  </w:num>
  <w:num w:numId="13">
    <w:abstractNumId w:val="21"/>
  </w:num>
  <w:num w:numId="14">
    <w:abstractNumId w:val="1"/>
  </w:num>
  <w:num w:numId="15">
    <w:abstractNumId w:val="22"/>
  </w:num>
  <w:num w:numId="16">
    <w:abstractNumId w:val="8"/>
  </w:num>
  <w:num w:numId="17">
    <w:abstractNumId w:val="15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23"/>
  </w:num>
  <w:num w:numId="22">
    <w:abstractNumId w:val="17"/>
  </w:num>
  <w:num w:numId="23">
    <w:abstractNumId w:val="10"/>
  </w:num>
  <w:num w:numId="24">
    <w:abstractNumId w:val="5"/>
  </w:num>
  <w:num w:numId="25">
    <w:abstractNumId w:val="3"/>
  </w:num>
  <w:num w:numId="26">
    <w:abstractNumId w:val="12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69"/>
    <w:rsid w:val="00001698"/>
    <w:rsid w:val="00001A0E"/>
    <w:rsid w:val="00001BC2"/>
    <w:rsid w:val="000027F1"/>
    <w:rsid w:val="00006E03"/>
    <w:rsid w:val="00012C0F"/>
    <w:rsid w:val="00015710"/>
    <w:rsid w:val="000169AD"/>
    <w:rsid w:val="00016AB1"/>
    <w:rsid w:val="000204D0"/>
    <w:rsid w:val="00023584"/>
    <w:rsid w:val="00025679"/>
    <w:rsid w:val="00026796"/>
    <w:rsid w:val="00026C48"/>
    <w:rsid w:val="00027968"/>
    <w:rsid w:val="000301A7"/>
    <w:rsid w:val="00030FA0"/>
    <w:rsid w:val="00033364"/>
    <w:rsid w:val="00037A92"/>
    <w:rsid w:val="00042CA1"/>
    <w:rsid w:val="0004388D"/>
    <w:rsid w:val="00045E52"/>
    <w:rsid w:val="00045FF9"/>
    <w:rsid w:val="00047DEC"/>
    <w:rsid w:val="000544D9"/>
    <w:rsid w:val="00054958"/>
    <w:rsid w:val="00054EF9"/>
    <w:rsid w:val="0005563F"/>
    <w:rsid w:val="00060CEC"/>
    <w:rsid w:val="00062518"/>
    <w:rsid w:val="000658EA"/>
    <w:rsid w:val="00066A06"/>
    <w:rsid w:val="000678D9"/>
    <w:rsid w:val="00072473"/>
    <w:rsid w:val="00073799"/>
    <w:rsid w:val="00074262"/>
    <w:rsid w:val="0007552F"/>
    <w:rsid w:val="000759F6"/>
    <w:rsid w:val="00082310"/>
    <w:rsid w:val="000861CB"/>
    <w:rsid w:val="00086662"/>
    <w:rsid w:val="00092052"/>
    <w:rsid w:val="00092AF4"/>
    <w:rsid w:val="00095735"/>
    <w:rsid w:val="00096EAD"/>
    <w:rsid w:val="00097B1F"/>
    <w:rsid w:val="000A0605"/>
    <w:rsid w:val="000A22CF"/>
    <w:rsid w:val="000A2562"/>
    <w:rsid w:val="000B1A86"/>
    <w:rsid w:val="000B2BF6"/>
    <w:rsid w:val="000B3D65"/>
    <w:rsid w:val="000B4144"/>
    <w:rsid w:val="000B4BE2"/>
    <w:rsid w:val="000B4D92"/>
    <w:rsid w:val="000C280A"/>
    <w:rsid w:val="000C58EB"/>
    <w:rsid w:val="000C74AF"/>
    <w:rsid w:val="000D1A5E"/>
    <w:rsid w:val="000D39BB"/>
    <w:rsid w:val="000E2711"/>
    <w:rsid w:val="000E3500"/>
    <w:rsid w:val="000E3FE5"/>
    <w:rsid w:val="000E59F2"/>
    <w:rsid w:val="000E5ABA"/>
    <w:rsid w:val="000E5FA0"/>
    <w:rsid w:val="000E63CD"/>
    <w:rsid w:val="000F0BF8"/>
    <w:rsid w:val="000F230B"/>
    <w:rsid w:val="000F3294"/>
    <w:rsid w:val="000F4ED1"/>
    <w:rsid w:val="00102023"/>
    <w:rsid w:val="001032B6"/>
    <w:rsid w:val="00103703"/>
    <w:rsid w:val="00104195"/>
    <w:rsid w:val="001048F3"/>
    <w:rsid w:val="00110A10"/>
    <w:rsid w:val="00110F46"/>
    <w:rsid w:val="001136BE"/>
    <w:rsid w:val="00114552"/>
    <w:rsid w:val="00115AE1"/>
    <w:rsid w:val="00115F5F"/>
    <w:rsid w:val="00125408"/>
    <w:rsid w:val="00132C7C"/>
    <w:rsid w:val="0013390F"/>
    <w:rsid w:val="00133AC3"/>
    <w:rsid w:val="00134257"/>
    <w:rsid w:val="0013580B"/>
    <w:rsid w:val="00136CF2"/>
    <w:rsid w:val="00141290"/>
    <w:rsid w:val="00142DBD"/>
    <w:rsid w:val="00143C74"/>
    <w:rsid w:val="00153183"/>
    <w:rsid w:val="001531D0"/>
    <w:rsid w:val="00155FBD"/>
    <w:rsid w:val="001604FB"/>
    <w:rsid w:val="00164E99"/>
    <w:rsid w:val="00166448"/>
    <w:rsid w:val="00170006"/>
    <w:rsid w:val="0017115C"/>
    <w:rsid w:val="00172B48"/>
    <w:rsid w:val="00177E24"/>
    <w:rsid w:val="00184D67"/>
    <w:rsid w:val="001925F0"/>
    <w:rsid w:val="00192AFF"/>
    <w:rsid w:val="00193B59"/>
    <w:rsid w:val="001954A4"/>
    <w:rsid w:val="001A0454"/>
    <w:rsid w:val="001A5C37"/>
    <w:rsid w:val="001A78DF"/>
    <w:rsid w:val="001B04F2"/>
    <w:rsid w:val="001B0C90"/>
    <w:rsid w:val="001B1546"/>
    <w:rsid w:val="001B2A25"/>
    <w:rsid w:val="001B2BF9"/>
    <w:rsid w:val="001B431A"/>
    <w:rsid w:val="001B64DC"/>
    <w:rsid w:val="001C0499"/>
    <w:rsid w:val="001C1297"/>
    <w:rsid w:val="001C13D1"/>
    <w:rsid w:val="001C25DC"/>
    <w:rsid w:val="001C51B9"/>
    <w:rsid w:val="001D0B2B"/>
    <w:rsid w:val="001D15D5"/>
    <w:rsid w:val="001D575F"/>
    <w:rsid w:val="001E0F68"/>
    <w:rsid w:val="001E1C03"/>
    <w:rsid w:val="001E3133"/>
    <w:rsid w:val="001E3984"/>
    <w:rsid w:val="001E45E8"/>
    <w:rsid w:val="001E5F42"/>
    <w:rsid w:val="001F1555"/>
    <w:rsid w:val="001F33AB"/>
    <w:rsid w:val="001F51D8"/>
    <w:rsid w:val="001F5480"/>
    <w:rsid w:val="001F5B49"/>
    <w:rsid w:val="001F6507"/>
    <w:rsid w:val="002042DD"/>
    <w:rsid w:val="002052DC"/>
    <w:rsid w:val="00210C9E"/>
    <w:rsid w:val="002124E1"/>
    <w:rsid w:val="00212D75"/>
    <w:rsid w:val="002141A7"/>
    <w:rsid w:val="00214562"/>
    <w:rsid w:val="00214B2A"/>
    <w:rsid w:val="00215BAA"/>
    <w:rsid w:val="00217B95"/>
    <w:rsid w:val="00222BC8"/>
    <w:rsid w:val="0022325A"/>
    <w:rsid w:val="00223B46"/>
    <w:rsid w:val="002240D9"/>
    <w:rsid w:val="00226EF8"/>
    <w:rsid w:val="00227385"/>
    <w:rsid w:val="0023019F"/>
    <w:rsid w:val="00230CBA"/>
    <w:rsid w:val="00234CA5"/>
    <w:rsid w:val="002361F1"/>
    <w:rsid w:val="00236FC9"/>
    <w:rsid w:val="00237857"/>
    <w:rsid w:val="00237DCE"/>
    <w:rsid w:val="002401B0"/>
    <w:rsid w:val="00242EC5"/>
    <w:rsid w:val="00243CDE"/>
    <w:rsid w:val="00247560"/>
    <w:rsid w:val="00247754"/>
    <w:rsid w:val="00254030"/>
    <w:rsid w:val="00255DA8"/>
    <w:rsid w:val="00261C30"/>
    <w:rsid w:val="00262C2C"/>
    <w:rsid w:val="002631C4"/>
    <w:rsid w:val="00265580"/>
    <w:rsid w:val="00266957"/>
    <w:rsid w:val="002679A9"/>
    <w:rsid w:val="002775E9"/>
    <w:rsid w:val="00277D19"/>
    <w:rsid w:val="002806D6"/>
    <w:rsid w:val="00280E7B"/>
    <w:rsid w:val="0028141E"/>
    <w:rsid w:val="00281466"/>
    <w:rsid w:val="002833C4"/>
    <w:rsid w:val="00286EF4"/>
    <w:rsid w:val="0029069A"/>
    <w:rsid w:val="00294182"/>
    <w:rsid w:val="00295B70"/>
    <w:rsid w:val="002A1718"/>
    <w:rsid w:val="002A185E"/>
    <w:rsid w:val="002A1AD9"/>
    <w:rsid w:val="002A43ED"/>
    <w:rsid w:val="002A6258"/>
    <w:rsid w:val="002A7F41"/>
    <w:rsid w:val="002B2430"/>
    <w:rsid w:val="002B565A"/>
    <w:rsid w:val="002B5896"/>
    <w:rsid w:val="002C0922"/>
    <w:rsid w:val="002C39C8"/>
    <w:rsid w:val="002C7891"/>
    <w:rsid w:val="002C7E24"/>
    <w:rsid w:val="002D2EA2"/>
    <w:rsid w:val="002D3D13"/>
    <w:rsid w:val="002D53C6"/>
    <w:rsid w:val="002E48E7"/>
    <w:rsid w:val="002E5DC2"/>
    <w:rsid w:val="002E76FF"/>
    <w:rsid w:val="002F2766"/>
    <w:rsid w:val="002F2928"/>
    <w:rsid w:val="002F5DB3"/>
    <w:rsid w:val="002F7A67"/>
    <w:rsid w:val="002F7D67"/>
    <w:rsid w:val="002F7E62"/>
    <w:rsid w:val="00300FAF"/>
    <w:rsid w:val="003013F5"/>
    <w:rsid w:val="00301C89"/>
    <w:rsid w:val="0031014E"/>
    <w:rsid w:val="0031111A"/>
    <w:rsid w:val="00311A69"/>
    <w:rsid w:val="00311E9D"/>
    <w:rsid w:val="003121D4"/>
    <w:rsid w:val="00312EE6"/>
    <w:rsid w:val="00314A28"/>
    <w:rsid w:val="00315BEA"/>
    <w:rsid w:val="00316FCF"/>
    <w:rsid w:val="00317B42"/>
    <w:rsid w:val="00320078"/>
    <w:rsid w:val="003212E7"/>
    <w:rsid w:val="00326D3A"/>
    <w:rsid w:val="003272FA"/>
    <w:rsid w:val="00335ECE"/>
    <w:rsid w:val="003376BC"/>
    <w:rsid w:val="00340F7C"/>
    <w:rsid w:val="0034303E"/>
    <w:rsid w:val="003502FC"/>
    <w:rsid w:val="00353C35"/>
    <w:rsid w:val="00353CC4"/>
    <w:rsid w:val="003543F3"/>
    <w:rsid w:val="003568D0"/>
    <w:rsid w:val="00360281"/>
    <w:rsid w:val="0036565A"/>
    <w:rsid w:val="00366FD4"/>
    <w:rsid w:val="003710B1"/>
    <w:rsid w:val="00371414"/>
    <w:rsid w:val="0037179C"/>
    <w:rsid w:val="00381A74"/>
    <w:rsid w:val="00381E84"/>
    <w:rsid w:val="0038489E"/>
    <w:rsid w:val="00390D21"/>
    <w:rsid w:val="0039120A"/>
    <w:rsid w:val="00393AB5"/>
    <w:rsid w:val="00393DFE"/>
    <w:rsid w:val="00396C5B"/>
    <w:rsid w:val="003A165E"/>
    <w:rsid w:val="003A3D60"/>
    <w:rsid w:val="003A5819"/>
    <w:rsid w:val="003A598E"/>
    <w:rsid w:val="003A7B47"/>
    <w:rsid w:val="003B03BB"/>
    <w:rsid w:val="003B1DE8"/>
    <w:rsid w:val="003B3322"/>
    <w:rsid w:val="003B3348"/>
    <w:rsid w:val="003B381C"/>
    <w:rsid w:val="003B613E"/>
    <w:rsid w:val="003B6424"/>
    <w:rsid w:val="003B6B31"/>
    <w:rsid w:val="003B6FD8"/>
    <w:rsid w:val="003C012E"/>
    <w:rsid w:val="003C1A75"/>
    <w:rsid w:val="003C2A4C"/>
    <w:rsid w:val="003C7452"/>
    <w:rsid w:val="003D06D3"/>
    <w:rsid w:val="003D17A5"/>
    <w:rsid w:val="003D2408"/>
    <w:rsid w:val="003D4DE5"/>
    <w:rsid w:val="003D51CD"/>
    <w:rsid w:val="003E052A"/>
    <w:rsid w:val="003E0711"/>
    <w:rsid w:val="003E075B"/>
    <w:rsid w:val="003E1242"/>
    <w:rsid w:val="003E224A"/>
    <w:rsid w:val="003E716D"/>
    <w:rsid w:val="003F1810"/>
    <w:rsid w:val="003F278A"/>
    <w:rsid w:val="003F280F"/>
    <w:rsid w:val="003F3503"/>
    <w:rsid w:val="003F5159"/>
    <w:rsid w:val="00401EE3"/>
    <w:rsid w:val="0040584A"/>
    <w:rsid w:val="004059D8"/>
    <w:rsid w:val="00411FD1"/>
    <w:rsid w:val="0041508A"/>
    <w:rsid w:val="004176A6"/>
    <w:rsid w:val="00421D98"/>
    <w:rsid w:val="00424B2E"/>
    <w:rsid w:val="004252EC"/>
    <w:rsid w:val="004255D8"/>
    <w:rsid w:val="00425F4B"/>
    <w:rsid w:val="00426019"/>
    <w:rsid w:val="004269A4"/>
    <w:rsid w:val="00426B40"/>
    <w:rsid w:val="00427670"/>
    <w:rsid w:val="00433CC8"/>
    <w:rsid w:val="00435D13"/>
    <w:rsid w:val="0044026F"/>
    <w:rsid w:val="0044420F"/>
    <w:rsid w:val="00450EDB"/>
    <w:rsid w:val="004521FD"/>
    <w:rsid w:val="00454BFC"/>
    <w:rsid w:val="004634E0"/>
    <w:rsid w:val="00465379"/>
    <w:rsid w:val="004655D4"/>
    <w:rsid w:val="0047369C"/>
    <w:rsid w:val="0047711F"/>
    <w:rsid w:val="0047741B"/>
    <w:rsid w:val="00477ADC"/>
    <w:rsid w:val="004817D8"/>
    <w:rsid w:val="00482359"/>
    <w:rsid w:val="00482E53"/>
    <w:rsid w:val="004842F3"/>
    <w:rsid w:val="0048500D"/>
    <w:rsid w:val="004852C5"/>
    <w:rsid w:val="00490026"/>
    <w:rsid w:val="0049021E"/>
    <w:rsid w:val="00497D16"/>
    <w:rsid w:val="004A2C78"/>
    <w:rsid w:val="004A3A56"/>
    <w:rsid w:val="004A4C7B"/>
    <w:rsid w:val="004A72E8"/>
    <w:rsid w:val="004A7E35"/>
    <w:rsid w:val="004B1B00"/>
    <w:rsid w:val="004B2AB5"/>
    <w:rsid w:val="004B3945"/>
    <w:rsid w:val="004B5875"/>
    <w:rsid w:val="004B6DC3"/>
    <w:rsid w:val="004C0AF6"/>
    <w:rsid w:val="004C142A"/>
    <w:rsid w:val="004C25DB"/>
    <w:rsid w:val="004C262C"/>
    <w:rsid w:val="004C4617"/>
    <w:rsid w:val="004C4B8A"/>
    <w:rsid w:val="004C540A"/>
    <w:rsid w:val="004C54C9"/>
    <w:rsid w:val="004C599C"/>
    <w:rsid w:val="004D1CC6"/>
    <w:rsid w:val="004D46E5"/>
    <w:rsid w:val="004D514F"/>
    <w:rsid w:val="004D7491"/>
    <w:rsid w:val="004D7EDA"/>
    <w:rsid w:val="004E0509"/>
    <w:rsid w:val="004E1136"/>
    <w:rsid w:val="004E1BE7"/>
    <w:rsid w:val="004E2FC1"/>
    <w:rsid w:val="004E507B"/>
    <w:rsid w:val="004F1DB4"/>
    <w:rsid w:val="004F2296"/>
    <w:rsid w:val="004F3198"/>
    <w:rsid w:val="004F5F59"/>
    <w:rsid w:val="004F6B0A"/>
    <w:rsid w:val="004F6E92"/>
    <w:rsid w:val="004F76D2"/>
    <w:rsid w:val="00500740"/>
    <w:rsid w:val="00506775"/>
    <w:rsid w:val="005105E4"/>
    <w:rsid w:val="00510A96"/>
    <w:rsid w:val="005130C8"/>
    <w:rsid w:val="00514430"/>
    <w:rsid w:val="005152C1"/>
    <w:rsid w:val="00515D1C"/>
    <w:rsid w:val="0052022F"/>
    <w:rsid w:val="00521D08"/>
    <w:rsid w:val="00523937"/>
    <w:rsid w:val="00525414"/>
    <w:rsid w:val="005272C9"/>
    <w:rsid w:val="00532211"/>
    <w:rsid w:val="00533C3E"/>
    <w:rsid w:val="00533D3B"/>
    <w:rsid w:val="00534849"/>
    <w:rsid w:val="0054066A"/>
    <w:rsid w:val="005408C0"/>
    <w:rsid w:val="00542B26"/>
    <w:rsid w:val="0054763D"/>
    <w:rsid w:val="00550086"/>
    <w:rsid w:val="00550B46"/>
    <w:rsid w:val="005516CB"/>
    <w:rsid w:val="0055263C"/>
    <w:rsid w:val="005529A2"/>
    <w:rsid w:val="00553F28"/>
    <w:rsid w:val="00555ED4"/>
    <w:rsid w:val="005565BF"/>
    <w:rsid w:val="00560241"/>
    <w:rsid w:val="00564200"/>
    <w:rsid w:val="00572E5B"/>
    <w:rsid w:val="00574A1C"/>
    <w:rsid w:val="005771C8"/>
    <w:rsid w:val="00580230"/>
    <w:rsid w:val="0058309E"/>
    <w:rsid w:val="00583161"/>
    <w:rsid w:val="005848CA"/>
    <w:rsid w:val="00584D5F"/>
    <w:rsid w:val="005940B0"/>
    <w:rsid w:val="00594CE9"/>
    <w:rsid w:val="00595FDF"/>
    <w:rsid w:val="005969C2"/>
    <w:rsid w:val="005974E2"/>
    <w:rsid w:val="005A13CD"/>
    <w:rsid w:val="005A447C"/>
    <w:rsid w:val="005A56F9"/>
    <w:rsid w:val="005B1CED"/>
    <w:rsid w:val="005B77E8"/>
    <w:rsid w:val="005C0B53"/>
    <w:rsid w:val="005C1346"/>
    <w:rsid w:val="005C264F"/>
    <w:rsid w:val="005C53D5"/>
    <w:rsid w:val="005C693B"/>
    <w:rsid w:val="005C6AA2"/>
    <w:rsid w:val="005D02E2"/>
    <w:rsid w:val="005D2D07"/>
    <w:rsid w:val="005D5386"/>
    <w:rsid w:val="005D723F"/>
    <w:rsid w:val="005E24D7"/>
    <w:rsid w:val="005E77CF"/>
    <w:rsid w:val="005F0544"/>
    <w:rsid w:val="005F1138"/>
    <w:rsid w:val="005F2BF7"/>
    <w:rsid w:val="005F3A2B"/>
    <w:rsid w:val="005F3B6F"/>
    <w:rsid w:val="005F6457"/>
    <w:rsid w:val="005F6A3D"/>
    <w:rsid w:val="005F760B"/>
    <w:rsid w:val="0060198C"/>
    <w:rsid w:val="00601B70"/>
    <w:rsid w:val="00602309"/>
    <w:rsid w:val="00602CD5"/>
    <w:rsid w:val="006064D0"/>
    <w:rsid w:val="00606DF2"/>
    <w:rsid w:val="00611509"/>
    <w:rsid w:val="00611B7F"/>
    <w:rsid w:val="0061421E"/>
    <w:rsid w:val="00614585"/>
    <w:rsid w:val="0061519E"/>
    <w:rsid w:val="006158BE"/>
    <w:rsid w:val="006166E8"/>
    <w:rsid w:val="00617C10"/>
    <w:rsid w:val="00626FF2"/>
    <w:rsid w:val="00627F3F"/>
    <w:rsid w:val="00630164"/>
    <w:rsid w:val="00630525"/>
    <w:rsid w:val="00637C6E"/>
    <w:rsid w:val="00643651"/>
    <w:rsid w:val="00645975"/>
    <w:rsid w:val="00646BD3"/>
    <w:rsid w:val="006520CD"/>
    <w:rsid w:val="006540F6"/>
    <w:rsid w:val="00654ECB"/>
    <w:rsid w:val="00660555"/>
    <w:rsid w:val="00661515"/>
    <w:rsid w:val="00663226"/>
    <w:rsid w:val="00666347"/>
    <w:rsid w:val="006666FA"/>
    <w:rsid w:val="0067148B"/>
    <w:rsid w:val="006733CA"/>
    <w:rsid w:val="00673F73"/>
    <w:rsid w:val="00676203"/>
    <w:rsid w:val="00683C5F"/>
    <w:rsid w:val="00685972"/>
    <w:rsid w:val="006862A2"/>
    <w:rsid w:val="00690434"/>
    <w:rsid w:val="00693F43"/>
    <w:rsid w:val="006953C2"/>
    <w:rsid w:val="0069556D"/>
    <w:rsid w:val="00697B57"/>
    <w:rsid w:val="006A1BD4"/>
    <w:rsid w:val="006A2CB7"/>
    <w:rsid w:val="006A4EC3"/>
    <w:rsid w:val="006A5844"/>
    <w:rsid w:val="006A655A"/>
    <w:rsid w:val="006B5EDF"/>
    <w:rsid w:val="006C2A7F"/>
    <w:rsid w:val="006C4D00"/>
    <w:rsid w:val="006C6048"/>
    <w:rsid w:val="006D0D4C"/>
    <w:rsid w:val="006D0FCE"/>
    <w:rsid w:val="006D263B"/>
    <w:rsid w:val="006D3D77"/>
    <w:rsid w:val="006D6442"/>
    <w:rsid w:val="006E3639"/>
    <w:rsid w:val="006E4056"/>
    <w:rsid w:val="006E7285"/>
    <w:rsid w:val="006E7DE8"/>
    <w:rsid w:val="006E7F60"/>
    <w:rsid w:val="006F03C0"/>
    <w:rsid w:val="006F3AA0"/>
    <w:rsid w:val="006F3B0D"/>
    <w:rsid w:val="006F706F"/>
    <w:rsid w:val="006F76D9"/>
    <w:rsid w:val="006F791E"/>
    <w:rsid w:val="006F799F"/>
    <w:rsid w:val="006F7C9C"/>
    <w:rsid w:val="00700148"/>
    <w:rsid w:val="00700B9C"/>
    <w:rsid w:val="00706F2A"/>
    <w:rsid w:val="00711499"/>
    <w:rsid w:val="00711969"/>
    <w:rsid w:val="007123D8"/>
    <w:rsid w:val="007152D9"/>
    <w:rsid w:val="00715808"/>
    <w:rsid w:val="00715F53"/>
    <w:rsid w:val="00720B6A"/>
    <w:rsid w:val="00724D2A"/>
    <w:rsid w:val="00725724"/>
    <w:rsid w:val="00726E59"/>
    <w:rsid w:val="00726ED7"/>
    <w:rsid w:val="0072750A"/>
    <w:rsid w:val="007325AD"/>
    <w:rsid w:val="00733E85"/>
    <w:rsid w:val="00735713"/>
    <w:rsid w:val="00737E38"/>
    <w:rsid w:val="007401FE"/>
    <w:rsid w:val="00741101"/>
    <w:rsid w:val="00741EA9"/>
    <w:rsid w:val="00745391"/>
    <w:rsid w:val="00753839"/>
    <w:rsid w:val="0075759F"/>
    <w:rsid w:val="0076002C"/>
    <w:rsid w:val="00762A2B"/>
    <w:rsid w:val="00764F02"/>
    <w:rsid w:val="00766714"/>
    <w:rsid w:val="007705E8"/>
    <w:rsid w:val="007712AA"/>
    <w:rsid w:val="00771463"/>
    <w:rsid w:val="00772983"/>
    <w:rsid w:val="00774EA3"/>
    <w:rsid w:val="0078105C"/>
    <w:rsid w:val="00785CC0"/>
    <w:rsid w:val="00785DFF"/>
    <w:rsid w:val="00790473"/>
    <w:rsid w:val="00790510"/>
    <w:rsid w:val="00792409"/>
    <w:rsid w:val="00793EB6"/>
    <w:rsid w:val="007974DD"/>
    <w:rsid w:val="007A139D"/>
    <w:rsid w:val="007A189B"/>
    <w:rsid w:val="007A28B1"/>
    <w:rsid w:val="007A3885"/>
    <w:rsid w:val="007A48FF"/>
    <w:rsid w:val="007A6F4E"/>
    <w:rsid w:val="007A7332"/>
    <w:rsid w:val="007A7D6D"/>
    <w:rsid w:val="007B1597"/>
    <w:rsid w:val="007B3F2A"/>
    <w:rsid w:val="007B565B"/>
    <w:rsid w:val="007C1313"/>
    <w:rsid w:val="007C2E73"/>
    <w:rsid w:val="007C7DE1"/>
    <w:rsid w:val="007D2202"/>
    <w:rsid w:val="007D5EA4"/>
    <w:rsid w:val="007D67D0"/>
    <w:rsid w:val="007E5AF3"/>
    <w:rsid w:val="007E78AC"/>
    <w:rsid w:val="007F0BD6"/>
    <w:rsid w:val="007F1801"/>
    <w:rsid w:val="007F3873"/>
    <w:rsid w:val="007F4B37"/>
    <w:rsid w:val="007F7E90"/>
    <w:rsid w:val="00803455"/>
    <w:rsid w:val="00804308"/>
    <w:rsid w:val="0080647D"/>
    <w:rsid w:val="00806F63"/>
    <w:rsid w:val="0080702C"/>
    <w:rsid w:val="00807EFC"/>
    <w:rsid w:val="008117E0"/>
    <w:rsid w:val="0081665C"/>
    <w:rsid w:val="00816B50"/>
    <w:rsid w:val="00816D4B"/>
    <w:rsid w:val="008176D2"/>
    <w:rsid w:val="00817E2A"/>
    <w:rsid w:val="008209A7"/>
    <w:rsid w:val="00822535"/>
    <w:rsid w:val="00823366"/>
    <w:rsid w:val="0082493B"/>
    <w:rsid w:val="00825826"/>
    <w:rsid w:val="008312F4"/>
    <w:rsid w:val="00831D82"/>
    <w:rsid w:val="008326BD"/>
    <w:rsid w:val="00836991"/>
    <w:rsid w:val="00840440"/>
    <w:rsid w:val="00840DBF"/>
    <w:rsid w:val="00842B45"/>
    <w:rsid w:val="008431DE"/>
    <w:rsid w:val="00843BB3"/>
    <w:rsid w:val="00845A2E"/>
    <w:rsid w:val="00845E58"/>
    <w:rsid w:val="00852885"/>
    <w:rsid w:val="00852CDA"/>
    <w:rsid w:val="00853267"/>
    <w:rsid w:val="00853829"/>
    <w:rsid w:val="008574CE"/>
    <w:rsid w:val="008614E1"/>
    <w:rsid w:val="008619F9"/>
    <w:rsid w:val="00861D94"/>
    <w:rsid w:val="00861EB6"/>
    <w:rsid w:val="00863B94"/>
    <w:rsid w:val="008645E2"/>
    <w:rsid w:val="00867E0A"/>
    <w:rsid w:val="00873FCD"/>
    <w:rsid w:val="00877A83"/>
    <w:rsid w:val="00880DF8"/>
    <w:rsid w:val="0088167C"/>
    <w:rsid w:val="00882375"/>
    <w:rsid w:val="008835EC"/>
    <w:rsid w:val="00883D0E"/>
    <w:rsid w:val="0088561C"/>
    <w:rsid w:val="008876C8"/>
    <w:rsid w:val="00897CCC"/>
    <w:rsid w:val="008A3350"/>
    <w:rsid w:val="008A70CB"/>
    <w:rsid w:val="008A7BF6"/>
    <w:rsid w:val="008B0DED"/>
    <w:rsid w:val="008B3F75"/>
    <w:rsid w:val="008B485E"/>
    <w:rsid w:val="008B528B"/>
    <w:rsid w:val="008B7A59"/>
    <w:rsid w:val="008C6009"/>
    <w:rsid w:val="008D1D3C"/>
    <w:rsid w:val="008D2EC9"/>
    <w:rsid w:val="008D345E"/>
    <w:rsid w:val="008D3BFC"/>
    <w:rsid w:val="008D3D21"/>
    <w:rsid w:val="008D4B25"/>
    <w:rsid w:val="008D7A87"/>
    <w:rsid w:val="008E05D9"/>
    <w:rsid w:val="008E24F9"/>
    <w:rsid w:val="008E5003"/>
    <w:rsid w:val="008E5909"/>
    <w:rsid w:val="008F2C0D"/>
    <w:rsid w:val="008F6CB6"/>
    <w:rsid w:val="008F7353"/>
    <w:rsid w:val="00900847"/>
    <w:rsid w:val="009033E1"/>
    <w:rsid w:val="00903CDE"/>
    <w:rsid w:val="009051B4"/>
    <w:rsid w:val="0091007F"/>
    <w:rsid w:val="009103CC"/>
    <w:rsid w:val="0091063C"/>
    <w:rsid w:val="00911E8F"/>
    <w:rsid w:val="00913975"/>
    <w:rsid w:val="00914BB4"/>
    <w:rsid w:val="00915657"/>
    <w:rsid w:val="0092208A"/>
    <w:rsid w:val="00922A26"/>
    <w:rsid w:val="009240DB"/>
    <w:rsid w:val="0092453E"/>
    <w:rsid w:val="0092460A"/>
    <w:rsid w:val="00926083"/>
    <w:rsid w:val="009314B7"/>
    <w:rsid w:val="00935FD7"/>
    <w:rsid w:val="00937BC5"/>
    <w:rsid w:val="00942215"/>
    <w:rsid w:val="00942C45"/>
    <w:rsid w:val="009433A7"/>
    <w:rsid w:val="00944CD4"/>
    <w:rsid w:val="009528C6"/>
    <w:rsid w:val="00954B46"/>
    <w:rsid w:val="00956B60"/>
    <w:rsid w:val="009570E5"/>
    <w:rsid w:val="009616CF"/>
    <w:rsid w:val="00965821"/>
    <w:rsid w:val="0096593E"/>
    <w:rsid w:val="00967AB2"/>
    <w:rsid w:val="00967D54"/>
    <w:rsid w:val="00970201"/>
    <w:rsid w:val="009751AE"/>
    <w:rsid w:val="00975ACD"/>
    <w:rsid w:val="009A00DD"/>
    <w:rsid w:val="009A2A50"/>
    <w:rsid w:val="009A3711"/>
    <w:rsid w:val="009A39FB"/>
    <w:rsid w:val="009B01FA"/>
    <w:rsid w:val="009B2088"/>
    <w:rsid w:val="009B65D9"/>
    <w:rsid w:val="009B7470"/>
    <w:rsid w:val="009C3E63"/>
    <w:rsid w:val="009C4EEB"/>
    <w:rsid w:val="009C6960"/>
    <w:rsid w:val="009D2312"/>
    <w:rsid w:val="009D4985"/>
    <w:rsid w:val="009D4D92"/>
    <w:rsid w:val="009E280B"/>
    <w:rsid w:val="009E2A38"/>
    <w:rsid w:val="009E6DD2"/>
    <w:rsid w:val="009F13AA"/>
    <w:rsid w:val="009F1C27"/>
    <w:rsid w:val="009F2907"/>
    <w:rsid w:val="009F3A78"/>
    <w:rsid w:val="009F5F08"/>
    <w:rsid w:val="00A009B8"/>
    <w:rsid w:val="00A01B31"/>
    <w:rsid w:val="00A03097"/>
    <w:rsid w:val="00A066F0"/>
    <w:rsid w:val="00A06BB7"/>
    <w:rsid w:val="00A12832"/>
    <w:rsid w:val="00A1522A"/>
    <w:rsid w:val="00A15E31"/>
    <w:rsid w:val="00A208B3"/>
    <w:rsid w:val="00A210A1"/>
    <w:rsid w:val="00A2192A"/>
    <w:rsid w:val="00A221EB"/>
    <w:rsid w:val="00A2291D"/>
    <w:rsid w:val="00A22C32"/>
    <w:rsid w:val="00A237CA"/>
    <w:rsid w:val="00A25277"/>
    <w:rsid w:val="00A26B24"/>
    <w:rsid w:val="00A31785"/>
    <w:rsid w:val="00A319A9"/>
    <w:rsid w:val="00A3367F"/>
    <w:rsid w:val="00A33DC7"/>
    <w:rsid w:val="00A4025A"/>
    <w:rsid w:val="00A42D3A"/>
    <w:rsid w:val="00A43E33"/>
    <w:rsid w:val="00A46C4C"/>
    <w:rsid w:val="00A46D3A"/>
    <w:rsid w:val="00A50422"/>
    <w:rsid w:val="00A5042E"/>
    <w:rsid w:val="00A50873"/>
    <w:rsid w:val="00A517B5"/>
    <w:rsid w:val="00A56336"/>
    <w:rsid w:val="00A56916"/>
    <w:rsid w:val="00A605A0"/>
    <w:rsid w:val="00A61F04"/>
    <w:rsid w:val="00A62079"/>
    <w:rsid w:val="00A625D4"/>
    <w:rsid w:val="00A6277C"/>
    <w:rsid w:val="00A65743"/>
    <w:rsid w:val="00A65A95"/>
    <w:rsid w:val="00A679CE"/>
    <w:rsid w:val="00A67B22"/>
    <w:rsid w:val="00A722E5"/>
    <w:rsid w:val="00A72D0B"/>
    <w:rsid w:val="00A75FF7"/>
    <w:rsid w:val="00A7665F"/>
    <w:rsid w:val="00A803E4"/>
    <w:rsid w:val="00A85CCD"/>
    <w:rsid w:val="00A86213"/>
    <w:rsid w:val="00A92B44"/>
    <w:rsid w:val="00A935B5"/>
    <w:rsid w:val="00A951E4"/>
    <w:rsid w:val="00A95942"/>
    <w:rsid w:val="00A95CE2"/>
    <w:rsid w:val="00A979B6"/>
    <w:rsid w:val="00AA337B"/>
    <w:rsid w:val="00AA4BC9"/>
    <w:rsid w:val="00AA5282"/>
    <w:rsid w:val="00AA5A69"/>
    <w:rsid w:val="00AB0512"/>
    <w:rsid w:val="00AB09C0"/>
    <w:rsid w:val="00AB2C06"/>
    <w:rsid w:val="00AB3BC1"/>
    <w:rsid w:val="00AB3C4F"/>
    <w:rsid w:val="00AB5EAD"/>
    <w:rsid w:val="00AB6FF3"/>
    <w:rsid w:val="00AB778A"/>
    <w:rsid w:val="00AC3A34"/>
    <w:rsid w:val="00AC7266"/>
    <w:rsid w:val="00AD0FFF"/>
    <w:rsid w:val="00AD304A"/>
    <w:rsid w:val="00AD3EE8"/>
    <w:rsid w:val="00AD4014"/>
    <w:rsid w:val="00AD5658"/>
    <w:rsid w:val="00AD5D9D"/>
    <w:rsid w:val="00AD7401"/>
    <w:rsid w:val="00AD7CF1"/>
    <w:rsid w:val="00AE4819"/>
    <w:rsid w:val="00AE48EC"/>
    <w:rsid w:val="00AE55D6"/>
    <w:rsid w:val="00AF387B"/>
    <w:rsid w:val="00AF3B58"/>
    <w:rsid w:val="00B00A4F"/>
    <w:rsid w:val="00B079DB"/>
    <w:rsid w:val="00B106D3"/>
    <w:rsid w:val="00B11018"/>
    <w:rsid w:val="00B21C0D"/>
    <w:rsid w:val="00B23930"/>
    <w:rsid w:val="00B24124"/>
    <w:rsid w:val="00B25B79"/>
    <w:rsid w:val="00B27360"/>
    <w:rsid w:val="00B310B5"/>
    <w:rsid w:val="00B32EF7"/>
    <w:rsid w:val="00B332F2"/>
    <w:rsid w:val="00B40FC4"/>
    <w:rsid w:val="00B42716"/>
    <w:rsid w:val="00B456FA"/>
    <w:rsid w:val="00B4747C"/>
    <w:rsid w:val="00B50B2E"/>
    <w:rsid w:val="00B54DCD"/>
    <w:rsid w:val="00B56475"/>
    <w:rsid w:val="00B5769A"/>
    <w:rsid w:val="00B57828"/>
    <w:rsid w:val="00B57C4D"/>
    <w:rsid w:val="00B60017"/>
    <w:rsid w:val="00B63F88"/>
    <w:rsid w:val="00B63FC5"/>
    <w:rsid w:val="00B66233"/>
    <w:rsid w:val="00B70637"/>
    <w:rsid w:val="00B7283C"/>
    <w:rsid w:val="00B7416F"/>
    <w:rsid w:val="00B751C0"/>
    <w:rsid w:val="00B76D8B"/>
    <w:rsid w:val="00B770B6"/>
    <w:rsid w:val="00B81940"/>
    <w:rsid w:val="00B84970"/>
    <w:rsid w:val="00B851AE"/>
    <w:rsid w:val="00B94A7B"/>
    <w:rsid w:val="00B97811"/>
    <w:rsid w:val="00BA0A95"/>
    <w:rsid w:val="00BA1AAB"/>
    <w:rsid w:val="00BA483B"/>
    <w:rsid w:val="00BA4BD5"/>
    <w:rsid w:val="00BA5310"/>
    <w:rsid w:val="00BA6B44"/>
    <w:rsid w:val="00BA7D38"/>
    <w:rsid w:val="00BB23EE"/>
    <w:rsid w:val="00BB4C87"/>
    <w:rsid w:val="00BB5655"/>
    <w:rsid w:val="00BB6D8C"/>
    <w:rsid w:val="00BC38C0"/>
    <w:rsid w:val="00BC3B2C"/>
    <w:rsid w:val="00BC496D"/>
    <w:rsid w:val="00BD2C76"/>
    <w:rsid w:val="00BD324C"/>
    <w:rsid w:val="00BD3963"/>
    <w:rsid w:val="00BD53CB"/>
    <w:rsid w:val="00BD57CD"/>
    <w:rsid w:val="00BD7335"/>
    <w:rsid w:val="00BE24CC"/>
    <w:rsid w:val="00BE3F2B"/>
    <w:rsid w:val="00BE7612"/>
    <w:rsid w:val="00BF28C8"/>
    <w:rsid w:val="00BF34D8"/>
    <w:rsid w:val="00BF4A27"/>
    <w:rsid w:val="00BF5AB7"/>
    <w:rsid w:val="00BF62D4"/>
    <w:rsid w:val="00C01837"/>
    <w:rsid w:val="00C03750"/>
    <w:rsid w:val="00C12AFF"/>
    <w:rsid w:val="00C1432C"/>
    <w:rsid w:val="00C15E2B"/>
    <w:rsid w:val="00C1659C"/>
    <w:rsid w:val="00C207A8"/>
    <w:rsid w:val="00C241BB"/>
    <w:rsid w:val="00C24BAD"/>
    <w:rsid w:val="00C30BAD"/>
    <w:rsid w:val="00C3193F"/>
    <w:rsid w:val="00C3507C"/>
    <w:rsid w:val="00C36B10"/>
    <w:rsid w:val="00C36D09"/>
    <w:rsid w:val="00C37E08"/>
    <w:rsid w:val="00C37EE6"/>
    <w:rsid w:val="00C42379"/>
    <w:rsid w:val="00C426F3"/>
    <w:rsid w:val="00C44679"/>
    <w:rsid w:val="00C453EC"/>
    <w:rsid w:val="00C462DA"/>
    <w:rsid w:val="00C50079"/>
    <w:rsid w:val="00C502C7"/>
    <w:rsid w:val="00C51C79"/>
    <w:rsid w:val="00C543BA"/>
    <w:rsid w:val="00C547D8"/>
    <w:rsid w:val="00C55872"/>
    <w:rsid w:val="00C569A6"/>
    <w:rsid w:val="00C57012"/>
    <w:rsid w:val="00C62BA2"/>
    <w:rsid w:val="00C65AFC"/>
    <w:rsid w:val="00C70B13"/>
    <w:rsid w:val="00C71D82"/>
    <w:rsid w:val="00C7385B"/>
    <w:rsid w:val="00C8287E"/>
    <w:rsid w:val="00C82EC3"/>
    <w:rsid w:val="00C836F5"/>
    <w:rsid w:val="00C85594"/>
    <w:rsid w:val="00C90B8C"/>
    <w:rsid w:val="00C917A4"/>
    <w:rsid w:val="00C926D6"/>
    <w:rsid w:val="00C92B51"/>
    <w:rsid w:val="00C92E9B"/>
    <w:rsid w:val="00C930D6"/>
    <w:rsid w:val="00CA3AD7"/>
    <w:rsid w:val="00CA3DCF"/>
    <w:rsid w:val="00CA4E66"/>
    <w:rsid w:val="00CB06B7"/>
    <w:rsid w:val="00CB2A7D"/>
    <w:rsid w:val="00CC143C"/>
    <w:rsid w:val="00CC27D1"/>
    <w:rsid w:val="00CC3AE1"/>
    <w:rsid w:val="00CC7471"/>
    <w:rsid w:val="00CD003A"/>
    <w:rsid w:val="00CD0ABA"/>
    <w:rsid w:val="00CD2CC0"/>
    <w:rsid w:val="00CD3247"/>
    <w:rsid w:val="00CD5A07"/>
    <w:rsid w:val="00CD6379"/>
    <w:rsid w:val="00CD6444"/>
    <w:rsid w:val="00CD702F"/>
    <w:rsid w:val="00CD741E"/>
    <w:rsid w:val="00CE317F"/>
    <w:rsid w:val="00CE465E"/>
    <w:rsid w:val="00CE4CC4"/>
    <w:rsid w:val="00CE56B3"/>
    <w:rsid w:val="00CF07B7"/>
    <w:rsid w:val="00D01F62"/>
    <w:rsid w:val="00D03302"/>
    <w:rsid w:val="00D03A2B"/>
    <w:rsid w:val="00D05B26"/>
    <w:rsid w:val="00D10583"/>
    <w:rsid w:val="00D13B43"/>
    <w:rsid w:val="00D1452C"/>
    <w:rsid w:val="00D15A7A"/>
    <w:rsid w:val="00D20350"/>
    <w:rsid w:val="00D2130F"/>
    <w:rsid w:val="00D216A0"/>
    <w:rsid w:val="00D218B3"/>
    <w:rsid w:val="00D22ABC"/>
    <w:rsid w:val="00D231E2"/>
    <w:rsid w:val="00D23FD1"/>
    <w:rsid w:val="00D301A3"/>
    <w:rsid w:val="00D30AEA"/>
    <w:rsid w:val="00D3450E"/>
    <w:rsid w:val="00D36790"/>
    <w:rsid w:val="00D4067C"/>
    <w:rsid w:val="00D475A4"/>
    <w:rsid w:val="00D47FEE"/>
    <w:rsid w:val="00D50638"/>
    <w:rsid w:val="00D50FAC"/>
    <w:rsid w:val="00D5509F"/>
    <w:rsid w:val="00D605D7"/>
    <w:rsid w:val="00D64AF1"/>
    <w:rsid w:val="00D65517"/>
    <w:rsid w:val="00D7104D"/>
    <w:rsid w:val="00D76AAA"/>
    <w:rsid w:val="00D77E9B"/>
    <w:rsid w:val="00D77EEE"/>
    <w:rsid w:val="00D805C4"/>
    <w:rsid w:val="00D8099A"/>
    <w:rsid w:val="00D8485D"/>
    <w:rsid w:val="00D851DD"/>
    <w:rsid w:val="00D85482"/>
    <w:rsid w:val="00D87F67"/>
    <w:rsid w:val="00D9271D"/>
    <w:rsid w:val="00D94C33"/>
    <w:rsid w:val="00D9547C"/>
    <w:rsid w:val="00DA0B72"/>
    <w:rsid w:val="00DA1AAA"/>
    <w:rsid w:val="00DA2FED"/>
    <w:rsid w:val="00DA3DCE"/>
    <w:rsid w:val="00DA4002"/>
    <w:rsid w:val="00DA4B71"/>
    <w:rsid w:val="00DB45D8"/>
    <w:rsid w:val="00DB5C6B"/>
    <w:rsid w:val="00DB73ED"/>
    <w:rsid w:val="00DC0FBE"/>
    <w:rsid w:val="00DC344E"/>
    <w:rsid w:val="00DC458F"/>
    <w:rsid w:val="00DC5514"/>
    <w:rsid w:val="00DC5FA5"/>
    <w:rsid w:val="00DD21D1"/>
    <w:rsid w:val="00DD596F"/>
    <w:rsid w:val="00DD7369"/>
    <w:rsid w:val="00DE7549"/>
    <w:rsid w:val="00DF03DB"/>
    <w:rsid w:val="00DF5643"/>
    <w:rsid w:val="00DF669D"/>
    <w:rsid w:val="00E01015"/>
    <w:rsid w:val="00E017AB"/>
    <w:rsid w:val="00E02228"/>
    <w:rsid w:val="00E02549"/>
    <w:rsid w:val="00E05A27"/>
    <w:rsid w:val="00E05DAB"/>
    <w:rsid w:val="00E07A81"/>
    <w:rsid w:val="00E128C6"/>
    <w:rsid w:val="00E153F0"/>
    <w:rsid w:val="00E15DAD"/>
    <w:rsid w:val="00E17980"/>
    <w:rsid w:val="00E209C2"/>
    <w:rsid w:val="00E22EA9"/>
    <w:rsid w:val="00E24715"/>
    <w:rsid w:val="00E24C5B"/>
    <w:rsid w:val="00E2509E"/>
    <w:rsid w:val="00E25F2D"/>
    <w:rsid w:val="00E279E1"/>
    <w:rsid w:val="00E30B2E"/>
    <w:rsid w:val="00E31D1F"/>
    <w:rsid w:val="00E327CB"/>
    <w:rsid w:val="00E32E01"/>
    <w:rsid w:val="00E347E7"/>
    <w:rsid w:val="00E36A73"/>
    <w:rsid w:val="00E47077"/>
    <w:rsid w:val="00E4749F"/>
    <w:rsid w:val="00E47694"/>
    <w:rsid w:val="00E53BFE"/>
    <w:rsid w:val="00E5599B"/>
    <w:rsid w:val="00E57321"/>
    <w:rsid w:val="00E57DBD"/>
    <w:rsid w:val="00E606AF"/>
    <w:rsid w:val="00E61A85"/>
    <w:rsid w:val="00E64590"/>
    <w:rsid w:val="00E671EB"/>
    <w:rsid w:val="00E705B1"/>
    <w:rsid w:val="00E710B5"/>
    <w:rsid w:val="00E7368C"/>
    <w:rsid w:val="00E755E5"/>
    <w:rsid w:val="00E76E85"/>
    <w:rsid w:val="00E77CC5"/>
    <w:rsid w:val="00E82EB5"/>
    <w:rsid w:val="00E844BF"/>
    <w:rsid w:val="00E852EF"/>
    <w:rsid w:val="00E921C7"/>
    <w:rsid w:val="00E9239A"/>
    <w:rsid w:val="00E95365"/>
    <w:rsid w:val="00E95D72"/>
    <w:rsid w:val="00E97D41"/>
    <w:rsid w:val="00EA3863"/>
    <w:rsid w:val="00EA4489"/>
    <w:rsid w:val="00EA7B11"/>
    <w:rsid w:val="00EB38AB"/>
    <w:rsid w:val="00EB4898"/>
    <w:rsid w:val="00EB6FCF"/>
    <w:rsid w:val="00EC11C8"/>
    <w:rsid w:val="00EC4A34"/>
    <w:rsid w:val="00EC56CE"/>
    <w:rsid w:val="00EC57A3"/>
    <w:rsid w:val="00EC6D95"/>
    <w:rsid w:val="00ED04EA"/>
    <w:rsid w:val="00ED2E87"/>
    <w:rsid w:val="00ED2F68"/>
    <w:rsid w:val="00ED3662"/>
    <w:rsid w:val="00EE00C4"/>
    <w:rsid w:val="00EE023C"/>
    <w:rsid w:val="00EE16CD"/>
    <w:rsid w:val="00EE1E95"/>
    <w:rsid w:val="00EE28A4"/>
    <w:rsid w:val="00EE2F2D"/>
    <w:rsid w:val="00EE2F58"/>
    <w:rsid w:val="00EF5C0D"/>
    <w:rsid w:val="00F0267C"/>
    <w:rsid w:val="00F05959"/>
    <w:rsid w:val="00F10B44"/>
    <w:rsid w:val="00F12BB7"/>
    <w:rsid w:val="00F13309"/>
    <w:rsid w:val="00F13C83"/>
    <w:rsid w:val="00F16331"/>
    <w:rsid w:val="00F172C5"/>
    <w:rsid w:val="00F21350"/>
    <w:rsid w:val="00F235E9"/>
    <w:rsid w:val="00F23924"/>
    <w:rsid w:val="00F24051"/>
    <w:rsid w:val="00F261AB"/>
    <w:rsid w:val="00F27787"/>
    <w:rsid w:val="00F41950"/>
    <w:rsid w:val="00F42500"/>
    <w:rsid w:val="00F44D6E"/>
    <w:rsid w:val="00F465CD"/>
    <w:rsid w:val="00F53149"/>
    <w:rsid w:val="00F55061"/>
    <w:rsid w:val="00F55503"/>
    <w:rsid w:val="00F5669D"/>
    <w:rsid w:val="00F6002A"/>
    <w:rsid w:val="00F603DC"/>
    <w:rsid w:val="00F61B8C"/>
    <w:rsid w:val="00F629F5"/>
    <w:rsid w:val="00F63D33"/>
    <w:rsid w:val="00F64B40"/>
    <w:rsid w:val="00F7190B"/>
    <w:rsid w:val="00F7278E"/>
    <w:rsid w:val="00F77C44"/>
    <w:rsid w:val="00F80B4A"/>
    <w:rsid w:val="00F80D81"/>
    <w:rsid w:val="00F85B44"/>
    <w:rsid w:val="00F91C39"/>
    <w:rsid w:val="00F95214"/>
    <w:rsid w:val="00F96736"/>
    <w:rsid w:val="00FA28B8"/>
    <w:rsid w:val="00FA34B0"/>
    <w:rsid w:val="00FB0DFC"/>
    <w:rsid w:val="00FB1019"/>
    <w:rsid w:val="00FB1CB4"/>
    <w:rsid w:val="00FB21D0"/>
    <w:rsid w:val="00FB30EB"/>
    <w:rsid w:val="00FB5949"/>
    <w:rsid w:val="00FB6BA3"/>
    <w:rsid w:val="00FC3003"/>
    <w:rsid w:val="00FC366A"/>
    <w:rsid w:val="00FC6A46"/>
    <w:rsid w:val="00FD01D1"/>
    <w:rsid w:val="00FE198F"/>
    <w:rsid w:val="00FE2220"/>
    <w:rsid w:val="00FE3CB1"/>
    <w:rsid w:val="00FE6901"/>
    <w:rsid w:val="00FF4841"/>
    <w:rsid w:val="00FF5148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BD48D-469F-41EB-AD16-0F53FC6A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1">
    <w:name w:val="Title 1"/>
    <w:basedOn w:val="Normal"/>
    <w:next w:val="Normal"/>
    <w:rsid w:val="0005495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character" w:styleId="Hyperlink">
    <w:name w:val="Hyperlink"/>
    <w:rsid w:val="000027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4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419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5E"/>
  </w:style>
  <w:style w:type="paragraph" w:styleId="Footer">
    <w:name w:val="footer"/>
    <w:basedOn w:val="Normal"/>
    <w:link w:val="FooterChar"/>
    <w:uiPriority w:val="99"/>
    <w:unhideWhenUsed/>
    <w:rsid w:val="008B4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5E"/>
  </w:style>
  <w:style w:type="character" w:styleId="CommentReference">
    <w:name w:val="annotation reference"/>
    <w:basedOn w:val="DefaultParagraphFont"/>
    <w:uiPriority w:val="99"/>
    <w:semiHidden/>
    <w:unhideWhenUsed/>
    <w:rsid w:val="00CB2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A7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749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5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5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5594"/>
    <w:rPr>
      <w:vertAlign w:val="superscript"/>
    </w:rPr>
  </w:style>
  <w:style w:type="paragraph" w:styleId="Revision">
    <w:name w:val="Revision"/>
    <w:hidden/>
    <w:uiPriority w:val="99"/>
    <w:semiHidden/>
    <w:rsid w:val="003D5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8-EGD482-C-0004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EGD482-C-0003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EGD482-C-000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EGD482-C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EGD482-C-0007/en" TargetMode="External"/><Relationship Id="rId10" Type="http://schemas.openxmlformats.org/officeDocument/2006/relationships/hyperlink" Target="https://www.itu.int/md/S18-EGD482-C-0001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EGD482-C-0001/en" TargetMode="External"/><Relationship Id="rId14" Type="http://schemas.openxmlformats.org/officeDocument/2006/relationships/hyperlink" Target="https://www.itu.int/md/S18-EGD482-C-000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9E94-4C8A-4DA4-BA4B-686EB740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2580</Words>
  <Characters>14712</Characters>
  <Application>Microsoft Office Word</Application>
  <DocSecurity>0</DocSecurity>
  <Lines>122</Lines>
  <Paragraphs>34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Final report of the EG-ITRs</vt:lpstr>
      <vt:lpstr>Final report of the EG-ITRs</vt:lpstr>
      <vt:lpstr>Final report of the EG-ITRs</vt:lpstr>
      <vt:lpstr>Final report of the EG-ITRs</vt:lpstr>
    </vt:vector>
  </TitlesOfParts>
  <Company>ITU</Company>
  <LinksUpToDate>false</LinksUpToDate>
  <CharactersWithSpaces>17258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of the EG-ITRs</dc:title>
  <dc:subject>Meeting document</dc:subject>
  <dc:creator>Brouard, Ricarda</dc:creator>
  <cp:keywords>EG-ITRs</cp:keywords>
  <dc:description/>
  <cp:lastModifiedBy>Brouard, Ricarda</cp:lastModifiedBy>
  <cp:revision>4</cp:revision>
  <dcterms:created xsi:type="dcterms:W3CDTF">2018-11-28T12:25:00Z</dcterms:created>
  <dcterms:modified xsi:type="dcterms:W3CDTF">2018-11-28T15:59:00Z</dcterms:modified>
</cp:coreProperties>
</file>