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Ind w:w="-115" w:type="dxa"/>
        <w:tblLayout w:type="fixed"/>
        <w:tblLook w:val="0000" w:firstRow="0" w:lastRow="0" w:firstColumn="0" w:lastColumn="0" w:noHBand="0" w:noVBand="0"/>
      </w:tblPr>
      <w:tblGrid>
        <w:gridCol w:w="6487"/>
        <w:gridCol w:w="3544"/>
      </w:tblGrid>
      <w:tr w:rsidR="00BB3930" w14:paraId="18C18FFD" w14:textId="77777777" w:rsidTr="00455F45">
        <w:tc>
          <w:tcPr>
            <w:tcW w:w="6487" w:type="dxa"/>
            <w:vAlign w:val="center"/>
          </w:tcPr>
          <w:p w14:paraId="26C9F890" w14:textId="77777777" w:rsidR="00C6524C" w:rsidRPr="00BF4B40" w:rsidRDefault="00C6524C" w:rsidP="00C6524C">
            <w:pPr>
              <w:spacing w:before="240" w:after="48"/>
              <w:rPr>
                <w:b/>
                <w:position w:val="6"/>
                <w:sz w:val="30"/>
                <w:szCs w:val="30"/>
                <w:lang w:val="en-US" w:eastAsia="zh-CN"/>
              </w:rPr>
            </w:pPr>
            <w:r w:rsidRPr="00BF4B40">
              <w:rPr>
                <w:b/>
                <w:position w:val="6"/>
                <w:sz w:val="30"/>
                <w:szCs w:val="30"/>
                <w:lang w:val="en-US" w:eastAsia="zh-CN"/>
              </w:rPr>
              <w:t xml:space="preserve">Council </w:t>
            </w:r>
            <w:r>
              <w:rPr>
                <w:b/>
                <w:position w:val="6"/>
                <w:sz w:val="30"/>
                <w:szCs w:val="30"/>
                <w:lang w:val="en-US" w:eastAsia="zh-CN"/>
              </w:rPr>
              <w:t>Expert Group on</w:t>
            </w:r>
            <w:r>
              <w:rPr>
                <w:b/>
                <w:position w:val="6"/>
                <w:sz w:val="30"/>
                <w:szCs w:val="30"/>
                <w:lang w:val="en-US" w:eastAsia="zh-CN"/>
              </w:rPr>
              <w:br/>
              <w:t>Council Decision 482</w:t>
            </w:r>
          </w:p>
          <w:p w14:paraId="5657ED79" w14:textId="2D516E1A" w:rsidR="00BB3930" w:rsidRDefault="00C6524C" w:rsidP="00C6524C">
            <w:pPr>
              <w:pStyle w:val="Normal1"/>
              <w:adjustRightInd w:val="0"/>
              <w:snapToGrid w:val="0"/>
              <w:spacing w:before="0"/>
            </w:pPr>
            <w:r>
              <w:rPr>
                <w:rFonts w:cs="Times New Roman Bold"/>
                <w:b/>
                <w:lang w:val="en-US" w:eastAsia="zh-CN"/>
              </w:rPr>
              <w:t xml:space="preserve">First </w:t>
            </w:r>
            <w:r w:rsidRPr="00BF4B40">
              <w:rPr>
                <w:rFonts w:cs="Times New Roman Bold"/>
                <w:b/>
                <w:lang w:val="en-US" w:eastAsia="zh-CN"/>
              </w:rPr>
              <w:t xml:space="preserve">meeting </w:t>
            </w:r>
            <w:r w:rsidRPr="00BF4B40">
              <w:rPr>
                <w:b/>
                <w:lang w:val="en-US" w:eastAsia="zh-CN"/>
              </w:rPr>
              <w:t>–</w:t>
            </w:r>
            <w:r w:rsidRPr="00BF4B40">
              <w:rPr>
                <w:rFonts w:cs="Times New Roman Bold"/>
                <w:b/>
                <w:lang w:val="en-US" w:eastAsia="zh-CN"/>
              </w:rPr>
              <w:t xml:space="preserve"> Geneva, </w:t>
            </w:r>
            <w:r>
              <w:rPr>
                <w:rFonts w:cs="Times New Roman Bold"/>
                <w:b/>
                <w:lang w:val="en-US" w:eastAsia="zh-CN"/>
              </w:rPr>
              <w:t>27-28 September 2018</w:t>
            </w:r>
          </w:p>
        </w:tc>
        <w:tc>
          <w:tcPr>
            <w:tcW w:w="3544" w:type="dxa"/>
          </w:tcPr>
          <w:p w14:paraId="063E2296" w14:textId="77777777" w:rsidR="00BB3930" w:rsidRDefault="00BB3930" w:rsidP="00455F45">
            <w:pPr>
              <w:pStyle w:val="Normal1"/>
              <w:spacing w:before="0"/>
            </w:pPr>
            <w:bookmarkStart w:id="0" w:name="h.30j0zll" w:colFirst="0" w:colLast="0"/>
            <w:bookmarkEnd w:id="0"/>
            <w:r>
              <w:rPr>
                <w:noProof/>
                <w:lang w:val="en-US" w:eastAsia="zh-CN"/>
              </w:rPr>
              <w:drawing>
                <wp:inline distT="0" distB="0" distL="0" distR="0" wp14:anchorId="7D1AAAAA" wp14:editId="031233B9">
                  <wp:extent cx="1760220" cy="74676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cstate="print"/>
                          <a:srcRect/>
                          <a:stretch>
                            <a:fillRect/>
                          </a:stretch>
                        </pic:blipFill>
                        <pic:spPr>
                          <a:xfrm>
                            <a:off x="0" y="0"/>
                            <a:ext cx="1760220" cy="746760"/>
                          </a:xfrm>
                          <a:prstGeom prst="rect">
                            <a:avLst/>
                          </a:prstGeom>
                          <a:ln/>
                        </pic:spPr>
                      </pic:pic>
                    </a:graphicData>
                  </a:graphic>
                </wp:inline>
              </w:drawing>
            </w:r>
          </w:p>
        </w:tc>
      </w:tr>
      <w:tr w:rsidR="00BB3930" w14:paraId="167C2925" w14:textId="77777777" w:rsidTr="00455F45">
        <w:tc>
          <w:tcPr>
            <w:tcW w:w="6487" w:type="dxa"/>
            <w:tcBorders>
              <w:bottom w:val="single" w:sz="12" w:space="0" w:color="000000"/>
            </w:tcBorders>
          </w:tcPr>
          <w:p w14:paraId="54BD98ED" w14:textId="27F9A15B" w:rsidR="00BB3930" w:rsidRDefault="00BB3930" w:rsidP="00A51A38">
            <w:pPr>
              <w:pStyle w:val="Normal1"/>
              <w:spacing w:before="0"/>
            </w:pPr>
          </w:p>
        </w:tc>
        <w:tc>
          <w:tcPr>
            <w:tcW w:w="3544" w:type="dxa"/>
            <w:tcBorders>
              <w:bottom w:val="single" w:sz="12" w:space="0" w:color="000000"/>
            </w:tcBorders>
          </w:tcPr>
          <w:p w14:paraId="08A0A8E6" w14:textId="77777777" w:rsidR="00BB3930" w:rsidRDefault="00BB3930" w:rsidP="00455F45">
            <w:pPr>
              <w:pStyle w:val="Normal1"/>
              <w:spacing w:before="0"/>
            </w:pPr>
          </w:p>
        </w:tc>
      </w:tr>
      <w:tr w:rsidR="00BB3930" w14:paraId="0AB71FFF" w14:textId="77777777" w:rsidTr="00455F45">
        <w:tc>
          <w:tcPr>
            <w:tcW w:w="6487" w:type="dxa"/>
            <w:tcBorders>
              <w:top w:val="single" w:sz="12" w:space="0" w:color="000000"/>
            </w:tcBorders>
          </w:tcPr>
          <w:p w14:paraId="34431CA6" w14:textId="77777777" w:rsidR="00BB3930" w:rsidRDefault="00BB3930" w:rsidP="00455F45">
            <w:pPr>
              <w:pStyle w:val="Normal1"/>
              <w:spacing w:before="0"/>
            </w:pPr>
          </w:p>
        </w:tc>
        <w:tc>
          <w:tcPr>
            <w:tcW w:w="3544" w:type="dxa"/>
            <w:tcBorders>
              <w:top w:val="single" w:sz="12" w:space="0" w:color="000000"/>
            </w:tcBorders>
          </w:tcPr>
          <w:p w14:paraId="0DAEEC97" w14:textId="77777777" w:rsidR="00BB3930" w:rsidRDefault="00BB3930" w:rsidP="00455F45">
            <w:pPr>
              <w:pStyle w:val="Normal1"/>
              <w:spacing w:before="0"/>
            </w:pPr>
          </w:p>
        </w:tc>
      </w:tr>
      <w:tr w:rsidR="00BB3930" w:rsidRPr="00C92D46" w14:paraId="33DF6FA4" w14:textId="77777777" w:rsidTr="00455F45">
        <w:trPr>
          <w:trHeight w:val="20"/>
        </w:trPr>
        <w:tc>
          <w:tcPr>
            <w:tcW w:w="6487" w:type="dxa"/>
            <w:vMerge w:val="restart"/>
          </w:tcPr>
          <w:p w14:paraId="2E532386" w14:textId="77777777" w:rsidR="00BB3930" w:rsidRDefault="00BB3930" w:rsidP="00455F45">
            <w:pPr>
              <w:pStyle w:val="Normal1"/>
              <w:tabs>
                <w:tab w:val="left" w:pos="851"/>
              </w:tabs>
              <w:spacing w:before="0"/>
            </w:pPr>
          </w:p>
        </w:tc>
        <w:tc>
          <w:tcPr>
            <w:tcW w:w="3544" w:type="dxa"/>
          </w:tcPr>
          <w:p w14:paraId="468693C3" w14:textId="3026258A" w:rsidR="00BB3930" w:rsidRPr="009C58F8" w:rsidRDefault="00C6524C" w:rsidP="009C58F8">
            <w:pPr>
              <w:pStyle w:val="Normal1"/>
              <w:tabs>
                <w:tab w:val="left" w:pos="851"/>
              </w:tabs>
              <w:rPr>
                <w:lang w:val="es-ES"/>
              </w:rPr>
            </w:pPr>
            <w:r w:rsidRPr="000A33FA">
              <w:rPr>
                <w:b/>
                <w:lang w:val="de-CH"/>
              </w:rPr>
              <w:t xml:space="preserve">Document </w:t>
            </w:r>
            <w:r w:rsidR="00067AEE">
              <w:rPr>
                <w:b/>
                <w:lang w:val="de-CH"/>
              </w:rPr>
              <w:t>EG-D482-1/5</w:t>
            </w:r>
            <w:bookmarkStart w:id="1" w:name="_GoBack"/>
            <w:bookmarkEnd w:id="1"/>
            <w:r>
              <w:rPr>
                <w:b/>
                <w:lang w:val="de-CH"/>
              </w:rPr>
              <w:t>-E</w:t>
            </w:r>
          </w:p>
        </w:tc>
      </w:tr>
      <w:tr w:rsidR="00BB3930" w14:paraId="291290D4" w14:textId="77777777" w:rsidTr="00455F45">
        <w:trPr>
          <w:trHeight w:val="20"/>
        </w:trPr>
        <w:tc>
          <w:tcPr>
            <w:tcW w:w="6487" w:type="dxa"/>
            <w:vMerge/>
          </w:tcPr>
          <w:p w14:paraId="1DCAAB37" w14:textId="77777777" w:rsidR="00BB3930" w:rsidRPr="009C58F8" w:rsidRDefault="00BB3930" w:rsidP="00455F45">
            <w:pPr>
              <w:pStyle w:val="Normal1"/>
              <w:tabs>
                <w:tab w:val="left" w:pos="851"/>
              </w:tabs>
              <w:rPr>
                <w:lang w:val="es-ES"/>
              </w:rPr>
            </w:pPr>
          </w:p>
        </w:tc>
        <w:tc>
          <w:tcPr>
            <w:tcW w:w="3544" w:type="dxa"/>
          </w:tcPr>
          <w:p w14:paraId="03171F25" w14:textId="41E948B1" w:rsidR="00BB3930" w:rsidRDefault="00C6524C" w:rsidP="002234B3">
            <w:pPr>
              <w:pStyle w:val="Normal1"/>
              <w:tabs>
                <w:tab w:val="left" w:pos="993"/>
              </w:tabs>
              <w:spacing w:before="0"/>
            </w:pPr>
            <w:r>
              <w:rPr>
                <w:b/>
              </w:rPr>
              <w:t>2</w:t>
            </w:r>
            <w:r w:rsidR="00A51A38">
              <w:rPr>
                <w:b/>
              </w:rPr>
              <w:t xml:space="preserve">5 September </w:t>
            </w:r>
            <w:r w:rsidR="00EE79D6">
              <w:rPr>
                <w:b/>
              </w:rPr>
              <w:t>2018</w:t>
            </w:r>
          </w:p>
        </w:tc>
      </w:tr>
      <w:tr w:rsidR="00BB3930" w14:paraId="457F2DD6" w14:textId="77777777" w:rsidTr="00455F45">
        <w:trPr>
          <w:trHeight w:val="20"/>
        </w:trPr>
        <w:tc>
          <w:tcPr>
            <w:tcW w:w="6487" w:type="dxa"/>
            <w:vMerge/>
          </w:tcPr>
          <w:p w14:paraId="484AEC4F" w14:textId="77777777" w:rsidR="00BB3930" w:rsidRDefault="00BB3930" w:rsidP="00455F45">
            <w:pPr>
              <w:pStyle w:val="Normal1"/>
              <w:tabs>
                <w:tab w:val="left" w:pos="851"/>
              </w:tabs>
            </w:pPr>
          </w:p>
        </w:tc>
        <w:tc>
          <w:tcPr>
            <w:tcW w:w="3544" w:type="dxa"/>
          </w:tcPr>
          <w:p w14:paraId="7D5874A1" w14:textId="7DA1E624" w:rsidR="00BB3930" w:rsidRDefault="00BB3930" w:rsidP="00455F45">
            <w:pPr>
              <w:pStyle w:val="Normal1"/>
              <w:tabs>
                <w:tab w:val="left" w:pos="993"/>
              </w:tabs>
              <w:spacing w:before="0"/>
            </w:pPr>
            <w:r>
              <w:rPr>
                <w:b/>
              </w:rPr>
              <w:t xml:space="preserve">English </w:t>
            </w:r>
            <w:r w:rsidR="00C6524C">
              <w:rPr>
                <w:b/>
              </w:rPr>
              <w:t>only</w:t>
            </w:r>
          </w:p>
        </w:tc>
      </w:tr>
      <w:tr w:rsidR="00BB3930" w:rsidRPr="008928ED" w14:paraId="0D8FE9B1" w14:textId="77777777" w:rsidTr="00455F45">
        <w:trPr>
          <w:trHeight w:val="20"/>
        </w:trPr>
        <w:tc>
          <w:tcPr>
            <w:tcW w:w="10031" w:type="dxa"/>
            <w:gridSpan w:val="2"/>
          </w:tcPr>
          <w:p w14:paraId="3B0E5391" w14:textId="77777777" w:rsidR="00BC0D18" w:rsidRDefault="00BC0D18" w:rsidP="00BC0D18">
            <w:pPr>
              <w:pStyle w:val="Normal1"/>
              <w:spacing w:before="0"/>
              <w:jc w:val="center"/>
              <w:rPr>
                <w:rFonts w:asciiTheme="minorHAnsi" w:hAnsiTheme="minorHAnsi" w:cs="Times New Roman"/>
                <w:b/>
                <w:sz w:val="28"/>
                <w:szCs w:val="28"/>
              </w:rPr>
            </w:pPr>
          </w:p>
          <w:p w14:paraId="2FA8BFF0" w14:textId="77777777" w:rsidR="00BC0D18" w:rsidRDefault="00BC0D18" w:rsidP="00BC0D18">
            <w:pPr>
              <w:pStyle w:val="Normal1"/>
              <w:spacing w:before="0"/>
              <w:jc w:val="center"/>
              <w:rPr>
                <w:rFonts w:asciiTheme="minorHAnsi" w:hAnsiTheme="minorHAnsi" w:cs="Times New Roman"/>
                <w:b/>
                <w:sz w:val="28"/>
                <w:szCs w:val="28"/>
              </w:rPr>
            </w:pPr>
          </w:p>
          <w:p w14:paraId="3976A310" w14:textId="533F35ED" w:rsidR="00FF73A8" w:rsidRDefault="00F43ADC" w:rsidP="00A51A38">
            <w:pPr>
              <w:pStyle w:val="Normal1"/>
              <w:spacing w:before="0"/>
              <w:jc w:val="center"/>
              <w:rPr>
                <w:rFonts w:asciiTheme="minorHAnsi" w:hAnsiTheme="minorHAnsi" w:cs="Times New Roman"/>
                <w:b/>
                <w:sz w:val="28"/>
                <w:szCs w:val="28"/>
              </w:rPr>
            </w:pPr>
            <w:r>
              <w:rPr>
                <w:rFonts w:asciiTheme="minorHAnsi" w:hAnsiTheme="minorHAnsi" w:cs="Times New Roman"/>
                <w:b/>
                <w:sz w:val="28"/>
                <w:szCs w:val="28"/>
              </w:rPr>
              <w:t>Contribution</w:t>
            </w:r>
            <w:r w:rsidR="00A51A38">
              <w:rPr>
                <w:rFonts w:asciiTheme="minorHAnsi" w:hAnsiTheme="minorHAnsi"/>
                <w:b/>
                <w:sz w:val="28"/>
                <w:szCs w:val="32"/>
              </w:rPr>
              <w:t xml:space="preserve"> by the Secretariat</w:t>
            </w:r>
          </w:p>
          <w:p w14:paraId="0619243D" w14:textId="3B04B7D0" w:rsidR="003248C3" w:rsidRPr="001C0870" w:rsidRDefault="003248C3" w:rsidP="00A8770D">
            <w:pPr>
              <w:pStyle w:val="PlainText"/>
              <w:jc w:val="center"/>
              <w:rPr>
                <w:rFonts w:asciiTheme="minorHAnsi" w:hAnsiTheme="minorHAnsi" w:cs="Times New Roman"/>
                <w:sz w:val="28"/>
                <w:szCs w:val="28"/>
              </w:rPr>
            </w:pPr>
          </w:p>
        </w:tc>
      </w:tr>
      <w:tr w:rsidR="00BB3930" w:rsidRPr="008928ED" w14:paraId="074225B3" w14:textId="77777777" w:rsidTr="00455F45">
        <w:trPr>
          <w:trHeight w:val="20"/>
        </w:trPr>
        <w:tc>
          <w:tcPr>
            <w:tcW w:w="10031" w:type="dxa"/>
            <w:gridSpan w:val="2"/>
          </w:tcPr>
          <w:p w14:paraId="6504E13F" w14:textId="7AE955BA" w:rsidR="00BB3930" w:rsidRPr="00870E6E" w:rsidRDefault="009C58F8" w:rsidP="00095EAF">
            <w:pPr>
              <w:pStyle w:val="Title1"/>
              <w:rPr>
                <w:bCs/>
                <w:caps/>
              </w:rPr>
            </w:pPr>
            <w:r>
              <w:rPr>
                <w:rFonts w:eastAsia="Times New Roman" w:cs="Calibri"/>
                <w:bCs/>
                <w:szCs w:val="36"/>
              </w:rPr>
              <w:t>REVIEW OF PROCEDURE C</w:t>
            </w:r>
            <w:r w:rsidR="00095EAF" w:rsidRPr="00095EAF">
              <w:rPr>
                <w:rFonts w:eastAsia="Times New Roman" w:cs="Calibri"/>
                <w:bCs/>
                <w:szCs w:val="36"/>
              </w:rPr>
              <w:t xml:space="preserve"> </w:t>
            </w:r>
          </w:p>
        </w:tc>
      </w:tr>
    </w:tbl>
    <w:p w14:paraId="2D439083" w14:textId="4B6F9672" w:rsidR="00A8770D" w:rsidRPr="00095EAF" w:rsidRDefault="00095EAF" w:rsidP="00870E6E">
      <w:pPr>
        <w:tabs>
          <w:tab w:val="left" w:pos="1418"/>
        </w:tabs>
        <w:spacing w:before="160"/>
        <w:jc w:val="both"/>
        <w:rPr>
          <w:rFonts w:asciiTheme="minorHAnsi" w:eastAsia="Times New Roman" w:hAnsiTheme="minorHAnsi"/>
          <w:b/>
          <w:bCs/>
          <w:sz w:val="22"/>
          <w:szCs w:val="22"/>
        </w:rPr>
      </w:pPr>
      <w:bookmarkStart w:id="2" w:name="h.erbxq0yh2qlt" w:colFirst="0" w:colLast="0"/>
      <w:bookmarkEnd w:id="2"/>
      <w:r w:rsidRPr="00095EAF">
        <w:rPr>
          <w:rFonts w:asciiTheme="minorHAnsi" w:eastAsia="Times New Roman" w:hAnsiTheme="minorHAnsi"/>
          <w:b/>
          <w:bCs/>
          <w:sz w:val="22"/>
          <w:szCs w:val="22"/>
        </w:rPr>
        <w:t>1.</w:t>
      </w:r>
      <w:r w:rsidRPr="00095EAF">
        <w:rPr>
          <w:rFonts w:asciiTheme="minorHAnsi" w:eastAsia="Times New Roman" w:hAnsiTheme="minorHAnsi"/>
          <w:b/>
          <w:bCs/>
          <w:sz w:val="22"/>
          <w:szCs w:val="22"/>
        </w:rPr>
        <w:tab/>
        <w:t>Introduction</w:t>
      </w:r>
    </w:p>
    <w:p w14:paraId="6D7E9F43" w14:textId="6F5826CE" w:rsidR="00095EAF" w:rsidRDefault="00095EAF" w:rsidP="009C58F8">
      <w:pPr>
        <w:tabs>
          <w:tab w:val="left" w:pos="1418"/>
        </w:tabs>
        <w:spacing w:before="160"/>
        <w:jc w:val="both"/>
        <w:rPr>
          <w:rFonts w:asciiTheme="minorHAnsi" w:eastAsia="Times New Roman" w:hAnsiTheme="minorHAnsi"/>
          <w:sz w:val="22"/>
          <w:szCs w:val="22"/>
        </w:rPr>
      </w:pPr>
      <w:r>
        <w:rPr>
          <w:rFonts w:asciiTheme="minorHAnsi" w:eastAsia="Times New Roman" w:hAnsiTheme="minorHAnsi"/>
          <w:sz w:val="22"/>
          <w:szCs w:val="22"/>
        </w:rPr>
        <w:t xml:space="preserve">The Terms of Reference of the </w:t>
      </w:r>
      <w:r w:rsidRPr="00095EAF">
        <w:rPr>
          <w:rFonts w:asciiTheme="minorHAnsi" w:eastAsia="Times New Roman" w:hAnsiTheme="minorHAnsi"/>
          <w:sz w:val="22"/>
          <w:szCs w:val="22"/>
        </w:rPr>
        <w:t>Council Expert Group on Decision 482</w:t>
      </w:r>
      <w:r>
        <w:rPr>
          <w:rFonts w:asciiTheme="minorHAnsi" w:eastAsia="Times New Roman" w:hAnsiTheme="minorHAnsi"/>
          <w:sz w:val="22"/>
          <w:szCs w:val="22"/>
        </w:rPr>
        <w:t xml:space="preserve"> </w:t>
      </w:r>
      <w:r w:rsidR="009C58F8">
        <w:rPr>
          <w:rFonts w:asciiTheme="minorHAnsi" w:eastAsia="Times New Roman" w:hAnsiTheme="minorHAnsi"/>
          <w:sz w:val="22"/>
          <w:szCs w:val="22"/>
        </w:rPr>
        <w:t>mandates</w:t>
      </w:r>
      <w:r>
        <w:rPr>
          <w:rFonts w:asciiTheme="minorHAnsi" w:eastAsia="Times New Roman" w:hAnsiTheme="minorHAnsi"/>
          <w:sz w:val="22"/>
          <w:szCs w:val="22"/>
        </w:rPr>
        <w:t xml:space="preserve">: </w:t>
      </w:r>
    </w:p>
    <w:p w14:paraId="583A30D1" w14:textId="0DC0D4D8" w:rsidR="00095EAF" w:rsidRDefault="00095EAF" w:rsidP="009C58F8">
      <w:pPr>
        <w:tabs>
          <w:tab w:val="left" w:pos="1418"/>
        </w:tabs>
        <w:spacing w:before="160"/>
        <w:ind w:left="567"/>
        <w:jc w:val="both"/>
        <w:rPr>
          <w:rFonts w:asciiTheme="minorHAnsi" w:eastAsia="Times New Roman" w:hAnsiTheme="minorHAnsi"/>
          <w:sz w:val="22"/>
          <w:szCs w:val="22"/>
        </w:rPr>
      </w:pPr>
      <w:r>
        <w:rPr>
          <w:rFonts w:asciiTheme="minorHAnsi" w:eastAsia="Times New Roman" w:hAnsiTheme="minorHAnsi"/>
          <w:sz w:val="22"/>
          <w:szCs w:val="22"/>
        </w:rPr>
        <w:t>“</w:t>
      </w:r>
      <w:r w:rsidR="009C58F8" w:rsidRPr="009C58F8">
        <w:rPr>
          <w:rFonts w:asciiTheme="minorHAnsi" w:eastAsia="Times New Roman" w:hAnsiTheme="minorHAnsi"/>
          <w:i/>
          <w:iCs/>
          <w:sz w:val="22"/>
          <w:szCs w:val="22"/>
        </w:rPr>
        <w:t>1.</w:t>
      </w:r>
      <w:r w:rsidR="009C58F8" w:rsidRPr="009C58F8">
        <w:rPr>
          <w:rFonts w:asciiTheme="minorHAnsi" w:eastAsia="Times New Roman" w:hAnsiTheme="minorHAnsi"/>
          <w:i/>
          <w:iCs/>
          <w:sz w:val="22"/>
          <w:szCs w:val="22"/>
        </w:rPr>
        <w:tab/>
        <w:t>To further examine Procedures B and C described in Document C18/36, while taking into account considerations contained in Documents C18/36 (Addendum 1), C18/75, C18/83 and C18/90 as well as contributions submitted to its meetings.</w:t>
      </w:r>
      <w:r>
        <w:rPr>
          <w:rFonts w:asciiTheme="minorHAnsi" w:eastAsia="Times New Roman" w:hAnsiTheme="minorHAnsi"/>
          <w:sz w:val="22"/>
          <w:szCs w:val="22"/>
        </w:rPr>
        <w:t>”</w:t>
      </w:r>
    </w:p>
    <w:p w14:paraId="79681595" w14:textId="79B38438" w:rsidR="00095EAF" w:rsidRDefault="00095EAF" w:rsidP="000D65AC">
      <w:pPr>
        <w:tabs>
          <w:tab w:val="left" w:pos="1418"/>
        </w:tabs>
        <w:spacing w:before="160"/>
        <w:jc w:val="both"/>
        <w:rPr>
          <w:rFonts w:asciiTheme="minorHAnsi" w:eastAsia="Times New Roman" w:hAnsiTheme="minorHAnsi"/>
          <w:sz w:val="22"/>
          <w:szCs w:val="22"/>
        </w:rPr>
      </w:pPr>
      <w:r>
        <w:rPr>
          <w:rFonts w:asciiTheme="minorHAnsi" w:eastAsia="Times New Roman" w:hAnsiTheme="minorHAnsi"/>
          <w:sz w:val="22"/>
          <w:szCs w:val="22"/>
        </w:rPr>
        <w:t xml:space="preserve">This document aims at providing </w:t>
      </w:r>
      <w:r w:rsidR="009C58F8">
        <w:rPr>
          <w:rFonts w:asciiTheme="minorHAnsi" w:eastAsia="Times New Roman" w:hAnsiTheme="minorHAnsi"/>
          <w:sz w:val="22"/>
          <w:szCs w:val="22"/>
        </w:rPr>
        <w:t xml:space="preserve">more </w:t>
      </w:r>
      <w:r>
        <w:rPr>
          <w:rFonts w:asciiTheme="minorHAnsi" w:eastAsia="Times New Roman" w:hAnsiTheme="minorHAnsi"/>
          <w:sz w:val="22"/>
          <w:szCs w:val="22"/>
        </w:rPr>
        <w:t xml:space="preserve">information to the Council Expert Group on the </w:t>
      </w:r>
      <w:r w:rsidR="009C58F8">
        <w:rPr>
          <w:rFonts w:asciiTheme="minorHAnsi" w:eastAsia="Times New Roman" w:hAnsiTheme="minorHAnsi"/>
          <w:sz w:val="22"/>
          <w:szCs w:val="22"/>
        </w:rPr>
        <w:t xml:space="preserve">main </w:t>
      </w:r>
      <w:r w:rsidR="000D65AC">
        <w:rPr>
          <w:rFonts w:asciiTheme="minorHAnsi" w:eastAsia="Times New Roman" w:hAnsiTheme="minorHAnsi"/>
          <w:sz w:val="22"/>
          <w:szCs w:val="22"/>
        </w:rPr>
        <w:t xml:space="preserve">items driving </w:t>
      </w:r>
      <w:r w:rsidR="009C58F8">
        <w:rPr>
          <w:rFonts w:asciiTheme="minorHAnsi" w:eastAsia="Times New Roman" w:hAnsiTheme="minorHAnsi"/>
          <w:sz w:val="22"/>
          <w:szCs w:val="22"/>
        </w:rPr>
        <w:t>cost</w:t>
      </w:r>
      <w:r w:rsidR="000D65AC">
        <w:rPr>
          <w:rFonts w:asciiTheme="minorHAnsi" w:eastAsia="Times New Roman" w:hAnsiTheme="minorHAnsi"/>
          <w:sz w:val="22"/>
          <w:szCs w:val="22"/>
        </w:rPr>
        <w:t>s</w:t>
      </w:r>
      <w:r w:rsidR="009C58F8">
        <w:rPr>
          <w:rFonts w:asciiTheme="minorHAnsi" w:eastAsia="Times New Roman" w:hAnsiTheme="minorHAnsi"/>
          <w:sz w:val="22"/>
          <w:szCs w:val="22"/>
        </w:rPr>
        <w:t xml:space="preserve"> of the process of examining conformity of certain non-GSO satellite filings with the </w:t>
      </w:r>
      <w:r w:rsidR="000D65AC" w:rsidRPr="00782BE7">
        <w:rPr>
          <w:rFonts w:asciiTheme="minorHAnsi" w:eastAsia="Times New Roman" w:hAnsiTheme="minorHAnsi"/>
          <w:sz w:val="22"/>
          <w:szCs w:val="22"/>
        </w:rPr>
        <w:t xml:space="preserve">equivalent power flux density </w:t>
      </w:r>
      <w:r w:rsidR="000D65AC">
        <w:rPr>
          <w:rFonts w:asciiTheme="minorHAnsi" w:eastAsia="Times New Roman" w:hAnsiTheme="minorHAnsi"/>
          <w:sz w:val="22"/>
          <w:szCs w:val="22"/>
        </w:rPr>
        <w:t xml:space="preserve">(epfd) </w:t>
      </w:r>
      <w:r w:rsidR="009C58F8">
        <w:rPr>
          <w:rFonts w:asciiTheme="minorHAnsi" w:eastAsia="Times New Roman" w:hAnsiTheme="minorHAnsi"/>
          <w:sz w:val="22"/>
          <w:szCs w:val="22"/>
        </w:rPr>
        <w:t xml:space="preserve">limits contained in Article 22 of the Radio Regulations. </w:t>
      </w:r>
    </w:p>
    <w:p w14:paraId="46678CB2" w14:textId="45036762" w:rsidR="009C58F8" w:rsidRDefault="009C58F8" w:rsidP="009C58F8">
      <w:pPr>
        <w:tabs>
          <w:tab w:val="left" w:pos="1418"/>
        </w:tabs>
        <w:spacing w:before="160"/>
        <w:jc w:val="both"/>
        <w:rPr>
          <w:rFonts w:asciiTheme="minorHAnsi" w:eastAsia="Times New Roman" w:hAnsiTheme="minorHAnsi"/>
          <w:sz w:val="22"/>
          <w:szCs w:val="22"/>
        </w:rPr>
      </w:pPr>
      <w:r>
        <w:rPr>
          <w:rFonts w:asciiTheme="minorHAnsi" w:eastAsia="Times New Roman" w:hAnsiTheme="minorHAnsi"/>
          <w:sz w:val="22"/>
          <w:szCs w:val="22"/>
        </w:rPr>
        <w:t xml:space="preserve">Based on this assessment, the document suggests some possible ways forward concerning Procedure C as described in Document C18/36. </w:t>
      </w:r>
    </w:p>
    <w:p w14:paraId="12EB690F" w14:textId="18AF47C2" w:rsidR="00095EAF" w:rsidRPr="00095EAF" w:rsidRDefault="00095EAF" w:rsidP="009C58F8">
      <w:pPr>
        <w:tabs>
          <w:tab w:val="left" w:pos="1418"/>
        </w:tabs>
        <w:spacing w:before="160"/>
        <w:jc w:val="both"/>
        <w:rPr>
          <w:rFonts w:asciiTheme="minorHAnsi" w:eastAsia="Times New Roman" w:hAnsiTheme="minorHAnsi"/>
          <w:b/>
          <w:bCs/>
          <w:sz w:val="22"/>
          <w:szCs w:val="22"/>
        </w:rPr>
      </w:pPr>
      <w:r w:rsidRPr="00095EAF">
        <w:rPr>
          <w:rFonts w:asciiTheme="minorHAnsi" w:eastAsia="Times New Roman" w:hAnsiTheme="minorHAnsi"/>
          <w:b/>
          <w:bCs/>
          <w:sz w:val="22"/>
          <w:szCs w:val="22"/>
        </w:rPr>
        <w:t>2.</w:t>
      </w:r>
      <w:r w:rsidRPr="00095EAF">
        <w:rPr>
          <w:rFonts w:asciiTheme="minorHAnsi" w:eastAsia="Times New Roman" w:hAnsiTheme="minorHAnsi"/>
          <w:b/>
          <w:bCs/>
          <w:sz w:val="22"/>
          <w:szCs w:val="22"/>
        </w:rPr>
        <w:tab/>
      </w:r>
      <w:r w:rsidR="009C58F8">
        <w:rPr>
          <w:rFonts w:asciiTheme="minorHAnsi" w:eastAsia="Times New Roman" w:hAnsiTheme="minorHAnsi"/>
          <w:b/>
          <w:bCs/>
          <w:sz w:val="22"/>
          <w:szCs w:val="22"/>
        </w:rPr>
        <w:t>Procedure C</w:t>
      </w:r>
    </w:p>
    <w:p w14:paraId="49DD5DD3" w14:textId="670F3D90" w:rsidR="009C58F8" w:rsidRPr="009C58F8" w:rsidRDefault="009C58F8" w:rsidP="00782BE7">
      <w:pPr>
        <w:spacing w:after="120"/>
        <w:rPr>
          <w:rFonts w:asciiTheme="minorHAnsi" w:eastAsia="Times New Roman" w:hAnsiTheme="minorHAnsi"/>
          <w:sz w:val="22"/>
          <w:szCs w:val="22"/>
        </w:rPr>
      </w:pPr>
      <w:r>
        <w:rPr>
          <w:rFonts w:asciiTheme="minorHAnsi" w:eastAsia="Times New Roman" w:hAnsiTheme="minorHAnsi"/>
          <w:sz w:val="22"/>
          <w:szCs w:val="22"/>
        </w:rPr>
        <w:t xml:space="preserve">Document C18/36 describes procedure C as </w:t>
      </w:r>
      <w:r w:rsidR="00782BE7">
        <w:rPr>
          <w:rFonts w:asciiTheme="minorHAnsi" w:eastAsia="Times New Roman" w:hAnsiTheme="minorHAnsi"/>
          <w:sz w:val="22"/>
          <w:szCs w:val="22"/>
        </w:rPr>
        <w:t>i</w:t>
      </w:r>
      <w:r w:rsidRPr="009C58F8">
        <w:rPr>
          <w:rFonts w:asciiTheme="minorHAnsi" w:eastAsia="Times New Roman" w:hAnsiTheme="minorHAnsi"/>
          <w:sz w:val="22"/>
          <w:szCs w:val="22"/>
        </w:rPr>
        <w:t>ntroducing an additional fee for cases subject to Article 22 epfd limits</w:t>
      </w:r>
      <w:r w:rsidR="00782BE7">
        <w:rPr>
          <w:rFonts w:asciiTheme="minorHAnsi" w:eastAsia="Times New Roman" w:hAnsiTheme="minorHAnsi"/>
          <w:sz w:val="22"/>
          <w:szCs w:val="22"/>
        </w:rPr>
        <w:t>:</w:t>
      </w:r>
    </w:p>
    <w:p w14:paraId="7F5A3124" w14:textId="3E07EDA9" w:rsidR="00455F45" w:rsidRDefault="00782BE7" w:rsidP="00782BE7">
      <w:pPr>
        <w:spacing w:after="120"/>
        <w:ind w:left="567"/>
        <w:rPr>
          <w:rFonts w:asciiTheme="minorHAnsi" w:eastAsia="Times New Roman" w:hAnsiTheme="minorHAnsi"/>
          <w:sz w:val="22"/>
          <w:szCs w:val="22"/>
        </w:rPr>
      </w:pPr>
      <w:r>
        <w:rPr>
          <w:rFonts w:asciiTheme="minorHAnsi" w:eastAsia="Times New Roman" w:hAnsiTheme="minorHAnsi"/>
          <w:sz w:val="22"/>
          <w:szCs w:val="22"/>
        </w:rPr>
        <w:t>“</w:t>
      </w:r>
      <w:r w:rsidR="009C58F8" w:rsidRPr="00782BE7">
        <w:rPr>
          <w:rFonts w:asciiTheme="minorHAnsi" w:eastAsia="Times New Roman" w:hAnsiTheme="minorHAnsi"/>
          <w:i/>
          <w:iCs/>
          <w:sz w:val="22"/>
          <w:szCs w:val="22"/>
        </w:rPr>
        <w:t xml:space="preserve">At Council 2005, cost-recovery discussions were mainly related to geostationary satellite networks. Moreover, even if epfd limits were adopted in 2000, no epfd validation software was available. Consequently, no statistics of costs related to epfd examination were available and hence considered when establishing the various values contained in Decision 482. Now that an epfd validation software is available and that epfd examinations have started, the Bureau will be in a position to compute statistics of processing time of epfd examinations. However, to produce such statistics, additional examinations need to be completed in order to have a representative set of data. Nevertheless, if the processing time of epfd examinations is confirmed by such statistics as not strongly correlated with the number of units (see sections 2.8 and 3 of </w:t>
      </w:r>
      <w:hyperlink r:id="rId9" w:history="1">
        <w:r w:rsidR="009C58F8" w:rsidRPr="00782BE7">
          <w:rPr>
            <w:rFonts w:eastAsia="Times New Roman"/>
            <w:i/>
            <w:iCs/>
            <w:sz w:val="22"/>
            <w:szCs w:val="22"/>
          </w:rPr>
          <w:t>Document 4A/408</w:t>
        </w:r>
      </w:hyperlink>
      <w:r w:rsidR="009C58F8" w:rsidRPr="00782BE7">
        <w:rPr>
          <w:rFonts w:asciiTheme="minorHAnsi" w:eastAsia="Times New Roman" w:hAnsiTheme="minorHAnsi"/>
          <w:i/>
          <w:iCs/>
          <w:sz w:val="22"/>
          <w:szCs w:val="22"/>
        </w:rPr>
        <w:t xml:space="preserve"> for an explanation of the reason why such a situation is likely to occur), a footnote applicable to categories C1, C2, C3, N1, N2, N3 and N4 could introduce a flat fee in cases where epfd examinations have to be performed (see Annex 3 for a proposal of such footnote).</w:t>
      </w:r>
      <w:r>
        <w:rPr>
          <w:rFonts w:asciiTheme="minorHAnsi" w:eastAsia="Times New Roman" w:hAnsiTheme="minorHAnsi"/>
          <w:sz w:val="22"/>
          <w:szCs w:val="22"/>
        </w:rPr>
        <w:t>”</w:t>
      </w:r>
    </w:p>
    <w:p w14:paraId="7D27940A" w14:textId="5C481635" w:rsidR="009C58F8" w:rsidRPr="00095EAF" w:rsidRDefault="009C58F8" w:rsidP="00363D51">
      <w:pPr>
        <w:tabs>
          <w:tab w:val="left" w:pos="1418"/>
        </w:tabs>
        <w:spacing w:before="160"/>
        <w:jc w:val="both"/>
        <w:rPr>
          <w:rFonts w:asciiTheme="minorHAnsi" w:eastAsia="Times New Roman" w:hAnsiTheme="minorHAnsi"/>
          <w:b/>
          <w:bCs/>
          <w:sz w:val="22"/>
          <w:szCs w:val="22"/>
          <w:lang w:val="en-US"/>
        </w:rPr>
      </w:pPr>
      <w:r w:rsidRPr="00095EAF">
        <w:rPr>
          <w:rFonts w:asciiTheme="minorHAnsi" w:eastAsia="Times New Roman" w:hAnsiTheme="minorHAnsi"/>
          <w:b/>
          <w:bCs/>
          <w:sz w:val="22"/>
          <w:szCs w:val="22"/>
          <w:lang w:val="en-US"/>
        </w:rPr>
        <w:t>3.</w:t>
      </w:r>
      <w:r w:rsidRPr="00095EAF">
        <w:rPr>
          <w:rFonts w:asciiTheme="minorHAnsi" w:eastAsia="Times New Roman" w:hAnsiTheme="minorHAnsi"/>
          <w:b/>
          <w:bCs/>
          <w:sz w:val="22"/>
          <w:szCs w:val="22"/>
          <w:lang w:val="en-US"/>
        </w:rPr>
        <w:tab/>
      </w:r>
      <w:r>
        <w:rPr>
          <w:rFonts w:asciiTheme="minorHAnsi" w:eastAsia="Times New Roman" w:hAnsiTheme="minorHAnsi"/>
          <w:b/>
          <w:bCs/>
          <w:sz w:val="22"/>
          <w:szCs w:val="22"/>
          <w:lang w:val="en-US"/>
        </w:rPr>
        <w:t xml:space="preserve">Main cost drivers </w:t>
      </w:r>
      <w:r w:rsidR="00363D51">
        <w:rPr>
          <w:rFonts w:asciiTheme="minorHAnsi" w:eastAsia="Times New Roman" w:hAnsiTheme="minorHAnsi"/>
          <w:b/>
          <w:bCs/>
          <w:sz w:val="22"/>
          <w:szCs w:val="22"/>
          <w:lang w:val="en-US"/>
        </w:rPr>
        <w:t xml:space="preserve">specific to </w:t>
      </w:r>
      <w:r>
        <w:rPr>
          <w:rFonts w:asciiTheme="minorHAnsi" w:eastAsia="Times New Roman" w:hAnsiTheme="minorHAnsi"/>
          <w:b/>
          <w:bCs/>
          <w:sz w:val="22"/>
          <w:szCs w:val="22"/>
          <w:lang w:val="en-US"/>
        </w:rPr>
        <w:t>examination of conformity with epfd limits</w:t>
      </w:r>
    </w:p>
    <w:p w14:paraId="58EB2C42" w14:textId="6AB1D8A6" w:rsidR="00C92D46" w:rsidRPr="00782BE7" w:rsidRDefault="00782BE7" w:rsidP="00E550F1">
      <w:pPr>
        <w:spacing w:after="120"/>
        <w:rPr>
          <w:rFonts w:asciiTheme="minorHAnsi" w:eastAsia="Times New Roman" w:hAnsiTheme="minorHAnsi"/>
          <w:sz w:val="22"/>
          <w:szCs w:val="22"/>
        </w:rPr>
      </w:pPr>
      <w:r>
        <w:rPr>
          <w:rFonts w:asciiTheme="minorHAnsi" w:eastAsia="Times New Roman" w:hAnsiTheme="minorHAnsi"/>
          <w:sz w:val="22"/>
          <w:szCs w:val="22"/>
        </w:rPr>
        <w:t xml:space="preserve">Contrary to some out-of-band epfd limits (see for example No. </w:t>
      </w:r>
      <w:r w:rsidRPr="000D65AC">
        <w:rPr>
          <w:rFonts w:asciiTheme="minorHAnsi" w:eastAsia="Times New Roman" w:hAnsiTheme="minorHAnsi"/>
          <w:b/>
          <w:bCs/>
          <w:sz w:val="22"/>
          <w:szCs w:val="22"/>
        </w:rPr>
        <w:t>5.443B</w:t>
      </w:r>
      <w:r>
        <w:rPr>
          <w:rFonts w:asciiTheme="minorHAnsi" w:eastAsia="Times New Roman" w:hAnsiTheme="minorHAnsi"/>
          <w:sz w:val="22"/>
          <w:szCs w:val="22"/>
        </w:rPr>
        <w:t>)</w:t>
      </w:r>
      <w:r w:rsidR="000D65AC">
        <w:rPr>
          <w:rFonts w:asciiTheme="minorHAnsi" w:eastAsia="Times New Roman" w:hAnsiTheme="minorHAnsi"/>
          <w:sz w:val="22"/>
          <w:szCs w:val="22"/>
        </w:rPr>
        <w:t>, t</w:t>
      </w:r>
      <w:r w:rsidR="00C92D46" w:rsidRPr="00782BE7">
        <w:rPr>
          <w:rFonts w:asciiTheme="minorHAnsi" w:eastAsia="Times New Roman" w:hAnsiTheme="minorHAnsi"/>
          <w:sz w:val="22"/>
          <w:szCs w:val="22"/>
        </w:rPr>
        <w:t>he examination of compliance with the</w:t>
      </w:r>
      <w:r>
        <w:rPr>
          <w:rFonts w:asciiTheme="minorHAnsi" w:eastAsia="Times New Roman" w:hAnsiTheme="minorHAnsi"/>
          <w:sz w:val="22"/>
          <w:szCs w:val="22"/>
        </w:rPr>
        <w:t xml:space="preserve"> epfd limits contained in several </w:t>
      </w:r>
      <w:r w:rsidR="00C92D46" w:rsidRPr="00782BE7">
        <w:rPr>
          <w:rFonts w:asciiTheme="minorHAnsi" w:eastAsia="Times New Roman" w:hAnsiTheme="minorHAnsi"/>
          <w:sz w:val="22"/>
          <w:szCs w:val="22"/>
        </w:rPr>
        <w:t xml:space="preserve">provisions </w:t>
      </w:r>
      <w:r>
        <w:rPr>
          <w:rFonts w:asciiTheme="minorHAnsi" w:eastAsia="Times New Roman" w:hAnsiTheme="minorHAnsi"/>
          <w:sz w:val="22"/>
          <w:szCs w:val="22"/>
        </w:rPr>
        <w:t xml:space="preserve">of Article 22 </w:t>
      </w:r>
      <w:r w:rsidR="00C92D46" w:rsidRPr="00782BE7">
        <w:rPr>
          <w:rFonts w:asciiTheme="minorHAnsi" w:eastAsia="Times New Roman" w:hAnsiTheme="minorHAnsi"/>
          <w:sz w:val="22"/>
          <w:szCs w:val="22"/>
        </w:rPr>
        <w:t xml:space="preserve">involves </w:t>
      </w:r>
      <w:r w:rsidR="000D65AC">
        <w:rPr>
          <w:rFonts w:asciiTheme="minorHAnsi" w:eastAsia="Times New Roman" w:hAnsiTheme="minorHAnsi"/>
          <w:sz w:val="22"/>
          <w:szCs w:val="22"/>
        </w:rPr>
        <w:t xml:space="preserve">the actual </w:t>
      </w:r>
      <w:r w:rsidR="00C92D46" w:rsidRPr="00782BE7">
        <w:rPr>
          <w:rFonts w:asciiTheme="minorHAnsi" w:eastAsia="Times New Roman" w:hAnsiTheme="minorHAnsi"/>
          <w:sz w:val="22"/>
          <w:szCs w:val="22"/>
        </w:rPr>
        <w:t xml:space="preserve">calculation of the </w:t>
      </w:r>
      <w:r w:rsidR="000D65AC">
        <w:rPr>
          <w:rFonts w:asciiTheme="minorHAnsi" w:eastAsia="Times New Roman" w:hAnsiTheme="minorHAnsi"/>
          <w:sz w:val="22"/>
          <w:szCs w:val="22"/>
        </w:rPr>
        <w:t xml:space="preserve">epfd </w:t>
      </w:r>
      <w:r w:rsidR="00C92D46" w:rsidRPr="00782BE7">
        <w:rPr>
          <w:rFonts w:asciiTheme="minorHAnsi" w:eastAsia="Times New Roman" w:hAnsiTheme="minorHAnsi"/>
          <w:sz w:val="22"/>
          <w:szCs w:val="22"/>
        </w:rPr>
        <w:t>levels produced by these assignments. Th</w:t>
      </w:r>
      <w:r w:rsidR="000D65AC">
        <w:rPr>
          <w:rFonts w:asciiTheme="minorHAnsi" w:eastAsia="Times New Roman" w:hAnsiTheme="minorHAnsi"/>
          <w:sz w:val="22"/>
          <w:szCs w:val="22"/>
        </w:rPr>
        <w:t xml:space="preserve">e overall </w:t>
      </w:r>
      <w:r w:rsidR="00C92D46" w:rsidRPr="00782BE7">
        <w:rPr>
          <w:rFonts w:asciiTheme="minorHAnsi" w:eastAsia="Times New Roman" w:hAnsiTheme="minorHAnsi"/>
          <w:sz w:val="22"/>
          <w:szCs w:val="22"/>
        </w:rPr>
        <w:t xml:space="preserve">process </w:t>
      </w:r>
      <w:r w:rsidR="00E550F1">
        <w:rPr>
          <w:rFonts w:asciiTheme="minorHAnsi" w:eastAsia="Times New Roman" w:hAnsiTheme="minorHAnsi"/>
          <w:sz w:val="22"/>
          <w:szCs w:val="22"/>
        </w:rPr>
        <w:t>consists in</w:t>
      </w:r>
      <w:r w:rsidR="00C92D46" w:rsidRPr="00782BE7">
        <w:rPr>
          <w:rFonts w:asciiTheme="minorHAnsi" w:eastAsia="Times New Roman" w:hAnsiTheme="minorHAnsi"/>
          <w:sz w:val="22"/>
          <w:szCs w:val="22"/>
        </w:rPr>
        <w:t xml:space="preserve"> several tasks:</w:t>
      </w:r>
    </w:p>
    <w:p w14:paraId="5E288519" w14:textId="77777777" w:rsidR="007B3AFF" w:rsidRDefault="007B3AFF">
      <w:pPr>
        <w:tabs>
          <w:tab w:val="clear" w:pos="567"/>
          <w:tab w:val="clear" w:pos="1134"/>
          <w:tab w:val="clear" w:pos="1701"/>
          <w:tab w:val="clear" w:pos="2268"/>
          <w:tab w:val="clear" w:pos="2835"/>
        </w:tabs>
        <w:spacing w:before="0" w:after="160" w:line="259" w:lineRule="auto"/>
        <w:rPr>
          <w:rFonts w:asciiTheme="minorHAnsi" w:eastAsia="Times New Roman" w:hAnsiTheme="minorHAnsi"/>
          <w:sz w:val="22"/>
          <w:szCs w:val="22"/>
        </w:rPr>
      </w:pPr>
      <w:r>
        <w:rPr>
          <w:rFonts w:asciiTheme="minorHAnsi" w:eastAsia="Times New Roman" w:hAnsiTheme="minorHAnsi"/>
          <w:sz w:val="22"/>
          <w:szCs w:val="22"/>
        </w:rPr>
        <w:br w:type="page"/>
      </w:r>
    </w:p>
    <w:p w14:paraId="25AEBB88" w14:textId="3470959D" w:rsidR="005C6BAD" w:rsidRDefault="00C92D46" w:rsidP="000D65AC">
      <w:pPr>
        <w:spacing w:after="120"/>
        <w:ind w:left="567"/>
        <w:rPr>
          <w:rFonts w:asciiTheme="minorHAnsi" w:eastAsia="Times New Roman" w:hAnsiTheme="minorHAnsi"/>
          <w:sz w:val="22"/>
          <w:szCs w:val="22"/>
        </w:rPr>
      </w:pPr>
      <w:r w:rsidRPr="00782BE7">
        <w:rPr>
          <w:rFonts w:asciiTheme="minorHAnsi" w:eastAsia="Times New Roman" w:hAnsiTheme="minorHAnsi"/>
          <w:sz w:val="22"/>
          <w:szCs w:val="22"/>
        </w:rPr>
        <w:lastRenderedPageBreak/>
        <w:t>1</w:t>
      </w:r>
      <w:r w:rsidR="000D65AC">
        <w:rPr>
          <w:rFonts w:asciiTheme="minorHAnsi" w:eastAsia="Times New Roman" w:hAnsiTheme="minorHAnsi"/>
          <w:sz w:val="22"/>
          <w:szCs w:val="22"/>
        </w:rPr>
        <w:t>.</w:t>
      </w:r>
      <w:r w:rsidR="000D65AC">
        <w:rPr>
          <w:rFonts w:asciiTheme="minorHAnsi" w:eastAsia="Times New Roman" w:hAnsiTheme="minorHAnsi"/>
          <w:sz w:val="22"/>
          <w:szCs w:val="22"/>
        </w:rPr>
        <w:tab/>
      </w:r>
      <w:r w:rsidR="005C6BAD">
        <w:rPr>
          <w:rFonts w:asciiTheme="minorHAnsi" w:eastAsia="Times New Roman" w:hAnsiTheme="minorHAnsi"/>
          <w:sz w:val="22"/>
          <w:szCs w:val="22"/>
        </w:rPr>
        <w:t>Preparation of input data</w:t>
      </w:r>
    </w:p>
    <w:p w14:paraId="52FD69A5" w14:textId="77777777" w:rsidR="005C6BAD" w:rsidRDefault="005C6BAD" w:rsidP="005C6BAD">
      <w:pPr>
        <w:spacing w:after="120"/>
        <w:ind w:left="1137" w:hanging="570"/>
        <w:rPr>
          <w:rFonts w:asciiTheme="minorHAnsi" w:eastAsia="Times New Roman" w:hAnsiTheme="minorHAnsi"/>
          <w:sz w:val="22"/>
          <w:szCs w:val="22"/>
        </w:rPr>
      </w:pPr>
      <w:r>
        <w:rPr>
          <w:rFonts w:asciiTheme="minorHAnsi" w:eastAsia="Times New Roman" w:hAnsiTheme="minorHAnsi"/>
          <w:sz w:val="22"/>
          <w:szCs w:val="22"/>
        </w:rPr>
        <w:tab/>
        <w:t>1.1.</w:t>
      </w:r>
      <w:r>
        <w:rPr>
          <w:rFonts w:asciiTheme="minorHAnsi" w:eastAsia="Times New Roman" w:hAnsiTheme="minorHAnsi"/>
          <w:sz w:val="22"/>
          <w:szCs w:val="22"/>
        </w:rPr>
        <w:tab/>
      </w:r>
      <w:r w:rsidR="00C92D46" w:rsidRPr="00782BE7">
        <w:rPr>
          <w:rFonts w:asciiTheme="minorHAnsi" w:eastAsia="Times New Roman" w:hAnsiTheme="minorHAnsi"/>
          <w:sz w:val="22"/>
          <w:szCs w:val="22"/>
        </w:rPr>
        <w:t>Completeness examination when the data is received (including exchange with administration, requests for clarifications etc.)</w:t>
      </w:r>
    </w:p>
    <w:p w14:paraId="165C3B93" w14:textId="1B15EA80" w:rsidR="00C92D46" w:rsidRPr="00782BE7" w:rsidRDefault="005C6BAD" w:rsidP="005C6BAD">
      <w:pPr>
        <w:spacing w:after="120"/>
        <w:ind w:left="1137" w:hanging="570"/>
        <w:rPr>
          <w:rFonts w:asciiTheme="minorHAnsi" w:eastAsia="Times New Roman" w:hAnsiTheme="minorHAnsi"/>
          <w:sz w:val="22"/>
          <w:szCs w:val="22"/>
        </w:rPr>
      </w:pPr>
      <w:r>
        <w:rPr>
          <w:rFonts w:asciiTheme="minorHAnsi" w:eastAsia="Times New Roman" w:hAnsiTheme="minorHAnsi"/>
          <w:sz w:val="22"/>
          <w:szCs w:val="22"/>
        </w:rPr>
        <w:tab/>
        <w:t>1.2.</w:t>
      </w:r>
      <w:r>
        <w:rPr>
          <w:rFonts w:asciiTheme="minorHAnsi" w:eastAsia="Times New Roman" w:hAnsiTheme="minorHAnsi"/>
          <w:sz w:val="22"/>
          <w:szCs w:val="22"/>
        </w:rPr>
        <w:tab/>
      </w:r>
      <w:r w:rsidR="00C92D46" w:rsidRPr="00782BE7">
        <w:rPr>
          <w:rFonts w:asciiTheme="minorHAnsi" w:eastAsia="Times New Roman" w:hAnsiTheme="minorHAnsi"/>
          <w:sz w:val="22"/>
          <w:szCs w:val="22"/>
        </w:rPr>
        <w:t xml:space="preserve">XML mask validation </w:t>
      </w:r>
    </w:p>
    <w:p w14:paraId="6B663B7C" w14:textId="3ACA4C7B" w:rsidR="00C92D46" w:rsidRPr="00782BE7" w:rsidRDefault="005C6BAD" w:rsidP="00FA6F0A">
      <w:pPr>
        <w:spacing w:after="120"/>
        <w:ind w:left="567"/>
        <w:rPr>
          <w:rFonts w:asciiTheme="minorHAnsi" w:eastAsia="Times New Roman" w:hAnsiTheme="minorHAnsi"/>
          <w:sz w:val="22"/>
          <w:szCs w:val="22"/>
        </w:rPr>
      </w:pPr>
      <w:r>
        <w:rPr>
          <w:rFonts w:asciiTheme="minorHAnsi" w:eastAsia="Times New Roman" w:hAnsiTheme="minorHAnsi"/>
          <w:sz w:val="22"/>
          <w:szCs w:val="22"/>
        </w:rPr>
        <w:tab/>
        <w:t>1.</w:t>
      </w:r>
      <w:r w:rsidR="00C92D46" w:rsidRPr="00782BE7">
        <w:rPr>
          <w:rFonts w:asciiTheme="minorHAnsi" w:eastAsia="Times New Roman" w:hAnsiTheme="minorHAnsi"/>
          <w:sz w:val="22"/>
          <w:szCs w:val="22"/>
        </w:rPr>
        <w:t>3</w:t>
      </w:r>
      <w:r w:rsidR="000D65AC">
        <w:rPr>
          <w:rFonts w:asciiTheme="minorHAnsi" w:eastAsia="Times New Roman" w:hAnsiTheme="minorHAnsi"/>
          <w:sz w:val="22"/>
          <w:szCs w:val="22"/>
        </w:rPr>
        <w:t>.</w:t>
      </w:r>
      <w:r w:rsidR="00C92D46" w:rsidRPr="00782BE7">
        <w:rPr>
          <w:rFonts w:asciiTheme="minorHAnsi" w:eastAsia="Times New Roman" w:hAnsiTheme="minorHAnsi"/>
          <w:sz w:val="22"/>
          <w:szCs w:val="22"/>
        </w:rPr>
        <w:tab/>
        <w:t xml:space="preserve">SNS </w:t>
      </w:r>
      <w:r w:rsidR="00FA6F0A">
        <w:rPr>
          <w:rFonts w:asciiTheme="minorHAnsi" w:eastAsia="Times New Roman" w:hAnsiTheme="minorHAnsi"/>
          <w:sz w:val="22"/>
          <w:szCs w:val="22"/>
        </w:rPr>
        <w:t>d</w:t>
      </w:r>
      <w:r w:rsidR="00C92D46" w:rsidRPr="00782BE7">
        <w:rPr>
          <w:rFonts w:asciiTheme="minorHAnsi" w:eastAsia="Times New Roman" w:hAnsiTheme="minorHAnsi"/>
          <w:sz w:val="22"/>
          <w:szCs w:val="22"/>
        </w:rPr>
        <w:t xml:space="preserve">ata </w:t>
      </w:r>
      <w:r w:rsidR="00FA6F0A">
        <w:rPr>
          <w:rFonts w:asciiTheme="minorHAnsi" w:eastAsia="Times New Roman" w:hAnsiTheme="minorHAnsi"/>
          <w:sz w:val="22"/>
          <w:szCs w:val="22"/>
        </w:rPr>
        <w:t>v</w:t>
      </w:r>
      <w:r w:rsidR="00C92D46" w:rsidRPr="00782BE7">
        <w:rPr>
          <w:rFonts w:asciiTheme="minorHAnsi" w:eastAsia="Times New Roman" w:hAnsiTheme="minorHAnsi"/>
          <w:sz w:val="22"/>
          <w:szCs w:val="22"/>
        </w:rPr>
        <w:t xml:space="preserve">alidation </w:t>
      </w:r>
    </w:p>
    <w:p w14:paraId="4C04F005" w14:textId="52420D4A" w:rsidR="00C92D46" w:rsidRPr="00782BE7" w:rsidRDefault="005C6BAD" w:rsidP="000D65AC">
      <w:pPr>
        <w:spacing w:after="120"/>
        <w:ind w:left="567"/>
        <w:rPr>
          <w:rFonts w:asciiTheme="minorHAnsi" w:eastAsia="Times New Roman" w:hAnsiTheme="minorHAnsi"/>
          <w:sz w:val="22"/>
          <w:szCs w:val="22"/>
        </w:rPr>
      </w:pPr>
      <w:r>
        <w:rPr>
          <w:rFonts w:asciiTheme="minorHAnsi" w:eastAsia="Times New Roman" w:hAnsiTheme="minorHAnsi"/>
          <w:sz w:val="22"/>
          <w:szCs w:val="22"/>
        </w:rPr>
        <w:tab/>
        <w:t>1.</w:t>
      </w:r>
      <w:r w:rsidR="00C92D46" w:rsidRPr="00782BE7">
        <w:rPr>
          <w:rFonts w:asciiTheme="minorHAnsi" w:eastAsia="Times New Roman" w:hAnsiTheme="minorHAnsi"/>
          <w:sz w:val="22"/>
          <w:szCs w:val="22"/>
        </w:rPr>
        <w:t>4</w:t>
      </w:r>
      <w:r w:rsidR="000D65AC">
        <w:rPr>
          <w:rFonts w:asciiTheme="minorHAnsi" w:eastAsia="Times New Roman" w:hAnsiTheme="minorHAnsi"/>
          <w:sz w:val="22"/>
          <w:szCs w:val="22"/>
        </w:rPr>
        <w:t>.</w:t>
      </w:r>
      <w:r w:rsidR="00C92D46" w:rsidRPr="00782BE7">
        <w:rPr>
          <w:rFonts w:asciiTheme="minorHAnsi" w:eastAsia="Times New Roman" w:hAnsiTheme="minorHAnsi"/>
          <w:sz w:val="22"/>
          <w:szCs w:val="22"/>
        </w:rPr>
        <w:tab/>
      </w:r>
      <w:r w:rsidR="00FA6F0A" w:rsidRPr="00782BE7">
        <w:rPr>
          <w:rFonts w:asciiTheme="minorHAnsi" w:eastAsia="Times New Roman" w:hAnsiTheme="minorHAnsi"/>
          <w:sz w:val="22"/>
          <w:szCs w:val="22"/>
        </w:rPr>
        <w:t xml:space="preserve">epfd </w:t>
      </w:r>
      <w:r w:rsidR="00C92D46" w:rsidRPr="00782BE7">
        <w:rPr>
          <w:rFonts w:asciiTheme="minorHAnsi" w:eastAsia="Times New Roman" w:hAnsiTheme="minorHAnsi"/>
          <w:sz w:val="22"/>
          <w:szCs w:val="22"/>
        </w:rPr>
        <w:t>validation scenario preparation</w:t>
      </w:r>
    </w:p>
    <w:p w14:paraId="39786F1A" w14:textId="0DBEE692" w:rsidR="005C6BAD" w:rsidRDefault="005C6BAD" w:rsidP="00FA6F0A">
      <w:pPr>
        <w:spacing w:after="120"/>
        <w:ind w:left="567"/>
        <w:rPr>
          <w:rFonts w:asciiTheme="minorHAnsi" w:eastAsia="Times New Roman" w:hAnsiTheme="minorHAnsi"/>
          <w:sz w:val="22"/>
          <w:szCs w:val="22"/>
        </w:rPr>
      </w:pPr>
      <w:r>
        <w:rPr>
          <w:rFonts w:asciiTheme="minorHAnsi" w:eastAsia="Times New Roman" w:hAnsiTheme="minorHAnsi"/>
          <w:sz w:val="22"/>
          <w:szCs w:val="22"/>
        </w:rPr>
        <w:t>2</w:t>
      </w:r>
      <w:r w:rsidR="000D65AC">
        <w:rPr>
          <w:rFonts w:asciiTheme="minorHAnsi" w:eastAsia="Times New Roman" w:hAnsiTheme="minorHAnsi"/>
          <w:sz w:val="22"/>
          <w:szCs w:val="22"/>
        </w:rPr>
        <w:t>.</w:t>
      </w:r>
      <w:r w:rsidR="00C92D46" w:rsidRPr="00782BE7">
        <w:rPr>
          <w:rFonts w:asciiTheme="minorHAnsi" w:eastAsia="Times New Roman" w:hAnsiTheme="minorHAnsi"/>
          <w:sz w:val="22"/>
          <w:szCs w:val="22"/>
        </w:rPr>
        <w:tab/>
      </w:r>
      <w:r>
        <w:rPr>
          <w:rFonts w:asciiTheme="minorHAnsi" w:eastAsia="Times New Roman" w:hAnsiTheme="minorHAnsi"/>
          <w:sz w:val="22"/>
          <w:szCs w:val="22"/>
        </w:rPr>
        <w:t>Computation of the epfd levels</w:t>
      </w:r>
    </w:p>
    <w:p w14:paraId="7478BFE9" w14:textId="0388BDB1" w:rsidR="00C92D46" w:rsidRPr="00782BE7" w:rsidRDefault="00442248" w:rsidP="00442248">
      <w:pPr>
        <w:spacing w:after="120"/>
        <w:ind w:left="567"/>
        <w:rPr>
          <w:rFonts w:asciiTheme="minorHAnsi" w:eastAsia="Times New Roman" w:hAnsiTheme="minorHAnsi"/>
          <w:sz w:val="22"/>
          <w:szCs w:val="22"/>
        </w:rPr>
      </w:pPr>
      <w:r>
        <w:rPr>
          <w:rFonts w:asciiTheme="minorHAnsi" w:eastAsia="Times New Roman" w:hAnsiTheme="minorHAnsi"/>
          <w:sz w:val="22"/>
          <w:szCs w:val="22"/>
        </w:rPr>
        <w:t>3</w:t>
      </w:r>
      <w:r w:rsidR="005C6BAD">
        <w:rPr>
          <w:rFonts w:asciiTheme="minorHAnsi" w:eastAsia="Times New Roman" w:hAnsiTheme="minorHAnsi"/>
          <w:sz w:val="22"/>
          <w:szCs w:val="22"/>
        </w:rPr>
        <w:t>.</w:t>
      </w:r>
      <w:r w:rsidR="005C6BAD">
        <w:rPr>
          <w:rFonts w:asciiTheme="minorHAnsi" w:eastAsia="Times New Roman" w:hAnsiTheme="minorHAnsi"/>
          <w:sz w:val="22"/>
          <w:szCs w:val="22"/>
        </w:rPr>
        <w:tab/>
      </w:r>
      <w:r w:rsidR="00FA6F0A">
        <w:rPr>
          <w:rFonts w:asciiTheme="minorHAnsi" w:eastAsia="Times New Roman" w:hAnsiTheme="minorHAnsi"/>
          <w:sz w:val="22"/>
          <w:szCs w:val="22"/>
        </w:rPr>
        <w:t>Analysis and processing of the r</w:t>
      </w:r>
      <w:r w:rsidR="00C92D46" w:rsidRPr="00782BE7">
        <w:rPr>
          <w:rFonts w:asciiTheme="minorHAnsi" w:eastAsia="Times New Roman" w:hAnsiTheme="minorHAnsi"/>
          <w:sz w:val="22"/>
          <w:szCs w:val="22"/>
        </w:rPr>
        <w:t>esult</w:t>
      </w:r>
      <w:r w:rsidR="00FA6F0A">
        <w:rPr>
          <w:rFonts w:asciiTheme="minorHAnsi" w:eastAsia="Times New Roman" w:hAnsiTheme="minorHAnsi"/>
          <w:sz w:val="22"/>
          <w:szCs w:val="22"/>
        </w:rPr>
        <w:t>s</w:t>
      </w:r>
      <w:r w:rsidR="00C92D46" w:rsidRPr="00782BE7">
        <w:rPr>
          <w:rFonts w:asciiTheme="minorHAnsi" w:eastAsia="Times New Roman" w:hAnsiTheme="minorHAnsi"/>
          <w:sz w:val="22"/>
          <w:szCs w:val="22"/>
        </w:rPr>
        <w:t xml:space="preserve"> </w:t>
      </w:r>
    </w:p>
    <w:p w14:paraId="322223FF" w14:textId="0963AB58" w:rsidR="00C92D46" w:rsidRPr="00782BE7" w:rsidRDefault="00442248" w:rsidP="00FA6F0A">
      <w:pPr>
        <w:spacing w:after="120"/>
        <w:ind w:left="567"/>
        <w:rPr>
          <w:rFonts w:asciiTheme="minorHAnsi" w:eastAsia="Times New Roman" w:hAnsiTheme="minorHAnsi"/>
          <w:sz w:val="22"/>
          <w:szCs w:val="22"/>
        </w:rPr>
      </w:pPr>
      <w:r>
        <w:rPr>
          <w:rFonts w:asciiTheme="minorHAnsi" w:eastAsia="Times New Roman" w:hAnsiTheme="minorHAnsi"/>
          <w:sz w:val="22"/>
          <w:szCs w:val="22"/>
        </w:rPr>
        <w:t>4</w:t>
      </w:r>
      <w:r w:rsidR="000D65AC">
        <w:rPr>
          <w:rFonts w:asciiTheme="minorHAnsi" w:eastAsia="Times New Roman" w:hAnsiTheme="minorHAnsi"/>
          <w:sz w:val="22"/>
          <w:szCs w:val="22"/>
        </w:rPr>
        <w:t>.</w:t>
      </w:r>
      <w:r w:rsidR="00C92D46" w:rsidRPr="00782BE7">
        <w:rPr>
          <w:rFonts w:asciiTheme="minorHAnsi" w:eastAsia="Times New Roman" w:hAnsiTheme="minorHAnsi"/>
          <w:sz w:val="22"/>
          <w:szCs w:val="22"/>
        </w:rPr>
        <w:tab/>
        <w:t xml:space="preserve">Publication of </w:t>
      </w:r>
      <w:r w:rsidR="00FA6F0A" w:rsidRPr="00782BE7">
        <w:rPr>
          <w:rFonts w:asciiTheme="minorHAnsi" w:eastAsia="Times New Roman" w:hAnsiTheme="minorHAnsi"/>
          <w:sz w:val="22"/>
          <w:szCs w:val="22"/>
        </w:rPr>
        <w:t xml:space="preserve">epfd </w:t>
      </w:r>
      <w:r w:rsidR="00FA6F0A">
        <w:rPr>
          <w:rFonts w:asciiTheme="minorHAnsi" w:eastAsia="Times New Roman" w:hAnsiTheme="minorHAnsi"/>
          <w:sz w:val="22"/>
          <w:szCs w:val="22"/>
        </w:rPr>
        <w:t>r</w:t>
      </w:r>
      <w:r w:rsidR="00C92D46" w:rsidRPr="00782BE7">
        <w:rPr>
          <w:rFonts w:asciiTheme="minorHAnsi" w:eastAsia="Times New Roman" w:hAnsiTheme="minorHAnsi"/>
          <w:sz w:val="22"/>
          <w:szCs w:val="22"/>
        </w:rPr>
        <w:t>esults</w:t>
      </w:r>
    </w:p>
    <w:p w14:paraId="37B7B027" w14:textId="4DF30ACA" w:rsidR="00E550F1" w:rsidRPr="00782BE7" w:rsidRDefault="009B679E" w:rsidP="00E550F1">
      <w:pPr>
        <w:spacing w:after="120"/>
        <w:rPr>
          <w:rFonts w:asciiTheme="minorHAnsi" w:eastAsia="Times New Roman" w:hAnsiTheme="minorHAnsi"/>
          <w:sz w:val="22"/>
          <w:szCs w:val="22"/>
        </w:rPr>
      </w:pPr>
      <w:r>
        <w:rPr>
          <w:rFonts w:asciiTheme="minorHAnsi" w:eastAsia="Times New Roman" w:hAnsiTheme="minorHAnsi"/>
          <w:sz w:val="22"/>
          <w:szCs w:val="22"/>
        </w:rPr>
        <w:t>T</w:t>
      </w:r>
      <w:r w:rsidRPr="00782BE7">
        <w:rPr>
          <w:rFonts w:asciiTheme="minorHAnsi" w:eastAsia="Times New Roman" w:hAnsiTheme="minorHAnsi"/>
          <w:sz w:val="22"/>
          <w:szCs w:val="22"/>
        </w:rPr>
        <w:t>he examination of the cases requiring longer run-time</w:t>
      </w:r>
      <w:r>
        <w:rPr>
          <w:rFonts w:asciiTheme="minorHAnsi" w:eastAsia="Times New Roman" w:hAnsiTheme="minorHAnsi"/>
          <w:sz w:val="22"/>
          <w:szCs w:val="22"/>
        </w:rPr>
        <w:t xml:space="preserve"> entails a</w:t>
      </w:r>
      <w:r w:rsidRPr="00782BE7">
        <w:rPr>
          <w:rFonts w:asciiTheme="minorHAnsi" w:eastAsia="Times New Roman" w:hAnsiTheme="minorHAnsi"/>
          <w:sz w:val="22"/>
          <w:szCs w:val="22"/>
        </w:rPr>
        <w:t xml:space="preserve">dditional workload </w:t>
      </w:r>
      <w:r>
        <w:rPr>
          <w:rFonts w:asciiTheme="minorHAnsi" w:eastAsia="Times New Roman" w:hAnsiTheme="minorHAnsi"/>
          <w:sz w:val="22"/>
          <w:szCs w:val="22"/>
        </w:rPr>
        <w:t xml:space="preserve">but the same steps apply. </w:t>
      </w:r>
      <w:r w:rsidR="00E550F1" w:rsidRPr="00782BE7">
        <w:rPr>
          <w:rFonts w:asciiTheme="minorHAnsi" w:eastAsia="Times New Roman" w:hAnsiTheme="minorHAnsi"/>
          <w:sz w:val="22"/>
          <w:szCs w:val="22"/>
        </w:rPr>
        <w:t xml:space="preserve">Factors affecting processing time for epfd </w:t>
      </w:r>
      <w:r w:rsidR="00E550F1">
        <w:rPr>
          <w:rFonts w:asciiTheme="minorHAnsi" w:eastAsia="Times New Roman" w:hAnsiTheme="minorHAnsi"/>
          <w:sz w:val="22"/>
          <w:szCs w:val="22"/>
        </w:rPr>
        <w:t>examination include: t</w:t>
      </w:r>
      <w:r w:rsidR="00E550F1" w:rsidRPr="00782BE7">
        <w:rPr>
          <w:rFonts w:asciiTheme="minorHAnsi" w:eastAsia="Times New Roman" w:hAnsiTheme="minorHAnsi"/>
          <w:sz w:val="22"/>
          <w:szCs w:val="22"/>
        </w:rPr>
        <w:t>otal number of different scenarios</w:t>
      </w:r>
      <w:r w:rsidR="00E550F1">
        <w:rPr>
          <w:rFonts w:asciiTheme="minorHAnsi" w:eastAsia="Times New Roman" w:hAnsiTheme="minorHAnsi"/>
          <w:sz w:val="22"/>
          <w:szCs w:val="22"/>
        </w:rPr>
        <w:t xml:space="preserve">, </w:t>
      </w:r>
      <w:r w:rsidR="00E550F1" w:rsidRPr="00782BE7">
        <w:rPr>
          <w:rFonts w:asciiTheme="minorHAnsi" w:eastAsia="Times New Roman" w:hAnsiTheme="minorHAnsi"/>
          <w:sz w:val="22"/>
          <w:szCs w:val="22"/>
        </w:rPr>
        <w:t>number of applicable limits</w:t>
      </w:r>
      <w:r w:rsidR="00E550F1">
        <w:rPr>
          <w:rFonts w:asciiTheme="minorHAnsi" w:eastAsia="Times New Roman" w:hAnsiTheme="minorHAnsi"/>
          <w:sz w:val="22"/>
          <w:szCs w:val="22"/>
        </w:rPr>
        <w:t xml:space="preserve">, </w:t>
      </w:r>
      <w:r w:rsidR="00E550F1" w:rsidRPr="00782BE7">
        <w:rPr>
          <w:rFonts w:asciiTheme="minorHAnsi" w:eastAsia="Times New Roman" w:hAnsiTheme="minorHAnsi"/>
          <w:sz w:val="22"/>
          <w:szCs w:val="22"/>
        </w:rPr>
        <w:t>number of satellites used in each scenario</w:t>
      </w:r>
      <w:r w:rsidR="00E550F1">
        <w:rPr>
          <w:rFonts w:asciiTheme="minorHAnsi" w:eastAsia="Times New Roman" w:hAnsiTheme="minorHAnsi"/>
          <w:sz w:val="22"/>
          <w:szCs w:val="22"/>
        </w:rPr>
        <w:t xml:space="preserve">. </w:t>
      </w:r>
    </w:p>
    <w:p w14:paraId="583CCA56" w14:textId="7CAE5688" w:rsidR="00FA6F0A" w:rsidRDefault="00FA6F0A" w:rsidP="00FA6F0A">
      <w:pPr>
        <w:spacing w:after="120"/>
        <w:rPr>
          <w:rFonts w:asciiTheme="minorHAnsi" w:eastAsia="Times New Roman" w:hAnsiTheme="minorHAnsi"/>
          <w:sz w:val="22"/>
          <w:szCs w:val="22"/>
        </w:rPr>
      </w:pPr>
      <w:r>
        <w:rPr>
          <w:rFonts w:asciiTheme="minorHAnsi" w:eastAsia="Times New Roman" w:hAnsiTheme="minorHAnsi"/>
          <w:sz w:val="22"/>
          <w:szCs w:val="22"/>
        </w:rPr>
        <w:t xml:space="preserve">In addition to these tasks, three main </w:t>
      </w:r>
      <w:r w:rsidR="00E550F1">
        <w:rPr>
          <w:rFonts w:asciiTheme="minorHAnsi" w:eastAsia="Times New Roman" w:hAnsiTheme="minorHAnsi"/>
          <w:sz w:val="22"/>
          <w:szCs w:val="22"/>
        </w:rPr>
        <w:t xml:space="preserve">supporting activities are carried out: </w:t>
      </w:r>
    </w:p>
    <w:p w14:paraId="62CBB185" w14:textId="456B117E" w:rsidR="00C92D46" w:rsidRPr="00782BE7" w:rsidRDefault="00FA6F0A" w:rsidP="00E550F1">
      <w:pPr>
        <w:spacing w:after="120"/>
        <w:rPr>
          <w:rFonts w:asciiTheme="minorHAnsi" w:eastAsia="Times New Roman" w:hAnsiTheme="minorHAnsi"/>
          <w:sz w:val="22"/>
          <w:szCs w:val="22"/>
        </w:rPr>
      </w:pPr>
      <w:r>
        <w:rPr>
          <w:rFonts w:asciiTheme="minorHAnsi" w:eastAsia="Times New Roman" w:hAnsiTheme="minorHAnsi"/>
          <w:sz w:val="22"/>
          <w:szCs w:val="22"/>
        </w:rPr>
        <w:tab/>
      </w:r>
      <w:r w:rsidR="00E550F1">
        <w:rPr>
          <w:rFonts w:asciiTheme="minorHAnsi" w:eastAsia="Times New Roman" w:hAnsiTheme="minorHAnsi"/>
          <w:sz w:val="22"/>
          <w:szCs w:val="22"/>
        </w:rPr>
        <w:t>A</w:t>
      </w:r>
      <w:r w:rsidR="000D65AC">
        <w:rPr>
          <w:rFonts w:asciiTheme="minorHAnsi" w:eastAsia="Times New Roman" w:hAnsiTheme="minorHAnsi"/>
          <w:sz w:val="22"/>
          <w:szCs w:val="22"/>
        </w:rPr>
        <w:t>.</w:t>
      </w:r>
      <w:r w:rsidR="00C92D46" w:rsidRPr="00782BE7">
        <w:rPr>
          <w:rFonts w:asciiTheme="minorHAnsi" w:eastAsia="Times New Roman" w:hAnsiTheme="minorHAnsi"/>
          <w:sz w:val="22"/>
          <w:szCs w:val="22"/>
        </w:rPr>
        <w:tab/>
        <w:t>Assistance to administrations</w:t>
      </w:r>
    </w:p>
    <w:p w14:paraId="3B662AE3" w14:textId="656F9333" w:rsidR="00C92D46" w:rsidRPr="00782BE7" w:rsidRDefault="00E550F1" w:rsidP="000D65AC">
      <w:pPr>
        <w:spacing w:after="120"/>
        <w:ind w:left="567"/>
        <w:rPr>
          <w:rFonts w:asciiTheme="minorHAnsi" w:eastAsia="Times New Roman" w:hAnsiTheme="minorHAnsi"/>
          <w:sz w:val="22"/>
          <w:szCs w:val="22"/>
        </w:rPr>
      </w:pPr>
      <w:r>
        <w:rPr>
          <w:rFonts w:asciiTheme="minorHAnsi" w:eastAsia="Times New Roman" w:hAnsiTheme="minorHAnsi"/>
          <w:sz w:val="22"/>
          <w:szCs w:val="22"/>
        </w:rPr>
        <w:t>B</w:t>
      </w:r>
      <w:r w:rsidR="000D65AC">
        <w:rPr>
          <w:rFonts w:asciiTheme="minorHAnsi" w:eastAsia="Times New Roman" w:hAnsiTheme="minorHAnsi"/>
          <w:sz w:val="22"/>
          <w:szCs w:val="22"/>
        </w:rPr>
        <w:t>.</w:t>
      </w:r>
      <w:r w:rsidR="00C92D46" w:rsidRPr="00782BE7">
        <w:rPr>
          <w:rFonts w:asciiTheme="minorHAnsi" w:eastAsia="Times New Roman" w:hAnsiTheme="minorHAnsi"/>
          <w:sz w:val="22"/>
          <w:szCs w:val="22"/>
        </w:rPr>
        <w:tab/>
        <w:t xml:space="preserve">Maintenance and technical support of </w:t>
      </w:r>
      <w:r w:rsidR="00FA6F0A" w:rsidRPr="00782BE7">
        <w:rPr>
          <w:rFonts w:asciiTheme="minorHAnsi" w:eastAsia="Times New Roman" w:hAnsiTheme="minorHAnsi"/>
          <w:sz w:val="22"/>
          <w:szCs w:val="22"/>
        </w:rPr>
        <w:t xml:space="preserve">epfd </w:t>
      </w:r>
      <w:r w:rsidR="00C92D46" w:rsidRPr="00782BE7">
        <w:rPr>
          <w:rFonts w:asciiTheme="minorHAnsi" w:eastAsia="Times New Roman" w:hAnsiTheme="minorHAnsi"/>
          <w:sz w:val="22"/>
          <w:szCs w:val="22"/>
        </w:rPr>
        <w:t>validation software</w:t>
      </w:r>
    </w:p>
    <w:p w14:paraId="59880BB3" w14:textId="2F64A1AC" w:rsidR="00C92D46" w:rsidRPr="00782BE7" w:rsidRDefault="00E550F1" w:rsidP="000D65AC">
      <w:pPr>
        <w:spacing w:after="120"/>
        <w:ind w:left="567"/>
        <w:rPr>
          <w:rFonts w:asciiTheme="minorHAnsi" w:eastAsia="Times New Roman" w:hAnsiTheme="minorHAnsi"/>
          <w:sz w:val="22"/>
          <w:szCs w:val="22"/>
        </w:rPr>
      </w:pPr>
      <w:r>
        <w:rPr>
          <w:rFonts w:asciiTheme="minorHAnsi" w:eastAsia="Times New Roman" w:hAnsiTheme="minorHAnsi"/>
          <w:sz w:val="22"/>
          <w:szCs w:val="22"/>
        </w:rPr>
        <w:t>C</w:t>
      </w:r>
      <w:r w:rsidR="000D65AC">
        <w:rPr>
          <w:rFonts w:asciiTheme="minorHAnsi" w:eastAsia="Times New Roman" w:hAnsiTheme="minorHAnsi"/>
          <w:sz w:val="22"/>
          <w:szCs w:val="22"/>
        </w:rPr>
        <w:t>.</w:t>
      </w:r>
      <w:r w:rsidR="00C92D46" w:rsidRPr="00782BE7">
        <w:rPr>
          <w:rFonts w:asciiTheme="minorHAnsi" w:eastAsia="Times New Roman" w:hAnsiTheme="minorHAnsi"/>
          <w:sz w:val="22"/>
          <w:szCs w:val="22"/>
        </w:rPr>
        <w:tab/>
        <w:t>Creation, maintenance and technical support of computer-aided tools</w:t>
      </w:r>
    </w:p>
    <w:p w14:paraId="0B258B40" w14:textId="50D8E4C8" w:rsidR="00C92D46" w:rsidRDefault="00E550F1" w:rsidP="00E550F1">
      <w:pPr>
        <w:spacing w:after="120"/>
        <w:rPr>
          <w:rFonts w:asciiTheme="minorHAnsi" w:eastAsia="Times New Roman" w:hAnsiTheme="minorHAnsi"/>
          <w:sz w:val="22"/>
          <w:szCs w:val="22"/>
        </w:rPr>
      </w:pPr>
      <w:r>
        <w:rPr>
          <w:rFonts w:asciiTheme="minorHAnsi" w:eastAsia="Times New Roman" w:hAnsiTheme="minorHAnsi"/>
          <w:sz w:val="22"/>
          <w:szCs w:val="22"/>
        </w:rPr>
        <w:t xml:space="preserve">It has to be noted that a number of non-geostationary satellite systems subject to epfd limits contained in Article 22 are also subject to coordination No. 9.7B. </w:t>
      </w:r>
      <w:r w:rsidR="00C92D46" w:rsidRPr="00782BE7">
        <w:rPr>
          <w:rFonts w:asciiTheme="minorHAnsi" w:eastAsia="Times New Roman" w:hAnsiTheme="minorHAnsi"/>
          <w:sz w:val="22"/>
          <w:szCs w:val="22"/>
        </w:rPr>
        <w:t xml:space="preserve">To establish coordination requirements under </w:t>
      </w:r>
      <w:r>
        <w:rPr>
          <w:rFonts w:asciiTheme="minorHAnsi" w:eastAsia="Times New Roman" w:hAnsiTheme="minorHAnsi"/>
          <w:sz w:val="22"/>
          <w:szCs w:val="22"/>
        </w:rPr>
        <w:t>this provision</w:t>
      </w:r>
      <w:r w:rsidR="00C92D46" w:rsidRPr="00782BE7">
        <w:rPr>
          <w:rFonts w:asciiTheme="minorHAnsi" w:eastAsia="Times New Roman" w:hAnsiTheme="minorHAnsi"/>
          <w:sz w:val="22"/>
          <w:szCs w:val="22"/>
        </w:rPr>
        <w:t xml:space="preserve">, the </w:t>
      </w:r>
      <w:r w:rsidRPr="00782BE7">
        <w:rPr>
          <w:rFonts w:asciiTheme="minorHAnsi" w:eastAsia="Times New Roman" w:hAnsiTheme="minorHAnsi"/>
          <w:sz w:val="22"/>
          <w:szCs w:val="22"/>
        </w:rPr>
        <w:t xml:space="preserve">epfd </w:t>
      </w:r>
      <w:r w:rsidR="00C92D46" w:rsidRPr="00782BE7">
        <w:rPr>
          <w:rFonts w:asciiTheme="minorHAnsi" w:eastAsia="Times New Roman" w:hAnsiTheme="minorHAnsi"/>
          <w:sz w:val="22"/>
          <w:szCs w:val="22"/>
        </w:rPr>
        <w:t xml:space="preserve">validation software has to calculate </w:t>
      </w:r>
      <w:r w:rsidRPr="00782BE7">
        <w:rPr>
          <w:rFonts w:asciiTheme="minorHAnsi" w:eastAsia="Times New Roman" w:hAnsiTheme="minorHAnsi"/>
          <w:sz w:val="22"/>
          <w:szCs w:val="22"/>
        </w:rPr>
        <w:t xml:space="preserve">epfd </w:t>
      </w:r>
      <w:r>
        <w:rPr>
          <w:rFonts w:asciiTheme="minorHAnsi" w:eastAsia="Times New Roman" w:hAnsiTheme="minorHAnsi"/>
          <w:sz w:val="22"/>
          <w:szCs w:val="22"/>
        </w:rPr>
        <w:t xml:space="preserve">levels </w:t>
      </w:r>
      <w:r w:rsidR="00C92D46" w:rsidRPr="00782BE7">
        <w:rPr>
          <w:rFonts w:asciiTheme="minorHAnsi" w:eastAsia="Times New Roman" w:hAnsiTheme="minorHAnsi"/>
          <w:sz w:val="22"/>
          <w:szCs w:val="22"/>
        </w:rPr>
        <w:t xml:space="preserve">for more than 40 very large earth stations. Since these earth stations </w:t>
      </w:r>
      <w:r>
        <w:rPr>
          <w:rFonts w:asciiTheme="minorHAnsi" w:eastAsia="Times New Roman" w:hAnsiTheme="minorHAnsi"/>
          <w:sz w:val="22"/>
          <w:szCs w:val="22"/>
        </w:rPr>
        <w:t xml:space="preserve">have </w:t>
      </w:r>
      <w:r w:rsidR="00C92D46" w:rsidRPr="00782BE7">
        <w:rPr>
          <w:rFonts w:asciiTheme="minorHAnsi" w:eastAsia="Times New Roman" w:hAnsiTheme="minorHAnsi"/>
          <w:sz w:val="22"/>
          <w:szCs w:val="22"/>
        </w:rPr>
        <w:t>very large antennas (more than 10 meters in diameter) with antenna beamwidth of less than 0.2 degrees, the algorithm requires large amount of timesteps in the calculations to make sure that in-line events are obtained. For large constellations, this requires a very significant time to complete, even longer than Article 22 calculations.</w:t>
      </w:r>
    </w:p>
    <w:p w14:paraId="1E5147C8" w14:textId="3E84717D" w:rsidR="00357325" w:rsidRDefault="00357325" w:rsidP="00357325">
      <w:pPr>
        <w:spacing w:after="120"/>
        <w:rPr>
          <w:rFonts w:asciiTheme="minorHAnsi" w:eastAsia="Times New Roman" w:hAnsiTheme="minorHAnsi"/>
          <w:sz w:val="22"/>
          <w:szCs w:val="22"/>
        </w:rPr>
      </w:pPr>
      <w:r>
        <w:rPr>
          <w:rFonts w:asciiTheme="minorHAnsi" w:eastAsia="Times New Roman" w:hAnsiTheme="minorHAnsi"/>
          <w:sz w:val="22"/>
          <w:szCs w:val="22"/>
        </w:rPr>
        <w:t xml:space="preserve">On the basis of this above-described process, three main elements are driving the costs of examination of compliance with epfd limits contained in Article 22: preparation of input data, software developments and software maintenance. </w:t>
      </w:r>
    </w:p>
    <w:p w14:paraId="3F940C7B" w14:textId="1F90AF29" w:rsidR="00363D51" w:rsidRDefault="00363D51" w:rsidP="00363D51">
      <w:pPr>
        <w:tabs>
          <w:tab w:val="left" w:pos="1418"/>
        </w:tabs>
        <w:spacing w:before="160"/>
        <w:jc w:val="both"/>
        <w:rPr>
          <w:rFonts w:asciiTheme="minorHAnsi" w:eastAsia="Times New Roman" w:hAnsiTheme="minorHAnsi"/>
          <w:b/>
          <w:bCs/>
          <w:sz w:val="22"/>
          <w:szCs w:val="22"/>
          <w:lang w:val="en-US"/>
        </w:rPr>
      </w:pPr>
      <w:r w:rsidRPr="00095EAF">
        <w:rPr>
          <w:rFonts w:asciiTheme="minorHAnsi" w:eastAsia="Times New Roman" w:hAnsiTheme="minorHAnsi"/>
          <w:b/>
          <w:bCs/>
          <w:sz w:val="22"/>
          <w:szCs w:val="22"/>
          <w:lang w:val="en-US"/>
        </w:rPr>
        <w:t>3.</w:t>
      </w:r>
      <w:r>
        <w:rPr>
          <w:rFonts w:asciiTheme="minorHAnsi" w:eastAsia="Times New Roman" w:hAnsiTheme="minorHAnsi"/>
          <w:b/>
          <w:bCs/>
          <w:sz w:val="22"/>
          <w:szCs w:val="22"/>
          <w:lang w:val="en-US"/>
        </w:rPr>
        <w:t>1.</w:t>
      </w:r>
      <w:r w:rsidRPr="00095EAF">
        <w:rPr>
          <w:rFonts w:asciiTheme="minorHAnsi" w:eastAsia="Times New Roman" w:hAnsiTheme="minorHAnsi"/>
          <w:b/>
          <w:bCs/>
          <w:sz w:val="22"/>
          <w:szCs w:val="22"/>
          <w:lang w:val="en-US"/>
        </w:rPr>
        <w:tab/>
      </w:r>
      <w:r>
        <w:rPr>
          <w:rFonts w:asciiTheme="minorHAnsi" w:eastAsia="Times New Roman" w:hAnsiTheme="minorHAnsi"/>
          <w:b/>
          <w:bCs/>
          <w:sz w:val="22"/>
          <w:szCs w:val="22"/>
          <w:lang w:val="en-US"/>
        </w:rPr>
        <w:t xml:space="preserve">Input data </w:t>
      </w:r>
    </w:p>
    <w:p w14:paraId="209CA456" w14:textId="5BA8A0D2" w:rsidR="00B63921" w:rsidRPr="00B63921" w:rsidRDefault="00B63921" w:rsidP="00B63921">
      <w:pPr>
        <w:tabs>
          <w:tab w:val="left" w:pos="1418"/>
        </w:tabs>
        <w:spacing w:before="160"/>
        <w:jc w:val="both"/>
        <w:rPr>
          <w:rFonts w:asciiTheme="minorHAnsi" w:eastAsia="Times New Roman" w:hAnsiTheme="minorHAnsi"/>
          <w:sz w:val="22"/>
          <w:szCs w:val="22"/>
        </w:rPr>
      </w:pPr>
      <w:r>
        <w:rPr>
          <w:rFonts w:asciiTheme="minorHAnsi" w:eastAsia="Times New Roman" w:hAnsiTheme="minorHAnsi"/>
          <w:sz w:val="22"/>
          <w:szCs w:val="22"/>
        </w:rPr>
        <w:t xml:space="preserve">Following the availability of an appropriate </w:t>
      </w:r>
      <w:r w:rsidRPr="00B63921">
        <w:rPr>
          <w:rFonts w:asciiTheme="minorHAnsi" w:eastAsia="Times New Roman" w:hAnsiTheme="minorHAnsi"/>
          <w:sz w:val="22"/>
          <w:szCs w:val="22"/>
        </w:rPr>
        <w:t xml:space="preserve">software, the Bureau has initiated </w:t>
      </w:r>
      <w:r>
        <w:rPr>
          <w:rFonts w:asciiTheme="minorHAnsi" w:eastAsia="Times New Roman" w:hAnsiTheme="minorHAnsi"/>
          <w:sz w:val="22"/>
          <w:szCs w:val="22"/>
        </w:rPr>
        <w:t xml:space="preserve">in 2017 </w:t>
      </w:r>
      <w:r w:rsidRPr="00B63921">
        <w:rPr>
          <w:rFonts w:asciiTheme="minorHAnsi" w:eastAsia="Times New Roman" w:hAnsiTheme="minorHAnsi"/>
          <w:sz w:val="22"/>
          <w:szCs w:val="22"/>
        </w:rPr>
        <w:t>the regulatory examination of previously published filings for which a qualified favourable finding was given in accordance with Resolution 85 (WRC-03), as well as newly received filings.</w:t>
      </w:r>
    </w:p>
    <w:p w14:paraId="16700E0B" w14:textId="77777777" w:rsidR="007B3AFF" w:rsidRDefault="00B63921" w:rsidP="007B3AFF">
      <w:pPr>
        <w:tabs>
          <w:tab w:val="left" w:pos="1418"/>
        </w:tabs>
        <w:spacing w:before="160"/>
        <w:jc w:val="both"/>
        <w:rPr>
          <w:rFonts w:asciiTheme="minorHAnsi" w:eastAsia="Times New Roman" w:hAnsiTheme="minorHAnsi"/>
          <w:sz w:val="22"/>
          <w:szCs w:val="22"/>
        </w:rPr>
      </w:pPr>
      <w:r>
        <w:rPr>
          <w:rFonts w:asciiTheme="minorHAnsi" w:eastAsia="Times New Roman" w:hAnsiTheme="minorHAnsi"/>
          <w:sz w:val="22"/>
          <w:szCs w:val="22"/>
        </w:rPr>
        <w:t>Since t</w:t>
      </w:r>
      <w:r w:rsidRPr="00B63921">
        <w:rPr>
          <w:rFonts w:asciiTheme="minorHAnsi" w:eastAsia="Times New Roman" w:hAnsiTheme="minorHAnsi"/>
          <w:sz w:val="22"/>
          <w:szCs w:val="22"/>
        </w:rPr>
        <w:t xml:space="preserve">his process is relatively new, </w:t>
      </w:r>
      <w:r>
        <w:rPr>
          <w:rFonts w:asciiTheme="minorHAnsi" w:eastAsia="Times New Roman" w:hAnsiTheme="minorHAnsi"/>
          <w:sz w:val="22"/>
          <w:szCs w:val="22"/>
        </w:rPr>
        <w:t xml:space="preserve">the time spent to complete task 1 above </w:t>
      </w:r>
      <w:r w:rsidR="005E7458">
        <w:rPr>
          <w:rFonts w:asciiTheme="minorHAnsi" w:eastAsia="Times New Roman" w:hAnsiTheme="minorHAnsi"/>
          <w:sz w:val="22"/>
          <w:szCs w:val="22"/>
        </w:rPr>
        <w:t>is currently longer than what could be expected</w:t>
      </w:r>
      <w:r w:rsidR="007B3AFF">
        <w:rPr>
          <w:rFonts w:asciiTheme="minorHAnsi" w:eastAsia="Times New Roman" w:hAnsiTheme="minorHAnsi"/>
          <w:sz w:val="22"/>
          <w:szCs w:val="22"/>
        </w:rPr>
        <w:t xml:space="preserve"> for regular processes</w:t>
      </w:r>
      <w:r w:rsidR="005E7458">
        <w:rPr>
          <w:rFonts w:asciiTheme="minorHAnsi" w:eastAsia="Times New Roman" w:hAnsiTheme="minorHAnsi"/>
          <w:sz w:val="22"/>
          <w:szCs w:val="22"/>
        </w:rPr>
        <w:t>, notably because of a lack of harmonisation in input data</w:t>
      </w:r>
      <w:r w:rsidR="007B3AFF">
        <w:rPr>
          <w:rFonts w:asciiTheme="minorHAnsi" w:eastAsia="Times New Roman" w:hAnsiTheme="minorHAnsi"/>
          <w:sz w:val="22"/>
          <w:szCs w:val="22"/>
        </w:rPr>
        <w:t>, which requires more exchange with notifying administrations and more manual work than is normally the case for other examination carried out under No. 11.31</w:t>
      </w:r>
      <w:r w:rsidR="005E7458">
        <w:rPr>
          <w:rFonts w:asciiTheme="minorHAnsi" w:eastAsia="Times New Roman" w:hAnsiTheme="minorHAnsi"/>
          <w:sz w:val="22"/>
          <w:szCs w:val="22"/>
        </w:rPr>
        <w:t xml:space="preserve">. </w:t>
      </w:r>
    </w:p>
    <w:p w14:paraId="66F12C4B" w14:textId="14B12C2B" w:rsidR="00B63921" w:rsidRDefault="005E7458" w:rsidP="007B3AFF">
      <w:pPr>
        <w:tabs>
          <w:tab w:val="left" w:pos="1418"/>
        </w:tabs>
        <w:spacing w:before="160"/>
        <w:jc w:val="both"/>
        <w:rPr>
          <w:rFonts w:asciiTheme="minorHAnsi" w:eastAsia="Times New Roman" w:hAnsiTheme="minorHAnsi"/>
          <w:sz w:val="22"/>
          <w:szCs w:val="22"/>
        </w:rPr>
      </w:pPr>
      <w:r>
        <w:rPr>
          <w:rFonts w:asciiTheme="minorHAnsi" w:eastAsia="Times New Roman" w:hAnsiTheme="minorHAnsi"/>
          <w:sz w:val="22"/>
          <w:szCs w:val="22"/>
        </w:rPr>
        <w:t>Th</w:t>
      </w:r>
      <w:r w:rsidR="007B3AFF">
        <w:rPr>
          <w:rFonts w:asciiTheme="minorHAnsi" w:eastAsia="Times New Roman" w:hAnsiTheme="minorHAnsi"/>
          <w:sz w:val="22"/>
          <w:szCs w:val="22"/>
        </w:rPr>
        <w:t>e need to harmonise</w:t>
      </w:r>
      <w:r w:rsidR="003C09AF">
        <w:rPr>
          <w:rFonts w:asciiTheme="minorHAnsi" w:eastAsia="Times New Roman" w:hAnsiTheme="minorHAnsi"/>
          <w:sz w:val="22"/>
          <w:szCs w:val="22"/>
        </w:rPr>
        <w:t>, standardize</w:t>
      </w:r>
      <w:r w:rsidR="007B3AFF">
        <w:rPr>
          <w:rFonts w:asciiTheme="minorHAnsi" w:eastAsia="Times New Roman" w:hAnsiTheme="minorHAnsi"/>
          <w:sz w:val="22"/>
          <w:szCs w:val="22"/>
        </w:rPr>
        <w:t xml:space="preserve"> and streamline the data items provided by notifying administrations on the basis of Appendix 4 data elements</w:t>
      </w:r>
      <w:r>
        <w:rPr>
          <w:rFonts w:asciiTheme="minorHAnsi" w:eastAsia="Times New Roman" w:hAnsiTheme="minorHAnsi"/>
          <w:sz w:val="22"/>
          <w:szCs w:val="22"/>
        </w:rPr>
        <w:t xml:space="preserve"> has been addressed by ITU-R Working Party 4A, together with the impact of the approval of revision 3 to Recommendation ITU-R S.1503 on 15 January 2018</w:t>
      </w:r>
      <w:r w:rsidR="005C6BAD">
        <w:rPr>
          <w:rFonts w:asciiTheme="minorHAnsi" w:eastAsia="Times New Roman" w:hAnsiTheme="minorHAnsi"/>
          <w:sz w:val="22"/>
          <w:szCs w:val="22"/>
        </w:rPr>
        <w:t xml:space="preserve"> </w:t>
      </w:r>
      <w:r w:rsidR="005C6BAD" w:rsidRPr="00B63921">
        <w:rPr>
          <w:rFonts w:asciiTheme="minorHAnsi" w:eastAsia="Times New Roman" w:hAnsiTheme="minorHAnsi"/>
          <w:sz w:val="22"/>
          <w:szCs w:val="22"/>
        </w:rPr>
        <w:t xml:space="preserve">(see </w:t>
      </w:r>
      <w:hyperlink r:id="rId10" w:history="1">
        <w:r w:rsidR="005C6BAD" w:rsidRPr="005C6BAD">
          <w:rPr>
            <w:rStyle w:val="Hyperlink"/>
            <w:rFonts w:asciiTheme="minorHAnsi" w:eastAsia="Times New Roman" w:hAnsiTheme="minorHAnsi"/>
            <w:sz w:val="22"/>
            <w:szCs w:val="22"/>
          </w:rPr>
          <w:t>Circular Letter CACE/855</w:t>
        </w:r>
      </w:hyperlink>
      <w:r w:rsidR="005C6BAD" w:rsidRPr="00B63921">
        <w:rPr>
          <w:rFonts w:asciiTheme="minorHAnsi" w:eastAsia="Times New Roman" w:hAnsiTheme="minorHAnsi"/>
          <w:sz w:val="22"/>
          <w:szCs w:val="22"/>
        </w:rPr>
        <w:t>)</w:t>
      </w:r>
      <w:r>
        <w:rPr>
          <w:rFonts w:asciiTheme="minorHAnsi" w:eastAsia="Times New Roman" w:hAnsiTheme="minorHAnsi"/>
          <w:sz w:val="22"/>
          <w:szCs w:val="22"/>
        </w:rPr>
        <w:t>, in the framework of preparation of WRC-19 agenda item 7 and has led to Issue L of this agenda item</w:t>
      </w:r>
      <w:r w:rsidR="005C6BAD">
        <w:rPr>
          <w:rFonts w:asciiTheme="minorHAnsi" w:eastAsia="Times New Roman" w:hAnsiTheme="minorHAnsi"/>
          <w:sz w:val="22"/>
          <w:szCs w:val="22"/>
        </w:rPr>
        <w:t xml:space="preserve"> (see section 3/7/12 of the draft CPM report, </w:t>
      </w:r>
      <w:hyperlink r:id="rId11" w:history="1">
        <w:r w:rsidR="005C6BAD" w:rsidRPr="005C6BAD">
          <w:rPr>
            <w:rStyle w:val="Hyperlink"/>
            <w:rFonts w:asciiTheme="minorHAnsi" w:eastAsia="Times New Roman" w:hAnsiTheme="minorHAnsi"/>
            <w:sz w:val="22"/>
            <w:szCs w:val="22"/>
          </w:rPr>
          <w:t>Document CPM19-2/1</w:t>
        </w:r>
      </w:hyperlink>
      <w:r w:rsidR="005C6BAD">
        <w:rPr>
          <w:rFonts w:asciiTheme="minorHAnsi" w:eastAsia="Times New Roman" w:hAnsiTheme="minorHAnsi"/>
          <w:sz w:val="22"/>
          <w:szCs w:val="22"/>
        </w:rPr>
        <w:t xml:space="preserve">). </w:t>
      </w:r>
    </w:p>
    <w:p w14:paraId="5386E5FD" w14:textId="6D86A758" w:rsidR="007B3AFF" w:rsidRPr="00B63921" w:rsidRDefault="00B63921" w:rsidP="007B3AFF">
      <w:pPr>
        <w:tabs>
          <w:tab w:val="left" w:pos="1418"/>
        </w:tabs>
        <w:spacing w:before="160"/>
        <w:jc w:val="both"/>
        <w:rPr>
          <w:rFonts w:asciiTheme="minorHAnsi" w:eastAsia="Times New Roman" w:hAnsiTheme="minorHAnsi"/>
          <w:sz w:val="22"/>
          <w:szCs w:val="22"/>
        </w:rPr>
      </w:pPr>
      <w:r w:rsidRPr="00B63921">
        <w:rPr>
          <w:rFonts w:asciiTheme="minorHAnsi" w:eastAsia="Times New Roman" w:hAnsiTheme="minorHAnsi"/>
          <w:sz w:val="22"/>
          <w:szCs w:val="22"/>
        </w:rPr>
        <w:t xml:space="preserve">The Bureau </w:t>
      </w:r>
      <w:r w:rsidR="005C6BAD">
        <w:rPr>
          <w:rFonts w:asciiTheme="minorHAnsi" w:eastAsia="Times New Roman" w:hAnsiTheme="minorHAnsi"/>
          <w:sz w:val="22"/>
          <w:szCs w:val="22"/>
        </w:rPr>
        <w:t xml:space="preserve">considers </w:t>
      </w:r>
      <w:r w:rsidRPr="00B63921">
        <w:rPr>
          <w:rFonts w:asciiTheme="minorHAnsi" w:eastAsia="Times New Roman" w:hAnsiTheme="minorHAnsi"/>
          <w:sz w:val="22"/>
          <w:szCs w:val="22"/>
        </w:rPr>
        <w:t>that the</w:t>
      </w:r>
      <w:r w:rsidR="005C6BAD">
        <w:rPr>
          <w:rFonts w:asciiTheme="minorHAnsi" w:eastAsia="Times New Roman" w:hAnsiTheme="minorHAnsi"/>
          <w:sz w:val="22"/>
          <w:szCs w:val="22"/>
        </w:rPr>
        <w:t xml:space="preserve"> proposed</w:t>
      </w:r>
      <w:r w:rsidRPr="00B63921">
        <w:rPr>
          <w:rFonts w:asciiTheme="minorHAnsi" w:eastAsia="Times New Roman" w:hAnsiTheme="minorHAnsi"/>
          <w:sz w:val="22"/>
          <w:szCs w:val="22"/>
        </w:rPr>
        <w:t xml:space="preserve"> changes would provide a more precise description of non-GSO system operational characteristics and would allow notifying administrations to submit one set of data including different configurations of operational characteristics rather than submitting several different configurations, which renders data integration into the MIFR SNS database difficult.</w:t>
      </w:r>
      <w:r w:rsidR="007B3AFF">
        <w:rPr>
          <w:rFonts w:asciiTheme="minorHAnsi" w:eastAsia="Times New Roman" w:hAnsiTheme="minorHAnsi"/>
          <w:sz w:val="22"/>
          <w:szCs w:val="22"/>
        </w:rPr>
        <w:t xml:space="preserve"> If adopted by WRC-19, these changes have the potential to reduce, on the long-term, the time spent in preparing input data for examination of compliance with epfd limits of Article 22. </w:t>
      </w:r>
    </w:p>
    <w:p w14:paraId="69511BDA" w14:textId="22AC13E8" w:rsidR="00363D51" w:rsidRPr="00095EAF" w:rsidRDefault="00363D51" w:rsidP="00363D51">
      <w:pPr>
        <w:tabs>
          <w:tab w:val="left" w:pos="1418"/>
        </w:tabs>
        <w:spacing w:before="160"/>
        <w:jc w:val="both"/>
        <w:rPr>
          <w:rFonts w:asciiTheme="minorHAnsi" w:eastAsia="Times New Roman" w:hAnsiTheme="minorHAnsi"/>
          <w:b/>
          <w:bCs/>
          <w:sz w:val="22"/>
          <w:szCs w:val="22"/>
          <w:lang w:val="en-US"/>
        </w:rPr>
      </w:pPr>
      <w:r>
        <w:rPr>
          <w:rFonts w:asciiTheme="minorHAnsi" w:eastAsia="Times New Roman" w:hAnsiTheme="minorHAnsi"/>
          <w:b/>
          <w:bCs/>
          <w:sz w:val="22"/>
          <w:szCs w:val="22"/>
          <w:lang w:val="en-US"/>
        </w:rPr>
        <w:t xml:space="preserve">3.2 </w:t>
      </w:r>
      <w:r>
        <w:rPr>
          <w:rFonts w:asciiTheme="minorHAnsi" w:eastAsia="Times New Roman" w:hAnsiTheme="minorHAnsi"/>
          <w:b/>
          <w:bCs/>
          <w:sz w:val="22"/>
          <w:szCs w:val="22"/>
          <w:lang w:val="en-US"/>
        </w:rPr>
        <w:tab/>
        <w:t>Software development</w:t>
      </w:r>
      <w:r w:rsidR="00357325">
        <w:rPr>
          <w:rFonts w:asciiTheme="minorHAnsi" w:eastAsia="Times New Roman" w:hAnsiTheme="minorHAnsi"/>
          <w:b/>
          <w:bCs/>
          <w:sz w:val="22"/>
          <w:szCs w:val="22"/>
          <w:lang w:val="en-US"/>
        </w:rPr>
        <w:t>s</w:t>
      </w:r>
    </w:p>
    <w:p w14:paraId="2A3CD8F9" w14:textId="77777777" w:rsidR="0045016D" w:rsidRDefault="00E550F1" w:rsidP="0045016D">
      <w:pPr>
        <w:spacing w:after="120"/>
        <w:jc w:val="both"/>
        <w:rPr>
          <w:rFonts w:asciiTheme="minorHAnsi" w:eastAsia="Times New Roman" w:hAnsiTheme="minorHAnsi"/>
          <w:sz w:val="22"/>
          <w:szCs w:val="22"/>
          <w:lang w:val="en-US"/>
        </w:rPr>
      </w:pPr>
      <w:r w:rsidRPr="00363D51">
        <w:rPr>
          <w:rFonts w:asciiTheme="minorHAnsi" w:eastAsia="Times New Roman" w:hAnsiTheme="minorHAnsi"/>
          <w:sz w:val="22"/>
          <w:szCs w:val="22"/>
          <w:lang w:val="en-US"/>
        </w:rPr>
        <w:t xml:space="preserve">Based on the experience in addressing </w:t>
      </w:r>
      <w:r w:rsidR="00CB32AC">
        <w:rPr>
          <w:rFonts w:asciiTheme="minorHAnsi" w:eastAsia="Times New Roman" w:hAnsiTheme="minorHAnsi"/>
          <w:sz w:val="22"/>
          <w:szCs w:val="22"/>
          <w:lang w:val="en-US"/>
        </w:rPr>
        <w:t>r</w:t>
      </w:r>
      <w:r w:rsidRPr="00363D51">
        <w:rPr>
          <w:rFonts w:asciiTheme="minorHAnsi" w:eastAsia="Times New Roman" w:hAnsiTheme="minorHAnsi"/>
          <w:sz w:val="22"/>
          <w:szCs w:val="22"/>
          <w:lang w:val="en-US"/>
        </w:rPr>
        <w:t xml:space="preserve">evision 2 to Recommendation ITU-R S.1503 and </w:t>
      </w:r>
      <w:r w:rsidR="00CB32AC">
        <w:rPr>
          <w:rFonts w:asciiTheme="minorHAnsi" w:eastAsia="Times New Roman" w:hAnsiTheme="minorHAnsi"/>
          <w:sz w:val="22"/>
          <w:szCs w:val="22"/>
          <w:lang w:val="en-US"/>
        </w:rPr>
        <w:t xml:space="preserve">recent </w:t>
      </w:r>
      <w:r w:rsidR="00CB32AC">
        <w:rPr>
          <w:rFonts w:asciiTheme="minorHAnsi" w:eastAsia="Times New Roman" w:hAnsiTheme="minorHAnsi"/>
          <w:sz w:val="22"/>
          <w:szCs w:val="22"/>
        </w:rPr>
        <w:t xml:space="preserve">approval of revision 3 to Recommendation ITU-R S.1503 by </w:t>
      </w:r>
      <w:r w:rsidRPr="00363D51">
        <w:rPr>
          <w:rFonts w:asciiTheme="minorHAnsi" w:eastAsia="Times New Roman" w:hAnsiTheme="minorHAnsi"/>
          <w:sz w:val="22"/>
          <w:szCs w:val="22"/>
          <w:lang w:val="en-US"/>
        </w:rPr>
        <w:t>Study Group 4</w:t>
      </w:r>
      <w:r w:rsidR="00CB32AC" w:rsidRPr="00CB32AC">
        <w:rPr>
          <w:rFonts w:asciiTheme="minorHAnsi" w:eastAsia="Times New Roman" w:hAnsiTheme="minorHAnsi"/>
          <w:sz w:val="22"/>
          <w:szCs w:val="22"/>
        </w:rPr>
        <w:t xml:space="preserve"> </w:t>
      </w:r>
      <w:r w:rsidR="00CB32AC">
        <w:rPr>
          <w:rFonts w:asciiTheme="minorHAnsi" w:eastAsia="Times New Roman" w:hAnsiTheme="minorHAnsi"/>
          <w:sz w:val="22"/>
          <w:szCs w:val="22"/>
        </w:rPr>
        <w:t>on 15 January 2018</w:t>
      </w:r>
      <w:r w:rsidRPr="00363D51">
        <w:rPr>
          <w:rFonts w:asciiTheme="minorHAnsi" w:eastAsia="Times New Roman" w:hAnsiTheme="minorHAnsi"/>
          <w:sz w:val="22"/>
          <w:szCs w:val="22"/>
          <w:lang w:val="en-US"/>
        </w:rPr>
        <w:t xml:space="preserve">, the Bureau </w:t>
      </w:r>
      <w:r w:rsidR="00CB32AC">
        <w:rPr>
          <w:rFonts w:asciiTheme="minorHAnsi" w:eastAsia="Times New Roman" w:hAnsiTheme="minorHAnsi"/>
          <w:sz w:val="22"/>
          <w:szCs w:val="22"/>
          <w:lang w:val="en-US"/>
        </w:rPr>
        <w:t xml:space="preserve">notes </w:t>
      </w:r>
      <w:r w:rsidRPr="00363D51">
        <w:rPr>
          <w:rFonts w:asciiTheme="minorHAnsi" w:eastAsia="Times New Roman" w:hAnsiTheme="minorHAnsi"/>
          <w:sz w:val="22"/>
          <w:szCs w:val="22"/>
          <w:lang w:val="en-US"/>
        </w:rPr>
        <w:t xml:space="preserve">that software update </w:t>
      </w:r>
      <w:r w:rsidR="002B6677">
        <w:rPr>
          <w:rFonts w:asciiTheme="minorHAnsi" w:eastAsia="Times New Roman" w:hAnsiTheme="minorHAnsi"/>
          <w:sz w:val="22"/>
          <w:szCs w:val="22"/>
          <w:lang w:val="en-US"/>
        </w:rPr>
        <w:t xml:space="preserve">may </w:t>
      </w:r>
      <w:r w:rsidR="0045016D">
        <w:rPr>
          <w:rFonts w:asciiTheme="minorHAnsi" w:eastAsia="Times New Roman" w:hAnsiTheme="minorHAnsi"/>
          <w:sz w:val="22"/>
          <w:szCs w:val="22"/>
          <w:lang w:val="en-US"/>
        </w:rPr>
        <w:t xml:space="preserve">have to be conducted </w:t>
      </w:r>
      <w:r w:rsidR="00CB32AC">
        <w:rPr>
          <w:rFonts w:asciiTheme="minorHAnsi" w:eastAsia="Times New Roman" w:hAnsiTheme="minorHAnsi"/>
          <w:sz w:val="22"/>
          <w:szCs w:val="22"/>
          <w:lang w:val="en-US"/>
        </w:rPr>
        <w:t xml:space="preserve">roughly </w:t>
      </w:r>
      <w:r w:rsidRPr="00363D51">
        <w:rPr>
          <w:rFonts w:asciiTheme="minorHAnsi" w:eastAsia="Times New Roman" w:hAnsiTheme="minorHAnsi"/>
          <w:sz w:val="22"/>
          <w:szCs w:val="22"/>
          <w:lang w:val="en-US"/>
        </w:rPr>
        <w:t>every 4</w:t>
      </w:r>
      <w:r w:rsidR="002B6677">
        <w:rPr>
          <w:rFonts w:asciiTheme="minorHAnsi" w:eastAsia="Times New Roman" w:hAnsiTheme="minorHAnsi"/>
          <w:sz w:val="22"/>
          <w:szCs w:val="22"/>
          <w:lang w:val="en-US"/>
        </w:rPr>
        <w:t>-5</w:t>
      </w:r>
      <w:r w:rsidRPr="00363D51">
        <w:rPr>
          <w:rFonts w:asciiTheme="minorHAnsi" w:eastAsia="Times New Roman" w:hAnsiTheme="minorHAnsi"/>
          <w:sz w:val="22"/>
          <w:szCs w:val="22"/>
          <w:lang w:val="en-US"/>
        </w:rPr>
        <w:t xml:space="preserve"> years</w:t>
      </w:r>
      <w:r w:rsidR="00CB32AC">
        <w:rPr>
          <w:rFonts w:asciiTheme="minorHAnsi" w:eastAsia="Times New Roman" w:hAnsiTheme="minorHAnsi"/>
          <w:sz w:val="22"/>
          <w:szCs w:val="22"/>
          <w:lang w:val="en-US"/>
        </w:rPr>
        <w:t xml:space="preserve">. </w:t>
      </w:r>
    </w:p>
    <w:p w14:paraId="6A7F5620" w14:textId="296AC340" w:rsidR="002B6677" w:rsidRPr="00363D51" w:rsidRDefault="0045016D" w:rsidP="0045016D">
      <w:pPr>
        <w:spacing w:after="120"/>
        <w:jc w:val="both"/>
        <w:rPr>
          <w:rFonts w:asciiTheme="minorHAnsi" w:eastAsia="Times New Roman" w:hAnsiTheme="minorHAnsi"/>
          <w:sz w:val="22"/>
          <w:szCs w:val="22"/>
          <w:lang w:val="en-US"/>
        </w:rPr>
      </w:pPr>
      <w:r>
        <w:rPr>
          <w:rFonts w:asciiTheme="minorHAnsi" w:eastAsia="Times New Roman" w:hAnsiTheme="minorHAnsi"/>
          <w:sz w:val="22"/>
          <w:szCs w:val="22"/>
          <w:lang w:val="en-US"/>
        </w:rPr>
        <w:t>H</w:t>
      </w:r>
      <w:r w:rsidR="00CB32AC">
        <w:rPr>
          <w:rFonts w:asciiTheme="minorHAnsi" w:eastAsia="Times New Roman" w:hAnsiTheme="minorHAnsi"/>
          <w:sz w:val="22"/>
          <w:szCs w:val="22"/>
          <w:lang w:val="en-US"/>
        </w:rPr>
        <w:t xml:space="preserve">owever </w:t>
      </w:r>
      <w:r>
        <w:rPr>
          <w:rFonts w:asciiTheme="minorHAnsi" w:eastAsia="Times New Roman" w:hAnsiTheme="minorHAnsi"/>
          <w:sz w:val="22"/>
          <w:szCs w:val="22"/>
          <w:lang w:val="en-US"/>
        </w:rPr>
        <w:t>revisions</w:t>
      </w:r>
      <w:r w:rsidR="00CB32AC">
        <w:rPr>
          <w:rFonts w:asciiTheme="minorHAnsi" w:eastAsia="Times New Roman" w:hAnsiTheme="minorHAnsi"/>
          <w:sz w:val="22"/>
          <w:szCs w:val="22"/>
          <w:lang w:val="en-US"/>
        </w:rPr>
        <w:t xml:space="preserve"> to </w:t>
      </w:r>
      <w:r w:rsidR="00E550F1" w:rsidRPr="00363D51">
        <w:rPr>
          <w:rFonts w:asciiTheme="minorHAnsi" w:eastAsia="Times New Roman" w:hAnsiTheme="minorHAnsi"/>
          <w:sz w:val="22"/>
          <w:szCs w:val="22"/>
          <w:lang w:val="en-US"/>
        </w:rPr>
        <w:t>Recommendation ITU-R S.1503</w:t>
      </w:r>
      <w:r w:rsidR="00CB32AC">
        <w:rPr>
          <w:rFonts w:asciiTheme="minorHAnsi" w:eastAsia="Times New Roman" w:hAnsiTheme="minorHAnsi"/>
          <w:sz w:val="22"/>
          <w:szCs w:val="22"/>
          <w:lang w:val="en-US"/>
        </w:rPr>
        <w:t xml:space="preserve"> are driven by contributions of the ITU-R membership and work conducted within ITU-R Working Party 4A. With the increased interest for innovative non-geostationary satellite systems, it may also be anticipated that more updates </w:t>
      </w:r>
      <w:r w:rsidR="002B6677">
        <w:rPr>
          <w:rFonts w:asciiTheme="minorHAnsi" w:eastAsia="Times New Roman" w:hAnsiTheme="minorHAnsi"/>
          <w:sz w:val="22"/>
          <w:szCs w:val="22"/>
          <w:lang w:val="en-US"/>
        </w:rPr>
        <w:t>may be proposed. Noting that section A2.6.1 of Resolution ITU-R 1-7 indicates that “(…)</w:t>
      </w:r>
      <w:r w:rsidR="002B6677" w:rsidRPr="002B6677">
        <w:rPr>
          <w:rFonts w:asciiTheme="minorHAnsi" w:eastAsia="Times New Roman" w:hAnsiTheme="minorHAnsi"/>
          <w:sz w:val="22"/>
          <w:szCs w:val="22"/>
          <w:lang w:val="en-US"/>
        </w:rPr>
        <w:t>in the interests of stability, Recommendations should not normally be revised more frequently than every two years, unless the proposed revision, which complements rather than changes the agreement reached in the previous version, urgently needs to be included, or unless significant errors or omissions are identified</w:t>
      </w:r>
      <w:r w:rsidR="002B6677">
        <w:rPr>
          <w:rFonts w:asciiTheme="minorHAnsi" w:eastAsia="Times New Roman" w:hAnsiTheme="minorHAnsi"/>
          <w:sz w:val="22"/>
          <w:szCs w:val="22"/>
          <w:lang w:val="en-US"/>
        </w:rPr>
        <w:t xml:space="preserve">”, also noting that modifications to existing ITU-R Recommendations similar to Recommendation ITU-R S.1503 generally take three or four meetings of ITU-R Working Party 4A to be completed and that there is one Study Group 4 meeting per year, a reasonable minimum interval between two revisions to Recommendation ITU-R S.1503 could be set at </w:t>
      </w:r>
      <w:r>
        <w:rPr>
          <w:rFonts w:asciiTheme="minorHAnsi" w:eastAsia="Times New Roman" w:hAnsiTheme="minorHAnsi"/>
          <w:sz w:val="22"/>
          <w:szCs w:val="22"/>
          <w:lang w:val="en-US"/>
        </w:rPr>
        <w:t>2</w:t>
      </w:r>
      <w:r w:rsidR="002B6677">
        <w:rPr>
          <w:rFonts w:asciiTheme="minorHAnsi" w:eastAsia="Times New Roman" w:hAnsiTheme="minorHAnsi"/>
          <w:sz w:val="22"/>
          <w:szCs w:val="22"/>
          <w:lang w:val="en-US"/>
        </w:rPr>
        <w:t xml:space="preserve"> years. </w:t>
      </w:r>
    </w:p>
    <w:p w14:paraId="19088B74" w14:textId="1C722ED6" w:rsidR="0045016D" w:rsidRDefault="00E550F1" w:rsidP="00DB19E2">
      <w:pPr>
        <w:spacing w:after="120"/>
        <w:jc w:val="both"/>
        <w:rPr>
          <w:rFonts w:asciiTheme="minorHAnsi" w:eastAsia="Times New Roman" w:hAnsiTheme="minorHAnsi"/>
          <w:sz w:val="22"/>
          <w:szCs w:val="22"/>
          <w:lang w:val="en-US"/>
        </w:rPr>
      </w:pPr>
      <w:r w:rsidRPr="00363D51">
        <w:rPr>
          <w:rFonts w:asciiTheme="minorHAnsi" w:eastAsia="Times New Roman" w:hAnsiTheme="minorHAnsi"/>
          <w:sz w:val="22"/>
          <w:szCs w:val="22"/>
          <w:lang w:val="en-US"/>
        </w:rPr>
        <w:t>Required cost</w:t>
      </w:r>
      <w:r w:rsidR="0045016D">
        <w:rPr>
          <w:rFonts w:asciiTheme="minorHAnsi" w:eastAsia="Times New Roman" w:hAnsiTheme="minorHAnsi"/>
          <w:sz w:val="22"/>
          <w:szCs w:val="22"/>
          <w:lang w:val="en-US"/>
        </w:rPr>
        <w:t>s</w:t>
      </w:r>
      <w:r w:rsidRPr="00363D51">
        <w:rPr>
          <w:rFonts w:asciiTheme="minorHAnsi" w:eastAsia="Times New Roman" w:hAnsiTheme="minorHAnsi"/>
          <w:sz w:val="22"/>
          <w:szCs w:val="22"/>
          <w:lang w:val="en-US"/>
        </w:rPr>
        <w:t xml:space="preserve"> for software update</w:t>
      </w:r>
      <w:r w:rsidR="0045016D">
        <w:rPr>
          <w:rFonts w:asciiTheme="minorHAnsi" w:eastAsia="Times New Roman" w:hAnsiTheme="minorHAnsi"/>
          <w:sz w:val="22"/>
          <w:szCs w:val="22"/>
          <w:lang w:val="en-US"/>
        </w:rPr>
        <w:t>s</w:t>
      </w:r>
      <w:r w:rsidRPr="00363D51">
        <w:rPr>
          <w:rFonts w:asciiTheme="minorHAnsi" w:eastAsia="Times New Roman" w:hAnsiTheme="minorHAnsi"/>
          <w:sz w:val="22"/>
          <w:szCs w:val="22"/>
          <w:lang w:val="en-US"/>
        </w:rPr>
        <w:t xml:space="preserve"> </w:t>
      </w:r>
      <w:r w:rsidR="0045016D">
        <w:rPr>
          <w:rFonts w:asciiTheme="minorHAnsi" w:eastAsia="Times New Roman" w:hAnsiTheme="minorHAnsi"/>
          <w:sz w:val="22"/>
          <w:szCs w:val="22"/>
          <w:lang w:val="en-US"/>
        </w:rPr>
        <w:t xml:space="preserve">stemming from revisions to Recommendation ITU-R S.1503 </w:t>
      </w:r>
      <w:r w:rsidRPr="00363D51">
        <w:rPr>
          <w:rFonts w:asciiTheme="minorHAnsi" w:eastAsia="Times New Roman" w:hAnsiTheme="minorHAnsi"/>
          <w:sz w:val="22"/>
          <w:szCs w:val="22"/>
          <w:lang w:val="en-US"/>
        </w:rPr>
        <w:t xml:space="preserve">would </w:t>
      </w:r>
      <w:r w:rsidR="0045016D" w:rsidRPr="00363D51">
        <w:rPr>
          <w:rFonts w:asciiTheme="minorHAnsi" w:eastAsia="Times New Roman" w:hAnsiTheme="minorHAnsi"/>
          <w:sz w:val="22"/>
          <w:szCs w:val="22"/>
          <w:lang w:val="en-US"/>
        </w:rPr>
        <w:t xml:space="preserve">largely </w:t>
      </w:r>
      <w:r w:rsidRPr="00363D51">
        <w:rPr>
          <w:rFonts w:asciiTheme="minorHAnsi" w:eastAsia="Times New Roman" w:hAnsiTheme="minorHAnsi"/>
          <w:sz w:val="22"/>
          <w:szCs w:val="22"/>
          <w:lang w:val="en-US"/>
        </w:rPr>
        <w:t xml:space="preserve">depend on the modifications introduced </w:t>
      </w:r>
      <w:r w:rsidR="0045016D">
        <w:rPr>
          <w:rFonts w:asciiTheme="minorHAnsi" w:eastAsia="Times New Roman" w:hAnsiTheme="minorHAnsi"/>
          <w:sz w:val="22"/>
          <w:szCs w:val="22"/>
          <w:lang w:val="en-US"/>
        </w:rPr>
        <w:t>by each revision</w:t>
      </w:r>
      <w:r w:rsidRPr="00363D51">
        <w:rPr>
          <w:rFonts w:asciiTheme="minorHAnsi" w:eastAsia="Times New Roman" w:hAnsiTheme="minorHAnsi"/>
          <w:sz w:val="22"/>
          <w:szCs w:val="22"/>
          <w:lang w:val="en-US"/>
        </w:rPr>
        <w:t xml:space="preserve">. </w:t>
      </w:r>
    </w:p>
    <w:p w14:paraId="0B7E0416" w14:textId="77777777" w:rsidR="005F4CF5" w:rsidRDefault="00DB19E2" w:rsidP="00DB19E2">
      <w:pPr>
        <w:spacing w:after="120"/>
        <w:jc w:val="both"/>
        <w:rPr>
          <w:rFonts w:asciiTheme="minorHAnsi" w:eastAsia="Times New Roman" w:hAnsiTheme="minorHAnsi"/>
          <w:sz w:val="22"/>
          <w:szCs w:val="22"/>
          <w:lang w:val="en-US"/>
        </w:rPr>
      </w:pPr>
      <w:r>
        <w:rPr>
          <w:rFonts w:asciiTheme="minorHAnsi" w:eastAsia="Times New Roman" w:hAnsiTheme="minorHAnsi"/>
          <w:sz w:val="22"/>
          <w:szCs w:val="22"/>
          <w:lang w:val="en-US"/>
        </w:rPr>
        <w:t>The Council Expert Group is therefore invited to discuss whether such software updates should be</w:t>
      </w:r>
      <w:r w:rsidR="005F4CF5">
        <w:rPr>
          <w:rFonts w:asciiTheme="minorHAnsi" w:eastAsia="Times New Roman" w:hAnsiTheme="minorHAnsi"/>
          <w:sz w:val="22"/>
          <w:szCs w:val="22"/>
          <w:lang w:val="en-US"/>
        </w:rPr>
        <w:t xml:space="preserve">: </w:t>
      </w:r>
    </w:p>
    <w:p w14:paraId="06EB2431" w14:textId="77777777" w:rsidR="005F4CF5" w:rsidRDefault="00DB19E2" w:rsidP="005F4CF5">
      <w:pPr>
        <w:pStyle w:val="ListParagraph"/>
        <w:numPr>
          <w:ilvl w:val="0"/>
          <w:numId w:val="15"/>
        </w:numPr>
        <w:spacing w:after="120"/>
        <w:jc w:val="both"/>
        <w:rPr>
          <w:rFonts w:eastAsia="Times New Roman"/>
        </w:rPr>
      </w:pPr>
      <w:r w:rsidRPr="005F4CF5">
        <w:rPr>
          <w:rFonts w:eastAsia="Times New Roman"/>
        </w:rPr>
        <w:t xml:space="preserve">incorporated in the regular cost recovery fee structure </w:t>
      </w:r>
      <w:r w:rsidR="005F4CF5">
        <w:rPr>
          <w:rFonts w:eastAsia="Times New Roman"/>
        </w:rPr>
        <w:t xml:space="preserve">: </w:t>
      </w:r>
      <w:r w:rsidRPr="005F4CF5">
        <w:rPr>
          <w:rFonts w:eastAsia="Times New Roman"/>
        </w:rPr>
        <w:t>this could only be based on historical data, that may or may not reflect the costs associated with future updates</w:t>
      </w:r>
      <w:r w:rsidR="005F4CF5">
        <w:rPr>
          <w:rFonts w:eastAsia="Times New Roman"/>
        </w:rPr>
        <w:t xml:space="preserve">, </w:t>
      </w:r>
      <w:r w:rsidRPr="005F4CF5">
        <w:rPr>
          <w:rFonts w:eastAsia="Times New Roman"/>
        </w:rPr>
        <w:t xml:space="preserve">or </w:t>
      </w:r>
    </w:p>
    <w:p w14:paraId="637B815C" w14:textId="1654B257" w:rsidR="00DB19E2" w:rsidRPr="005F4CF5" w:rsidRDefault="00DB19E2" w:rsidP="005F4CF5">
      <w:pPr>
        <w:pStyle w:val="ListParagraph"/>
        <w:numPr>
          <w:ilvl w:val="0"/>
          <w:numId w:val="15"/>
        </w:numPr>
        <w:spacing w:after="120"/>
        <w:jc w:val="both"/>
        <w:rPr>
          <w:rFonts w:eastAsia="Times New Roman"/>
        </w:rPr>
      </w:pPr>
      <w:r w:rsidRPr="005F4CF5">
        <w:rPr>
          <w:rFonts w:eastAsia="Times New Roman"/>
        </w:rPr>
        <w:t>discussed separately by the Council during the approval of biennal budgets</w:t>
      </w:r>
      <w:r w:rsidR="005F4CF5">
        <w:rPr>
          <w:rFonts w:eastAsia="Times New Roman"/>
        </w:rPr>
        <w:t xml:space="preserve">: </w:t>
      </w:r>
      <w:r w:rsidRPr="005F4CF5">
        <w:rPr>
          <w:rFonts w:eastAsia="Times New Roman"/>
        </w:rPr>
        <w:t>a possible procedure could be as follows: after the approval of a revision to Recommendation ITU-R S.1503, the Radiocommunication Bureau would prepare an assessment of the costs of the software update and present it to the next Council session approving a biennal budget so that the Council may decide on the appropriate level of budget required to implement this updat</w:t>
      </w:r>
      <w:r w:rsidR="005F4CF5">
        <w:rPr>
          <w:rFonts w:eastAsia="Times New Roman"/>
        </w:rPr>
        <w:t>e</w:t>
      </w:r>
      <w:r w:rsidRPr="005F4CF5">
        <w:rPr>
          <w:rFonts w:eastAsia="Times New Roman"/>
        </w:rPr>
        <w:t xml:space="preserve">. </w:t>
      </w:r>
    </w:p>
    <w:p w14:paraId="681E257D" w14:textId="6FF60C48" w:rsidR="00363D51" w:rsidRPr="00363D51" w:rsidRDefault="00363D51" w:rsidP="00363D51">
      <w:pPr>
        <w:spacing w:after="120"/>
        <w:rPr>
          <w:rFonts w:asciiTheme="minorHAnsi" w:eastAsia="Times New Roman" w:hAnsiTheme="minorHAnsi"/>
          <w:b/>
          <w:bCs/>
          <w:sz w:val="22"/>
          <w:szCs w:val="22"/>
          <w:lang w:val="en-US"/>
        </w:rPr>
      </w:pPr>
      <w:r w:rsidRPr="00363D51">
        <w:rPr>
          <w:rFonts w:asciiTheme="minorHAnsi" w:eastAsia="Times New Roman" w:hAnsiTheme="minorHAnsi"/>
          <w:b/>
          <w:bCs/>
          <w:sz w:val="22"/>
          <w:szCs w:val="22"/>
          <w:lang w:val="en-US"/>
        </w:rPr>
        <w:t xml:space="preserve">3.3 </w:t>
      </w:r>
      <w:r w:rsidRPr="00363D51">
        <w:rPr>
          <w:rFonts w:asciiTheme="minorHAnsi" w:eastAsia="Times New Roman" w:hAnsiTheme="minorHAnsi"/>
          <w:b/>
          <w:bCs/>
          <w:sz w:val="22"/>
          <w:szCs w:val="22"/>
          <w:lang w:val="en-US"/>
        </w:rPr>
        <w:tab/>
        <w:t>Software maintenance</w:t>
      </w:r>
    </w:p>
    <w:p w14:paraId="313FD2F3" w14:textId="6F490E17" w:rsidR="004427BA" w:rsidRDefault="00E550F1" w:rsidP="00800F55">
      <w:pPr>
        <w:spacing w:after="120"/>
        <w:jc w:val="both"/>
        <w:rPr>
          <w:rFonts w:asciiTheme="minorHAnsi" w:eastAsia="Times New Roman" w:hAnsiTheme="minorHAnsi"/>
          <w:sz w:val="22"/>
          <w:szCs w:val="22"/>
          <w:lang w:val="en-US"/>
        </w:rPr>
      </w:pPr>
      <w:r>
        <w:rPr>
          <w:rFonts w:asciiTheme="minorHAnsi" w:eastAsia="Times New Roman" w:hAnsiTheme="minorHAnsi"/>
          <w:sz w:val="22"/>
          <w:szCs w:val="22"/>
          <w:lang w:val="en-US"/>
        </w:rPr>
        <w:t>I</w:t>
      </w:r>
      <w:r w:rsidR="00363D51" w:rsidRPr="00363D51">
        <w:rPr>
          <w:rFonts w:asciiTheme="minorHAnsi" w:eastAsia="Times New Roman" w:hAnsiTheme="minorHAnsi"/>
          <w:sz w:val="22"/>
          <w:szCs w:val="22"/>
          <w:lang w:val="en-US"/>
        </w:rPr>
        <w:t xml:space="preserve">n </w:t>
      </w:r>
      <w:r w:rsidR="002B6677">
        <w:rPr>
          <w:rFonts w:asciiTheme="minorHAnsi" w:eastAsia="Times New Roman" w:hAnsiTheme="minorHAnsi"/>
          <w:sz w:val="22"/>
          <w:szCs w:val="22"/>
          <w:lang w:val="en-US"/>
        </w:rPr>
        <w:t>addition to software developments</w:t>
      </w:r>
      <w:r w:rsidR="00363D51" w:rsidRPr="00363D51">
        <w:rPr>
          <w:rFonts w:asciiTheme="minorHAnsi" w:eastAsia="Times New Roman" w:hAnsiTheme="minorHAnsi"/>
          <w:sz w:val="22"/>
          <w:szCs w:val="22"/>
          <w:lang w:val="en-US"/>
        </w:rPr>
        <w:t>, support contract</w:t>
      </w:r>
      <w:r w:rsidR="002B6677">
        <w:rPr>
          <w:rFonts w:asciiTheme="minorHAnsi" w:eastAsia="Times New Roman" w:hAnsiTheme="minorHAnsi"/>
          <w:sz w:val="22"/>
          <w:szCs w:val="22"/>
          <w:lang w:val="en-US"/>
        </w:rPr>
        <w:t>s</w:t>
      </w:r>
      <w:r w:rsidR="00363D51" w:rsidRPr="00363D51">
        <w:rPr>
          <w:rFonts w:asciiTheme="minorHAnsi" w:eastAsia="Times New Roman" w:hAnsiTheme="minorHAnsi"/>
          <w:sz w:val="22"/>
          <w:szCs w:val="22"/>
          <w:lang w:val="en-US"/>
        </w:rPr>
        <w:t xml:space="preserve"> </w:t>
      </w:r>
      <w:r w:rsidR="002B6677">
        <w:rPr>
          <w:rFonts w:asciiTheme="minorHAnsi" w:eastAsia="Times New Roman" w:hAnsiTheme="minorHAnsi"/>
          <w:sz w:val="22"/>
          <w:szCs w:val="22"/>
          <w:lang w:val="en-US"/>
        </w:rPr>
        <w:t xml:space="preserve">are also </w:t>
      </w:r>
      <w:r w:rsidR="00363D51" w:rsidRPr="00363D51">
        <w:rPr>
          <w:rFonts w:asciiTheme="minorHAnsi" w:eastAsia="Times New Roman" w:hAnsiTheme="minorHAnsi"/>
          <w:sz w:val="22"/>
          <w:szCs w:val="22"/>
          <w:lang w:val="en-US"/>
        </w:rPr>
        <w:t>necessary</w:t>
      </w:r>
      <w:r w:rsidR="002B6677">
        <w:rPr>
          <w:rFonts w:asciiTheme="minorHAnsi" w:eastAsia="Times New Roman" w:hAnsiTheme="minorHAnsi"/>
          <w:sz w:val="22"/>
          <w:szCs w:val="22"/>
          <w:lang w:val="en-US"/>
        </w:rPr>
        <w:t xml:space="preserve"> to ensure </w:t>
      </w:r>
      <w:r w:rsidR="00DF7361">
        <w:rPr>
          <w:rFonts w:asciiTheme="minorHAnsi" w:eastAsia="Times New Roman" w:hAnsiTheme="minorHAnsi"/>
          <w:sz w:val="22"/>
          <w:szCs w:val="22"/>
          <w:lang w:val="en-US"/>
        </w:rPr>
        <w:t>a proper maintenance of the software</w:t>
      </w:r>
      <w:r w:rsidR="00363D51" w:rsidRPr="00363D51">
        <w:rPr>
          <w:rFonts w:asciiTheme="minorHAnsi" w:eastAsia="Times New Roman" w:hAnsiTheme="minorHAnsi"/>
          <w:sz w:val="22"/>
          <w:szCs w:val="22"/>
          <w:lang w:val="en-US"/>
        </w:rPr>
        <w:t xml:space="preserve">. </w:t>
      </w:r>
      <w:r w:rsidR="00DF7361">
        <w:rPr>
          <w:rFonts w:asciiTheme="minorHAnsi" w:eastAsia="Times New Roman" w:hAnsiTheme="minorHAnsi"/>
          <w:sz w:val="22"/>
          <w:szCs w:val="22"/>
          <w:lang w:val="en-US"/>
        </w:rPr>
        <w:t xml:space="preserve">Noting that there are two independently-developed versions of the epfd validation software in order to be able to perform a cross-check of results before issuing regulatory findings, </w:t>
      </w:r>
      <w:r w:rsidR="004427BA">
        <w:rPr>
          <w:rFonts w:asciiTheme="minorHAnsi" w:eastAsia="Times New Roman" w:hAnsiTheme="minorHAnsi"/>
          <w:sz w:val="22"/>
          <w:szCs w:val="22"/>
          <w:lang w:val="en-US"/>
        </w:rPr>
        <w:t xml:space="preserve">such </w:t>
      </w:r>
      <w:r w:rsidR="00DF7361">
        <w:rPr>
          <w:rFonts w:asciiTheme="minorHAnsi" w:eastAsia="Times New Roman" w:hAnsiTheme="minorHAnsi"/>
          <w:sz w:val="22"/>
          <w:szCs w:val="22"/>
          <w:lang w:val="en-US"/>
        </w:rPr>
        <w:t>support contracts are currently externalized</w:t>
      </w:r>
      <w:r w:rsidR="004427BA">
        <w:rPr>
          <w:rFonts w:asciiTheme="minorHAnsi" w:eastAsia="Times New Roman" w:hAnsiTheme="minorHAnsi"/>
          <w:sz w:val="22"/>
          <w:szCs w:val="22"/>
          <w:lang w:val="en-US"/>
        </w:rPr>
        <w:t xml:space="preserve"> (30 000 CHF per contract). </w:t>
      </w:r>
    </w:p>
    <w:p w14:paraId="3E4673A9" w14:textId="60AE8662" w:rsidR="00363D51" w:rsidRDefault="00363D51" w:rsidP="00800F55">
      <w:pPr>
        <w:spacing w:after="120"/>
        <w:jc w:val="both"/>
        <w:rPr>
          <w:rFonts w:asciiTheme="minorHAnsi" w:eastAsia="Times New Roman" w:hAnsiTheme="minorHAnsi"/>
          <w:sz w:val="22"/>
          <w:szCs w:val="22"/>
          <w:lang w:val="en-US"/>
        </w:rPr>
      </w:pPr>
      <w:r w:rsidRPr="00363D51">
        <w:rPr>
          <w:rFonts w:asciiTheme="minorHAnsi" w:eastAsia="Times New Roman" w:hAnsiTheme="minorHAnsi"/>
          <w:sz w:val="22"/>
          <w:szCs w:val="22"/>
          <w:lang w:val="en-US"/>
        </w:rPr>
        <w:t xml:space="preserve">Considering </w:t>
      </w:r>
      <w:r w:rsidR="004427BA">
        <w:rPr>
          <w:rFonts w:asciiTheme="minorHAnsi" w:eastAsia="Times New Roman" w:hAnsiTheme="minorHAnsi"/>
          <w:sz w:val="22"/>
          <w:szCs w:val="22"/>
          <w:lang w:val="en-US"/>
        </w:rPr>
        <w:t xml:space="preserve">the </w:t>
      </w:r>
      <w:r w:rsidRPr="00363D51">
        <w:rPr>
          <w:rFonts w:asciiTheme="minorHAnsi" w:eastAsia="Times New Roman" w:hAnsiTheme="minorHAnsi"/>
          <w:sz w:val="22"/>
          <w:szCs w:val="22"/>
          <w:lang w:val="en-US"/>
        </w:rPr>
        <w:t xml:space="preserve">potentially longer lifecycle of the new version of the software </w:t>
      </w:r>
      <w:r w:rsidR="004427BA">
        <w:rPr>
          <w:rFonts w:asciiTheme="minorHAnsi" w:eastAsia="Times New Roman" w:hAnsiTheme="minorHAnsi"/>
          <w:sz w:val="22"/>
          <w:szCs w:val="22"/>
          <w:lang w:val="en-US"/>
        </w:rPr>
        <w:t>corresponding to r</w:t>
      </w:r>
      <w:r w:rsidRPr="00363D51">
        <w:rPr>
          <w:rFonts w:asciiTheme="minorHAnsi" w:eastAsia="Times New Roman" w:hAnsiTheme="minorHAnsi"/>
          <w:sz w:val="22"/>
          <w:szCs w:val="22"/>
          <w:lang w:val="en-US"/>
        </w:rPr>
        <w:t xml:space="preserve">evision </w:t>
      </w:r>
      <w:r w:rsidR="004427BA">
        <w:rPr>
          <w:rFonts w:asciiTheme="minorHAnsi" w:eastAsia="Times New Roman" w:hAnsiTheme="minorHAnsi"/>
          <w:sz w:val="22"/>
          <w:szCs w:val="22"/>
          <w:lang w:val="en-US"/>
        </w:rPr>
        <w:t>3 of Recommendation ITU-R S.1503</w:t>
      </w:r>
      <w:r w:rsidRPr="00363D51">
        <w:rPr>
          <w:rFonts w:asciiTheme="minorHAnsi" w:eastAsia="Times New Roman" w:hAnsiTheme="minorHAnsi"/>
          <w:sz w:val="22"/>
          <w:szCs w:val="22"/>
          <w:lang w:val="en-US"/>
        </w:rPr>
        <w:t xml:space="preserve">, support service may require </w:t>
      </w:r>
      <w:r w:rsidR="004427BA">
        <w:rPr>
          <w:rFonts w:asciiTheme="minorHAnsi" w:eastAsia="Times New Roman" w:hAnsiTheme="minorHAnsi"/>
          <w:sz w:val="22"/>
          <w:szCs w:val="22"/>
          <w:lang w:val="en-US"/>
        </w:rPr>
        <w:t xml:space="preserve">a </w:t>
      </w:r>
      <w:r w:rsidRPr="00363D51">
        <w:rPr>
          <w:rFonts w:asciiTheme="minorHAnsi" w:eastAsia="Times New Roman" w:hAnsiTheme="minorHAnsi"/>
          <w:sz w:val="22"/>
          <w:szCs w:val="22"/>
          <w:lang w:val="en-US"/>
        </w:rPr>
        <w:t>higher ceiling. It is expected that this ceiling may be established as 30 days per contractor which would result in 45 000 CHF per contract.</w:t>
      </w:r>
    </w:p>
    <w:p w14:paraId="607A6CDA" w14:textId="76FCA29C" w:rsidR="004427BA" w:rsidRDefault="004427BA" w:rsidP="000768FC">
      <w:pPr>
        <w:spacing w:after="120"/>
        <w:jc w:val="both"/>
        <w:rPr>
          <w:rFonts w:asciiTheme="minorHAnsi" w:eastAsia="Times New Roman" w:hAnsiTheme="minorHAnsi"/>
          <w:sz w:val="22"/>
          <w:szCs w:val="22"/>
          <w:lang w:val="en-US"/>
        </w:rPr>
      </w:pPr>
      <w:r>
        <w:rPr>
          <w:rFonts w:asciiTheme="minorHAnsi" w:eastAsia="Times New Roman" w:hAnsiTheme="minorHAnsi"/>
          <w:sz w:val="22"/>
          <w:szCs w:val="22"/>
          <w:lang w:val="en-US"/>
        </w:rPr>
        <w:t xml:space="preserve">Such maintenance costs, which are anticipated to be recurrent, may be candidate to inclusion in the regular cost recovery structure fee, as per Procedure C. The value of the fee for each individual submission however depends on the anticipated number of submissions subject to epfd limits per year. </w:t>
      </w:r>
    </w:p>
    <w:p w14:paraId="2FF429B7" w14:textId="77777777" w:rsidR="004427BA" w:rsidRDefault="004427BA" w:rsidP="00800F55">
      <w:pPr>
        <w:tabs>
          <w:tab w:val="clear" w:pos="567"/>
          <w:tab w:val="clear" w:pos="1134"/>
          <w:tab w:val="clear" w:pos="1701"/>
          <w:tab w:val="clear" w:pos="2268"/>
          <w:tab w:val="clear" w:pos="2835"/>
        </w:tabs>
        <w:spacing w:before="0" w:after="160" w:line="259" w:lineRule="auto"/>
        <w:jc w:val="both"/>
        <w:rPr>
          <w:rFonts w:asciiTheme="minorHAnsi" w:eastAsia="Times New Roman" w:hAnsiTheme="minorHAnsi"/>
          <w:sz w:val="22"/>
          <w:szCs w:val="22"/>
          <w:lang w:val="en-US"/>
        </w:rPr>
      </w:pPr>
      <w:r>
        <w:rPr>
          <w:rFonts w:asciiTheme="minorHAnsi" w:eastAsia="Times New Roman" w:hAnsiTheme="minorHAnsi"/>
          <w:sz w:val="22"/>
          <w:szCs w:val="22"/>
          <w:lang w:val="en-US"/>
        </w:rPr>
        <w:br w:type="page"/>
      </w:r>
    </w:p>
    <w:p w14:paraId="05177FD9" w14:textId="07E9D099" w:rsidR="004427BA" w:rsidRPr="00363D51" w:rsidRDefault="004427BA" w:rsidP="00800F55">
      <w:pPr>
        <w:spacing w:after="120"/>
        <w:jc w:val="both"/>
        <w:rPr>
          <w:rFonts w:asciiTheme="minorHAnsi" w:eastAsia="Times New Roman" w:hAnsiTheme="minorHAnsi"/>
          <w:sz w:val="22"/>
          <w:szCs w:val="22"/>
          <w:lang w:val="en-US"/>
        </w:rPr>
      </w:pPr>
      <w:r>
        <w:rPr>
          <w:rFonts w:asciiTheme="minorHAnsi" w:eastAsia="Times New Roman" w:hAnsiTheme="minorHAnsi"/>
          <w:sz w:val="22"/>
          <w:szCs w:val="22"/>
          <w:lang w:val="en-US"/>
        </w:rPr>
        <w:t xml:space="preserve">The following table lists the coordination requests and notifications of non-geostationary satellite systems subject to epfd limits of Article 22 since 2007: </w:t>
      </w:r>
    </w:p>
    <w:tbl>
      <w:tblPr>
        <w:tblW w:w="5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5"/>
        <w:gridCol w:w="2268"/>
        <w:gridCol w:w="1389"/>
      </w:tblGrid>
      <w:tr w:rsidR="004427BA" w14:paraId="0265BC64" w14:textId="77777777" w:rsidTr="004427BA">
        <w:trPr>
          <w:trHeight w:val="300"/>
          <w:jc w:val="center"/>
        </w:trPr>
        <w:tc>
          <w:tcPr>
            <w:tcW w:w="1975" w:type="dxa"/>
            <w:noWrap/>
            <w:tcMar>
              <w:top w:w="0" w:type="dxa"/>
              <w:left w:w="108" w:type="dxa"/>
              <w:bottom w:w="0" w:type="dxa"/>
              <w:right w:w="108" w:type="dxa"/>
            </w:tcMar>
            <w:vAlign w:val="bottom"/>
            <w:hideMark/>
          </w:tcPr>
          <w:p w14:paraId="42312241" w14:textId="4151ABEF" w:rsidR="004427BA" w:rsidRPr="004427BA" w:rsidRDefault="004427BA" w:rsidP="004427BA">
            <w:pPr>
              <w:spacing w:after="120"/>
              <w:jc w:val="center"/>
              <w:rPr>
                <w:rFonts w:asciiTheme="minorHAnsi" w:eastAsia="Times New Roman" w:hAnsiTheme="minorHAnsi"/>
                <w:b/>
                <w:bCs/>
                <w:sz w:val="22"/>
                <w:szCs w:val="22"/>
                <w:lang w:val="en-US"/>
              </w:rPr>
            </w:pPr>
            <w:r w:rsidRPr="004427BA">
              <w:rPr>
                <w:rFonts w:asciiTheme="minorHAnsi" w:eastAsia="Times New Roman" w:hAnsiTheme="minorHAnsi"/>
                <w:b/>
                <w:bCs/>
                <w:sz w:val="22"/>
                <w:szCs w:val="22"/>
                <w:lang w:val="en-US"/>
              </w:rPr>
              <w:t>Year of receipt</w:t>
            </w:r>
          </w:p>
        </w:tc>
        <w:tc>
          <w:tcPr>
            <w:tcW w:w="2268" w:type="dxa"/>
            <w:noWrap/>
            <w:tcMar>
              <w:top w:w="0" w:type="dxa"/>
              <w:left w:w="108" w:type="dxa"/>
              <w:bottom w:w="0" w:type="dxa"/>
              <w:right w:w="108" w:type="dxa"/>
            </w:tcMar>
            <w:vAlign w:val="bottom"/>
            <w:hideMark/>
          </w:tcPr>
          <w:p w14:paraId="71FBE23D" w14:textId="4270640F" w:rsidR="004427BA" w:rsidRPr="004427BA" w:rsidRDefault="004427BA" w:rsidP="004427BA">
            <w:pPr>
              <w:spacing w:after="120"/>
              <w:jc w:val="center"/>
              <w:rPr>
                <w:rFonts w:asciiTheme="minorHAnsi" w:eastAsia="Times New Roman" w:hAnsiTheme="minorHAnsi"/>
                <w:b/>
                <w:bCs/>
                <w:sz w:val="22"/>
                <w:szCs w:val="22"/>
                <w:lang w:val="en-US"/>
              </w:rPr>
            </w:pPr>
            <w:r w:rsidRPr="004427BA">
              <w:rPr>
                <w:rFonts w:asciiTheme="minorHAnsi" w:eastAsia="Times New Roman" w:hAnsiTheme="minorHAnsi"/>
                <w:b/>
                <w:bCs/>
                <w:sz w:val="22"/>
                <w:szCs w:val="22"/>
                <w:lang w:val="en-US"/>
              </w:rPr>
              <w:t>Coordination requests</w:t>
            </w:r>
          </w:p>
        </w:tc>
        <w:tc>
          <w:tcPr>
            <w:tcW w:w="1199" w:type="dxa"/>
            <w:noWrap/>
            <w:tcMar>
              <w:top w:w="0" w:type="dxa"/>
              <w:left w:w="108" w:type="dxa"/>
              <w:bottom w:w="0" w:type="dxa"/>
              <w:right w:w="108" w:type="dxa"/>
            </w:tcMar>
            <w:vAlign w:val="bottom"/>
            <w:hideMark/>
          </w:tcPr>
          <w:p w14:paraId="67233B10" w14:textId="6CBB68DD" w:rsidR="004427BA" w:rsidRPr="004427BA" w:rsidRDefault="004427BA" w:rsidP="004427BA">
            <w:pPr>
              <w:spacing w:after="120"/>
              <w:jc w:val="center"/>
              <w:rPr>
                <w:rFonts w:asciiTheme="minorHAnsi" w:eastAsia="Times New Roman" w:hAnsiTheme="minorHAnsi"/>
                <w:b/>
                <w:bCs/>
                <w:sz w:val="22"/>
                <w:szCs w:val="22"/>
                <w:lang w:val="en-US"/>
              </w:rPr>
            </w:pPr>
            <w:r w:rsidRPr="004427BA">
              <w:rPr>
                <w:rFonts w:asciiTheme="minorHAnsi" w:eastAsia="Times New Roman" w:hAnsiTheme="minorHAnsi"/>
                <w:b/>
                <w:bCs/>
                <w:sz w:val="22"/>
                <w:szCs w:val="22"/>
                <w:lang w:val="en-US"/>
              </w:rPr>
              <w:t>Notifications</w:t>
            </w:r>
          </w:p>
        </w:tc>
      </w:tr>
      <w:tr w:rsidR="004427BA" w14:paraId="0333EF38" w14:textId="77777777" w:rsidTr="004427BA">
        <w:trPr>
          <w:trHeight w:val="300"/>
          <w:jc w:val="center"/>
        </w:trPr>
        <w:tc>
          <w:tcPr>
            <w:tcW w:w="1975" w:type="dxa"/>
            <w:noWrap/>
            <w:tcMar>
              <w:top w:w="0" w:type="dxa"/>
              <w:left w:w="108" w:type="dxa"/>
              <w:bottom w:w="0" w:type="dxa"/>
              <w:right w:w="108" w:type="dxa"/>
            </w:tcMar>
            <w:vAlign w:val="center"/>
            <w:hideMark/>
          </w:tcPr>
          <w:p w14:paraId="13F8EF98"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2007</w:t>
            </w:r>
          </w:p>
        </w:tc>
        <w:tc>
          <w:tcPr>
            <w:tcW w:w="2268" w:type="dxa"/>
            <w:noWrap/>
            <w:tcMar>
              <w:top w:w="0" w:type="dxa"/>
              <w:left w:w="108" w:type="dxa"/>
              <w:bottom w:w="0" w:type="dxa"/>
              <w:right w:w="108" w:type="dxa"/>
            </w:tcMar>
            <w:vAlign w:val="center"/>
            <w:hideMark/>
          </w:tcPr>
          <w:p w14:paraId="500C5497"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1</w:t>
            </w:r>
          </w:p>
        </w:tc>
        <w:tc>
          <w:tcPr>
            <w:tcW w:w="1199" w:type="dxa"/>
            <w:noWrap/>
            <w:tcMar>
              <w:top w:w="0" w:type="dxa"/>
              <w:left w:w="108" w:type="dxa"/>
              <w:bottom w:w="0" w:type="dxa"/>
              <w:right w:w="108" w:type="dxa"/>
            </w:tcMar>
            <w:vAlign w:val="center"/>
            <w:hideMark/>
          </w:tcPr>
          <w:p w14:paraId="04160272"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0</w:t>
            </w:r>
          </w:p>
        </w:tc>
      </w:tr>
      <w:tr w:rsidR="004427BA" w14:paraId="4DF9CFD0" w14:textId="77777777" w:rsidTr="004427BA">
        <w:trPr>
          <w:trHeight w:val="300"/>
          <w:jc w:val="center"/>
        </w:trPr>
        <w:tc>
          <w:tcPr>
            <w:tcW w:w="1975" w:type="dxa"/>
            <w:noWrap/>
            <w:tcMar>
              <w:top w:w="0" w:type="dxa"/>
              <w:left w:w="108" w:type="dxa"/>
              <w:bottom w:w="0" w:type="dxa"/>
              <w:right w:w="108" w:type="dxa"/>
            </w:tcMar>
            <w:vAlign w:val="center"/>
            <w:hideMark/>
          </w:tcPr>
          <w:p w14:paraId="7A6CEC77"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2008</w:t>
            </w:r>
          </w:p>
        </w:tc>
        <w:tc>
          <w:tcPr>
            <w:tcW w:w="2268" w:type="dxa"/>
            <w:noWrap/>
            <w:tcMar>
              <w:top w:w="0" w:type="dxa"/>
              <w:left w:w="108" w:type="dxa"/>
              <w:bottom w:w="0" w:type="dxa"/>
              <w:right w:w="108" w:type="dxa"/>
            </w:tcMar>
            <w:vAlign w:val="center"/>
            <w:hideMark/>
          </w:tcPr>
          <w:p w14:paraId="3FB8891E"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1</w:t>
            </w:r>
          </w:p>
        </w:tc>
        <w:tc>
          <w:tcPr>
            <w:tcW w:w="1199" w:type="dxa"/>
            <w:noWrap/>
            <w:tcMar>
              <w:top w:w="0" w:type="dxa"/>
              <w:left w:w="108" w:type="dxa"/>
              <w:bottom w:w="0" w:type="dxa"/>
              <w:right w:w="108" w:type="dxa"/>
            </w:tcMar>
            <w:vAlign w:val="center"/>
            <w:hideMark/>
          </w:tcPr>
          <w:p w14:paraId="2571266E"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0</w:t>
            </w:r>
          </w:p>
        </w:tc>
      </w:tr>
      <w:tr w:rsidR="004427BA" w14:paraId="761B4301" w14:textId="77777777" w:rsidTr="004427BA">
        <w:trPr>
          <w:trHeight w:val="300"/>
          <w:jc w:val="center"/>
        </w:trPr>
        <w:tc>
          <w:tcPr>
            <w:tcW w:w="1975" w:type="dxa"/>
            <w:noWrap/>
            <w:tcMar>
              <w:top w:w="0" w:type="dxa"/>
              <w:left w:w="108" w:type="dxa"/>
              <w:bottom w:w="0" w:type="dxa"/>
              <w:right w:w="108" w:type="dxa"/>
            </w:tcMar>
            <w:vAlign w:val="center"/>
            <w:hideMark/>
          </w:tcPr>
          <w:p w14:paraId="03A6434F"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2009</w:t>
            </w:r>
          </w:p>
        </w:tc>
        <w:tc>
          <w:tcPr>
            <w:tcW w:w="2268" w:type="dxa"/>
            <w:noWrap/>
            <w:tcMar>
              <w:top w:w="0" w:type="dxa"/>
              <w:left w:w="108" w:type="dxa"/>
              <w:bottom w:w="0" w:type="dxa"/>
              <w:right w:w="108" w:type="dxa"/>
            </w:tcMar>
            <w:vAlign w:val="center"/>
            <w:hideMark/>
          </w:tcPr>
          <w:p w14:paraId="1C70D650"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0</w:t>
            </w:r>
          </w:p>
        </w:tc>
        <w:tc>
          <w:tcPr>
            <w:tcW w:w="1199" w:type="dxa"/>
            <w:noWrap/>
            <w:tcMar>
              <w:top w:w="0" w:type="dxa"/>
              <w:left w:w="108" w:type="dxa"/>
              <w:bottom w:w="0" w:type="dxa"/>
              <w:right w:w="108" w:type="dxa"/>
            </w:tcMar>
            <w:vAlign w:val="center"/>
            <w:hideMark/>
          </w:tcPr>
          <w:p w14:paraId="2FDA7FC6"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0</w:t>
            </w:r>
          </w:p>
        </w:tc>
      </w:tr>
      <w:tr w:rsidR="004427BA" w14:paraId="4EE36060" w14:textId="77777777" w:rsidTr="004427BA">
        <w:trPr>
          <w:trHeight w:val="300"/>
          <w:jc w:val="center"/>
        </w:trPr>
        <w:tc>
          <w:tcPr>
            <w:tcW w:w="1975" w:type="dxa"/>
            <w:noWrap/>
            <w:tcMar>
              <w:top w:w="0" w:type="dxa"/>
              <w:left w:w="108" w:type="dxa"/>
              <w:bottom w:w="0" w:type="dxa"/>
              <w:right w:w="108" w:type="dxa"/>
            </w:tcMar>
            <w:vAlign w:val="center"/>
            <w:hideMark/>
          </w:tcPr>
          <w:p w14:paraId="0EE6721B"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2010</w:t>
            </w:r>
          </w:p>
        </w:tc>
        <w:tc>
          <w:tcPr>
            <w:tcW w:w="2268" w:type="dxa"/>
            <w:noWrap/>
            <w:tcMar>
              <w:top w:w="0" w:type="dxa"/>
              <w:left w:w="108" w:type="dxa"/>
              <w:bottom w:w="0" w:type="dxa"/>
              <w:right w:w="108" w:type="dxa"/>
            </w:tcMar>
            <w:vAlign w:val="center"/>
            <w:hideMark/>
          </w:tcPr>
          <w:p w14:paraId="39B42949"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0</w:t>
            </w:r>
          </w:p>
        </w:tc>
        <w:tc>
          <w:tcPr>
            <w:tcW w:w="1199" w:type="dxa"/>
            <w:noWrap/>
            <w:tcMar>
              <w:top w:w="0" w:type="dxa"/>
              <w:left w:w="108" w:type="dxa"/>
              <w:bottom w:w="0" w:type="dxa"/>
              <w:right w:w="108" w:type="dxa"/>
            </w:tcMar>
            <w:vAlign w:val="center"/>
            <w:hideMark/>
          </w:tcPr>
          <w:p w14:paraId="4FA0A731"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1</w:t>
            </w:r>
          </w:p>
        </w:tc>
      </w:tr>
      <w:tr w:rsidR="004427BA" w14:paraId="4BF033D9" w14:textId="77777777" w:rsidTr="004427BA">
        <w:trPr>
          <w:trHeight w:val="300"/>
          <w:jc w:val="center"/>
        </w:trPr>
        <w:tc>
          <w:tcPr>
            <w:tcW w:w="1975" w:type="dxa"/>
            <w:noWrap/>
            <w:tcMar>
              <w:top w:w="0" w:type="dxa"/>
              <w:left w:w="108" w:type="dxa"/>
              <w:bottom w:w="0" w:type="dxa"/>
              <w:right w:w="108" w:type="dxa"/>
            </w:tcMar>
            <w:vAlign w:val="center"/>
            <w:hideMark/>
          </w:tcPr>
          <w:p w14:paraId="03F51766"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2011</w:t>
            </w:r>
          </w:p>
        </w:tc>
        <w:tc>
          <w:tcPr>
            <w:tcW w:w="2268" w:type="dxa"/>
            <w:noWrap/>
            <w:tcMar>
              <w:top w:w="0" w:type="dxa"/>
              <w:left w:w="108" w:type="dxa"/>
              <w:bottom w:w="0" w:type="dxa"/>
              <w:right w:w="108" w:type="dxa"/>
            </w:tcMar>
            <w:vAlign w:val="center"/>
            <w:hideMark/>
          </w:tcPr>
          <w:p w14:paraId="6C8F5355"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2</w:t>
            </w:r>
          </w:p>
        </w:tc>
        <w:tc>
          <w:tcPr>
            <w:tcW w:w="1199" w:type="dxa"/>
            <w:noWrap/>
            <w:tcMar>
              <w:top w:w="0" w:type="dxa"/>
              <w:left w:w="108" w:type="dxa"/>
              <w:bottom w:w="0" w:type="dxa"/>
              <w:right w:w="108" w:type="dxa"/>
            </w:tcMar>
            <w:vAlign w:val="center"/>
            <w:hideMark/>
          </w:tcPr>
          <w:p w14:paraId="517CD552"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1</w:t>
            </w:r>
          </w:p>
        </w:tc>
      </w:tr>
      <w:tr w:rsidR="004427BA" w14:paraId="41C29CDF" w14:textId="77777777" w:rsidTr="004427BA">
        <w:trPr>
          <w:trHeight w:val="300"/>
          <w:jc w:val="center"/>
        </w:trPr>
        <w:tc>
          <w:tcPr>
            <w:tcW w:w="1975" w:type="dxa"/>
            <w:noWrap/>
            <w:tcMar>
              <w:top w:w="0" w:type="dxa"/>
              <w:left w:w="108" w:type="dxa"/>
              <w:bottom w:w="0" w:type="dxa"/>
              <w:right w:w="108" w:type="dxa"/>
            </w:tcMar>
            <w:vAlign w:val="center"/>
            <w:hideMark/>
          </w:tcPr>
          <w:p w14:paraId="5901DB8E"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2012</w:t>
            </w:r>
          </w:p>
        </w:tc>
        <w:tc>
          <w:tcPr>
            <w:tcW w:w="2268" w:type="dxa"/>
            <w:noWrap/>
            <w:tcMar>
              <w:top w:w="0" w:type="dxa"/>
              <w:left w:w="108" w:type="dxa"/>
              <w:bottom w:w="0" w:type="dxa"/>
              <w:right w:w="108" w:type="dxa"/>
            </w:tcMar>
            <w:vAlign w:val="center"/>
            <w:hideMark/>
          </w:tcPr>
          <w:p w14:paraId="3750BA9E"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2</w:t>
            </w:r>
          </w:p>
        </w:tc>
        <w:tc>
          <w:tcPr>
            <w:tcW w:w="1199" w:type="dxa"/>
            <w:noWrap/>
            <w:tcMar>
              <w:top w:w="0" w:type="dxa"/>
              <w:left w:w="108" w:type="dxa"/>
              <w:bottom w:w="0" w:type="dxa"/>
              <w:right w:w="108" w:type="dxa"/>
            </w:tcMar>
            <w:vAlign w:val="center"/>
            <w:hideMark/>
          </w:tcPr>
          <w:p w14:paraId="2F1405AF"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0</w:t>
            </w:r>
          </w:p>
        </w:tc>
      </w:tr>
      <w:tr w:rsidR="004427BA" w14:paraId="23326762" w14:textId="77777777" w:rsidTr="004427BA">
        <w:trPr>
          <w:trHeight w:val="300"/>
          <w:jc w:val="center"/>
        </w:trPr>
        <w:tc>
          <w:tcPr>
            <w:tcW w:w="1975" w:type="dxa"/>
            <w:noWrap/>
            <w:tcMar>
              <w:top w:w="0" w:type="dxa"/>
              <w:left w:w="108" w:type="dxa"/>
              <w:bottom w:w="0" w:type="dxa"/>
              <w:right w:w="108" w:type="dxa"/>
            </w:tcMar>
            <w:vAlign w:val="center"/>
            <w:hideMark/>
          </w:tcPr>
          <w:p w14:paraId="6208E130"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2013</w:t>
            </w:r>
          </w:p>
        </w:tc>
        <w:tc>
          <w:tcPr>
            <w:tcW w:w="2268" w:type="dxa"/>
            <w:noWrap/>
            <w:tcMar>
              <w:top w:w="0" w:type="dxa"/>
              <w:left w:w="108" w:type="dxa"/>
              <w:bottom w:w="0" w:type="dxa"/>
              <w:right w:w="108" w:type="dxa"/>
            </w:tcMar>
            <w:vAlign w:val="center"/>
            <w:hideMark/>
          </w:tcPr>
          <w:p w14:paraId="09B3E7E6"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4</w:t>
            </w:r>
          </w:p>
        </w:tc>
        <w:tc>
          <w:tcPr>
            <w:tcW w:w="1199" w:type="dxa"/>
            <w:noWrap/>
            <w:tcMar>
              <w:top w:w="0" w:type="dxa"/>
              <w:left w:w="108" w:type="dxa"/>
              <w:bottom w:w="0" w:type="dxa"/>
              <w:right w:w="108" w:type="dxa"/>
            </w:tcMar>
            <w:vAlign w:val="center"/>
            <w:hideMark/>
          </w:tcPr>
          <w:p w14:paraId="55D426E3"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0</w:t>
            </w:r>
          </w:p>
        </w:tc>
      </w:tr>
      <w:tr w:rsidR="004427BA" w14:paraId="226B2680" w14:textId="77777777" w:rsidTr="004427BA">
        <w:trPr>
          <w:trHeight w:val="300"/>
          <w:jc w:val="center"/>
        </w:trPr>
        <w:tc>
          <w:tcPr>
            <w:tcW w:w="1975" w:type="dxa"/>
            <w:noWrap/>
            <w:tcMar>
              <w:top w:w="0" w:type="dxa"/>
              <w:left w:w="108" w:type="dxa"/>
              <w:bottom w:w="0" w:type="dxa"/>
              <w:right w:w="108" w:type="dxa"/>
            </w:tcMar>
            <w:vAlign w:val="center"/>
            <w:hideMark/>
          </w:tcPr>
          <w:p w14:paraId="5FB4CD40"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2014</w:t>
            </w:r>
          </w:p>
        </w:tc>
        <w:tc>
          <w:tcPr>
            <w:tcW w:w="2268" w:type="dxa"/>
            <w:noWrap/>
            <w:tcMar>
              <w:top w:w="0" w:type="dxa"/>
              <w:left w:w="108" w:type="dxa"/>
              <w:bottom w:w="0" w:type="dxa"/>
              <w:right w:w="108" w:type="dxa"/>
            </w:tcMar>
            <w:vAlign w:val="center"/>
            <w:hideMark/>
          </w:tcPr>
          <w:p w14:paraId="3633085C"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18</w:t>
            </w:r>
          </w:p>
        </w:tc>
        <w:tc>
          <w:tcPr>
            <w:tcW w:w="1199" w:type="dxa"/>
            <w:noWrap/>
            <w:tcMar>
              <w:top w:w="0" w:type="dxa"/>
              <w:left w:w="108" w:type="dxa"/>
              <w:bottom w:w="0" w:type="dxa"/>
              <w:right w:w="108" w:type="dxa"/>
            </w:tcMar>
            <w:vAlign w:val="center"/>
            <w:hideMark/>
          </w:tcPr>
          <w:p w14:paraId="5ED491C7"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1</w:t>
            </w:r>
          </w:p>
        </w:tc>
      </w:tr>
      <w:tr w:rsidR="004427BA" w14:paraId="57458914" w14:textId="77777777" w:rsidTr="004427BA">
        <w:trPr>
          <w:trHeight w:val="300"/>
          <w:jc w:val="center"/>
        </w:trPr>
        <w:tc>
          <w:tcPr>
            <w:tcW w:w="1975" w:type="dxa"/>
            <w:noWrap/>
            <w:tcMar>
              <w:top w:w="0" w:type="dxa"/>
              <w:left w:w="108" w:type="dxa"/>
              <w:bottom w:w="0" w:type="dxa"/>
              <w:right w:w="108" w:type="dxa"/>
            </w:tcMar>
            <w:vAlign w:val="center"/>
            <w:hideMark/>
          </w:tcPr>
          <w:p w14:paraId="03B0D2E5"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2015</w:t>
            </w:r>
          </w:p>
        </w:tc>
        <w:tc>
          <w:tcPr>
            <w:tcW w:w="2268" w:type="dxa"/>
            <w:noWrap/>
            <w:tcMar>
              <w:top w:w="0" w:type="dxa"/>
              <w:left w:w="108" w:type="dxa"/>
              <w:bottom w:w="0" w:type="dxa"/>
              <w:right w:w="108" w:type="dxa"/>
            </w:tcMar>
            <w:vAlign w:val="center"/>
            <w:hideMark/>
          </w:tcPr>
          <w:p w14:paraId="31975F3A"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12</w:t>
            </w:r>
          </w:p>
        </w:tc>
        <w:tc>
          <w:tcPr>
            <w:tcW w:w="1199" w:type="dxa"/>
            <w:noWrap/>
            <w:tcMar>
              <w:top w:w="0" w:type="dxa"/>
              <w:left w:w="108" w:type="dxa"/>
              <w:bottom w:w="0" w:type="dxa"/>
              <w:right w:w="108" w:type="dxa"/>
            </w:tcMar>
            <w:vAlign w:val="center"/>
            <w:hideMark/>
          </w:tcPr>
          <w:p w14:paraId="172D0B37"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0</w:t>
            </w:r>
          </w:p>
        </w:tc>
      </w:tr>
      <w:tr w:rsidR="004427BA" w14:paraId="5301219B" w14:textId="77777777" w:rsidTr="004427BA">
        <w:trPr>
          <w:trHeight w:val="300"/>
          <w:jc w:val="center"/>
        </w:trPr>
        <w:tc>
          <w:tcPr>
            <w:tcW w:w="1975" w:type="dxa"/>
            <w:noWrap/>
            <w:tcMar>
              <w:top w:w="0" w:type="dxa"/>
              <w:left w:w="108" w:type="dxa"/>
              <w:bottom w:w="0" w:type="dxa"/>
              <w:right w:w="108" w:type="dxa"/>
            </w:tcMar>
            <w:vAlign w:val="center"/>
            <w:hideMark/>
          </w:tcPr>
          <w:p w14:paraId="21A8AE71"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2016</w:t>
            </w:r>
          </w:p>
        </w:tc>
        <w:tc>
          <w:tcPr>
            <w:tcW w:w="2268" w:type="dxa"/>
            <w:noWrap/>
            <w:tcMar>
              <w:top w:w="0" w:type="dxa"/>
              <w:left w:w="108" w:type="dxa"/>
              <w:bottom w:w="0" w:type="dxa"/>
              <w:right w:w="108" w:type="dxa"/>
            </w:tcMar>
            <w:vAlign w:val="center"/>
            <w:hideMark/>
          </w:tcPr>
          <w:p w14:paraId="5F38E749"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10</w:t>
            </w:r>
          </w:p>
        </w:tc>
        <w:tc>
          <w:tcPr>
            <w:tcW w:w="1199" w:type="dxa"/>
            <w:noWrap/>
            <w:tcMar>
              <w:top w:w="0" w:type="dxa"/>
              <w:left w:w="108" w:type="dxa"/>
              <w:bottom w:w="0" w:type="dxa"/>
              <w:right w:w="108" w:type="dxa"/>
            </w:tcMar>
            <w:vAlign w:val="center"/>
            <w:hideMark/>
          </w:tcPr>
          <w:p w14:paraId="250DCB3D"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1</w:t>
            </w:r>
          </w:p>
        </w:tc>
      </w:tr>
      <w:tr w:rsidR="004427BA" w14:paraId="49B53B79" w14:textId="77777777" w:rsidTr="004427BA">
        <w:trPr>
          <w:trHeight w:val="300"/>
          <w:jc w:val="center"/>
        </w:trPr>
        <w:tc>
          <w:tcPr>
            <w:tcW w:w="1975" w:type="dxa"/>
            <w:noWrap/>
            <w:tcMar>
              <w:top w:w="0" w:type="dxa"/>
              <w:left w:w="108" w:type="dxa"/>
              <w:bottom w:w="0" w:type="dxa"/>
              <w:right w:w="108" w:type="dxa"/>
            </w:tcMar>
            <w:vAlign w:val="center"/>
            <w:hideMark/>
          </w:tcPr>
          <w:p w14:paraId="6D730A8D"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2017</w:t>
            </w:r>
          </w:p>
        </w:tc>
        <w:tc>
          <w:tcPr>
            <w:tcW w:w="2268" w:type="dxa"/>
            <w:noWrap/>
            <w:tcMar>
              <w:top w:w="0" w:type="dxa"/>
              <w:left w:w="108" w:type="dxa"/>
              <w:bottom w:w="0" w:type="dxa"/>
              <w:right w:w="108" w:type="dxa"/>
            </w:tcMar>
            <w:vAlign w:val="center"/>
            <w:hideMark/>
          </w:tcPr>
          <w:p w14:paraId="7168BBDB"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13</w:t>
            </w:r>
          </w:p>
        </w:tc>
        <w:tc>
          <w:tcPr>
            <w:tcW w:w="1199" w:type="dxa"/>
            <w:noWrap/>
            <w:tcMar>
              <w:top w:w="0" w:type="dxa"/>
              <w:left w:w="108" w:type="dxa"/>
              <w:bottom w:w="0" w:type="dxa"/>
              <w:right w:w="108" w:type="dxa"/>
            </w:tcMar>
            <w:vAlign w:val="center"/>
            <w:hideMark/>
          </w:tcPr>
          <w:p w14:paraId="59FBAB7B" w14:textId="77777777" w:rsidR="004427BA" w:rsidRPr="004427BA" w:rsidRDefault="004427BA" w:rsidP="004427BA">
            <w:pPr>
              <w:spacing w:after="120"/>
              <w:jc w:val="center"/>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0</w:t>
            </w:r>
          </w:p>
        </w:tc>
      </w:tr>
    </w:tbl>
    <w:p w14:paraId="79F07168" w14:textId="54F74091" w:rsidR="009C58F8" w:rsidRPr="004427BA" w:rsidRDefault="004427BA" w:rsidP="000768FC">
      <w:pPr>
        <w:spacing w:after="120"/>
        <w:jc w:val="both"/>
        <w:rPr>
          <w:rFonts w:asciiTheme="minorHAnsi" w:eastAsia="Times New Roman" w:hAnsiTheme="minorHAnsi"/>
          <w:sz w:val="22"/>
          <w:szCs w:val="22"/>
          <w:lang w:val="en-US"/>
        </w:rPr>
      </w:pPr>
      <w:r w:rsidRPr="004427BA">
        <w:rPr>
          <w:rFonts w:asciiTheme="minorHAnsi" w:eastAsia="Times New Roman" w:hAnsiTheme="minorHAnsi"/>
          <w:sz w:val="22"/>
          <w:szCs w:val="22"/>
          <w:lang w:val="en-US"/>
        </w:rPr>
        <w:t xml:space="preserve">If the four last years are considered representative of the expected levels of submissions in the future, an average number of </w:t>
      </w:r>
      <w:r>
        <w:rPr>
          <w:rFonts w:asciiTheme="minorHAnsi" w:eastAsia="Times New Roman" w:hAnsiTheme="minorHAnsi"/>
          <w:sz w:val="22"/>
          <w:szCs w:val="22"/>
          <w:lang w:val="en-US"/>
        </w:rPr>
        <w:t xml:space="preserve">submissions subject to epfd limits (and hence to Procedure C) per year could </w:t>
      </w:r>
      <w:r w:rsidR="00800F55">
        <w:rPr>
          <w:rFonts w:asciiTheme="minorHAnsi" w:eastAsia="Times New Roman" w:hAnsiTheme="minorHAnsi"/>
          <w:sz w:val="22"/>
          <w:szCs w:val="22"/>
          <w:lang w:val="en-US"/>
        </w:rPr>
        <w:t xml:space="preserve">be chosen as 13.75. The flat fee of Procedure C could then be set at </w:t>
      </w:r>
      <w:r w:rsidR="00F02E54">
        <w:rPr>
          <w:rFonts w:asciiTheme="minorHAnsi" w:eastAsia="Times New Roman" w:hAnsiTheme="minorHAnsi"/>
          <w:sz w:val="22"/>
          <w:szCs w:val="22"/>
          <w:lang w:val="en-US"/>
        </w:rPr>
        <w:t>6 545</w:t>
      </w:r>
      <w:r w:rsidR="00800F55">
        <w:rPr>
          <w:rFonts w:asciiTheme="minorHAnsi" w:eastAsia="Times New Roman" w:hAnsiTheme="minorHAnsi"/>
          <w:sz w:val="22"/>
          <w:szCs w:val="22"/>
          <w:lang w:val="en-US"/>
        </w:rPr>
        <w:t xml:space="preserve"> CHF (value rounded by considering two support contracts of 45 000 CHF each) or </w:t>
      </w:r>
      <w:r w:rsidR="00F02E54">
        <w:rPr>
          <w:rFonts w:asciiTheme="minorHAnsi" w:eastAsia="Times New Roman" w:hAnsiTheme="minorHAnsi"/>
          <w:sz w:val="22"/>
          <w:szCs w:val="22"/>
          <w:lang w:val="en-US"/>
        </w:rPr>
        <w:t>4</w:t>
      </w:r>
      <w:r w:rsidR="00800F55">
        <w:rPr>
          <w:rFonts w:asciiTheme="minorHAnsi" w:eastAsia="Times New Roman" w:hAnsiTheme="minorHAnsi"/>
          <w:sz w:val="22"/>
          <w:szCs w:val="22"/>
          <w:lang w:val="en-US"/>
        </w:rPr>
        <w:t> </w:t>
      </w:r>
      <w:r w:rsidR="00F02E54">
        <w:rPr>
          <w:rFonts w:asciiTheme="minorHAnsi" w:eastAsia="Times New Roman" w:hAnsiTheme="minorHAnsi"/>
          <w:sz w:val="22"/>
          <w:szCs w:val="22"/>
          <w:lang w:val="en-US"/>
        </w:rPr>
        <w:t>363</w:t>
      </w:r>
      <w:r w:rsidR="00800F55">
        <w:rPr>
          <w:rFonts w:asciiTheme="minorHAnsi" w:eastAsia="Times New Roman" w:hAnsiTheme="minorHAnsi"/>
          <w:sz w:val="22"/>
          <w:szCs w:val="22"/>
          <w:lang w:val="en-US"/>
        </w:rPr>
        <w:t xml:space="preserve"> CHF (value rounded by considering two support contracts of 30 000 CHF each). </w:t>
      </w:r>
    </w:p>
    <w:p w14:paraId="67007931" w14:textId="5C113A8C" w:rsidR="00095EAF" w:rsidRPr="00095EAF" w:rsidRDefault="00E550F1" w:rsidP="007A244C">
      <w:pPr>
        <w:tabs>
          <w:tab w:val="left" w:pos="1418"/>
        </w:tabs>
        <w:spacing w:before="160"/>
        <w:jc w:val="both"/>
        <w:rPr>
          <w:rFonts w:asciiTheme="minorHAnsi" w:eastAsia="Times New Roman" w:hAnsiTheme="minorHAnsi"/>
          <w:b/>
          <w:bCs/>
          <w:sz w:val="22"/>
          <w:szCs w:val="22"/>
          <w:lang w:val="en-US"/>
        </w:rPr>
      </w:pPr>
      <w:r>
        <w:rPr>
          <w:rFonts w:asciiTheme="minorHAnsi" w:eastAsia="Times New Roman" w:hAnsiTheme="minorHAnsi"/>
          <w:b/>
          <w:bCs/>
          <w:sz w:val="22"/>
          <w:szCs w:val="22"/>
          <w:lang w:val="en-US"/>
        </w:rPr>
        <w:t>4</w:t>
      </w:r>
      <w:r w:rsidR="00095EAF" w:rsidRPr="00095EAF">
        <w:rPr>
          <w:rFonts w:asciiTheme="minorHAnsi" w:eastAsia="Times New Roman" w:hAnsiTheme="minorHAnsi"/>
          <w:b/>
          <w:bCs/>
          <w:sz w:val="22"/>
          <w:szCs w:val="22"/>
          <w:lang w:val="en-US"/>
        </w:rPr>
        <w:t>.</w:t>
      </w:r>
      <w:r w:rsidR="00095EAF" w:rsidRPr="00095EAF">
        <w:rPr>
          <w:rFonts w:asciiTheme="minorHAnsi" w:eastAsia="Times New Roman" w:hAnsiTheme="minorHAnsi"/>
          <w:b/>
          <w:bCs/>
          <w:sz w:val="22"/>
          <w:szCs w:val="22"/>
          <w:lang w:val="en-US"/>
        </w:rPr>
        <w:tab/>
        <w:t>Conclusion</w:t>
      </w:r>
    </w:p>
    <w:p w14:paraId="15EF9752" w14:textId="238CECA6" w:rsidR="00CB32AC" w:rsidRDefault="00CB32AC" w:rsidP="00CB32AC">
      <w:pPr>
        <w:tabs>
          <w:tab w:val="left" w:pos="1418"/>
        </w:tabs>
        <w:spacing w:before="160"/>
        <w:jc w:val="both"/>
        <w:rPr>
          <w:rFonts w:asciiTheme="minorHAnsi" w:eastAsia="Times New Roman" w:hAnsiTheme="minorHAnsi"/>
          <w:sz w:val="22"/>
          <w:szCs w:val="22"/>
        </w:rPr>
      </w:pPr>
      <w:r>
        <w:rPr>
          <w:rFonts w:asciiTheme="minorHAnsi" w:eastAsia="Times New Roman" w:hAnsiTheme="minorHAnsi"/>
          <w:sz w:val="22"/>
          <w:szCs w:val="22"/>
        </w:rPr>
        <w:t xml:space="preserve">This document aims at providing more information to the Council Expert Group on the main items driving costs of the process of examining conformity of certain non-GSO satellite filings with the </w:t>
      </w:r>
      <w:r w:rsidRPr="00782BE7">
        <w:rPr>
          <w:rFonts w:asciiTheme="minorHAnsi" w:eastAsia="Times New Roman" w:hAnsiTheme="minorHAnsi"/>
          <w:sz w:val="22"/>
          <w:szCs w:val="22"/>
        </w:rPr>
        <w:t xml:space="preserve">equivalent power flux density </w:t>
      </w:r>
      <w:r>
        <w:rPr>
          <w:rFonts w:asciiTheme="minorHAnsi" w:eastAsia="Times New Roman" w:hAnsiTheme="minorHAnsi"/>
          <w:sz w:val="22"/>
          <w:szCs w:val="22"/>
        </w:rPr>
        <w:t xml:space="preserve">(epfd) limits contained in Article 22 of the Radio Regulations. Three main factors have been identified: </w:t>
      </w:r>
    </w:p>
    <w:p w14:paraId="21B24351" w14:textId="5D874AAD" w:rsidR="003C09AF" w:rsidRDefault="000768FC" w:rsidP="000768FC">
      <w:pPr>
        <w:pStyle w:val="ListParagraph"/>
        <w:numPr>
          <w:ilvl w:val="0"/>
          <w:numId w:val="18"/>
        </w:numPr>
        <w:tabs>
          <w:tab w:val="left" w:pos="1418"/>
        </w:tabs>
        <w:spacing w:before="160"/>
        <w:jc w:val="both"/>
        <w:rPr>
          <w:rFonts w:eastAsia="Times New Roman"/>
        </w:rPr>
      </w:pPr>
      <w:r>
        <w:rPr>
          <w:rFonts w:eastAsia="Times New Roman"/>
        </w:rPr>
        <w:t>m</w:t>
      </w:r>
      <w:r w:rsidR="003C09AF">
        <w:rPr>
          <w:rFonts w:eastAsia="Times New Roman"/>
        </w:rPr>
        <w:t xml:space="preserve">ore harmonized and standardized input data: a decision by WRC-19 under Issue L of agenda item 7 is </w:t>
      </w:r>
      <w:r>
        <w:rPr>
          <w:rFonts w:eastAsia="Times New Roman"/>
        </w:rPr>
        <w:t>expected to be the essential long-term solution to this issue (see section 3.1);</w:t>
      </w:r>
    </w:p>
    <w:p w14:paraId="6C2BFC57" w14:textId="06E1C07B" w:rsidR="003C09AF" w:rsidRDefault="000768FC" w:rsidP="000768FC">
      <w:pPr>
        <w:pStyle w:val="ListParagraph"/>
        <w:numPr>
          <w:ilvl w:val="0"/>
          <w:numId w:val="18"/>
        </w:numPr>
        <w:tabs>
          <w:tab w:val="left" w:pos="1418"/>
        </w:tabs>
        <w:spacing w:before="160"/>
        <w:jc w:val="both"/>
        <w:rPr>
          <w:rFonts w:eastAsia="Times New Roman"/>
        </w:rPr>
      </w:pPr>
      <w:r>
        <w:rPr>
          <w:rFonts w:eastAsia="Times New Roman"/>
        </w:rPr>
        <w:t>s</w:t>
      </w:r>
      <w:r w:rsidR="003C09AF" w:rsidRPr="000768FC">
        <w:rPr>
          <w:rFonts w:eastAsia="Times New Roman"/>
        </w:rPr>
        <w:t xml:space="preserve">oftware developments required by revisions to Recommendation ITU-R S.1503: </w:t>
      </w:r>
      <w:r w:rsidRPr="000768FC">
        <w:rPr>
          <w:rFonts w:eastAsia="Times New Roman"/>
        </w:rPr>
        <w:t xml:space="preserve">the Council Expert Group is invited to discuss whether such software updates should be incorporated in the regular cost recovery fee structure or discussed separately by the Council during </w:t>
      </w:r>
      <w:r>
        <w:rPr>
          <w:rFonts w:eastAsia="Times New Roman"/>
        </w:rPr>
        <w:t>the approval of biennal budgets (see section 3.2);</w:t>
      </w:r>
    </w:p>
    <w:p w14:paraId="423B66E8" w14:textId="10A3CA54" w:rsidR="00C5078C" w:rsidRDefault="000768FC" w:rsidP="00A711EA">
      <w:pPr>
        <w:pStyle w:val="ListParagraph"/>
        <w:numPr>
          <w:ilvl w:val="0"/>
          <w:numId w:val="18"/>
        </w:numPr>
        <w:tabs>
          <w:tab w:val="left" w:pos="1418"/>
        </w:tabs>
        <w:spacing w:before="160"/>
        <w:jc w:val="both"/>
        <w:rPr>
          <w:rFonts w:eastAsia="Times New Roman"/>
        </w:rPr>
      </w:pPr>
      <w:r w:rsidRPr="004628B3">
        <w:rPr>
          <w:rFonts w:eastAsia="Times New Roman"/>
        </w:rPr>
        <w:t>Software maintenance: such costs are expected to be recurrent so could be incorporated into the regular cost recovery structure fee, as per Procedure C. Methodologies for determining this flat fee, as well as examples, are proposed in section 3.3.</w:t>
      </w:r>
      <w:r w:rsidR="00FB04B7" w:rsidRPr="004628B3">
        <w:rPr>
          <w:rFonts w:eastAsia="Times New Roman"/>
        </w:rPr>
        <w:t xml:space="preserve">   </w:t>
      </w:r>
    </w:p>
    <w:p w14:paraId="5252EF63" w14:textId="05785269" w:rsidR="006C6EDF" w:rsidRPr="006C6EDF" w:rsidRDefault="006C6EDF" w:rsidP="006C6EDF">
      <w:pPr>
        <w:tabs>
          <w:tab w:val="left" w:pos="1418"/>
        </w:tabs>
        <w:spacing w:before="160"/>
        <w:jc w:val="both"/>
        <w:rPr>
          <w:rFonts w:asciiTheme="minorHAnsi" w:eastAsia="Times New Roman" w:hAnsiTheme="minorHAnsi"/>
          <w:sz w:val="22"/>
          <w:szCs w:val="22"/>
        </w:rPr>
      </w:pPr>
      <w:r w:rsidRPr="006C6EDF">
        <w:rPr>
          <w:rFonts w:asciiTheme="minorHAnsi" w:eastAsia="Times New Roman" w:hAnsiTheme="minorHAnsi"/>
          <w:sz w:val="22"/>
          <w:szCs w:val="22"/>
        </w:rPr>
        <w:t>The Council Expert Grou</w:t>
      </w:r>
      <w:r>
        <w:rPr>
          <w:rFonts w:asciiTheme="minorHAnsi" w:eastAsia="Times New Roman" w:hAnsiTheme="minorHAnsi"/>
          <w:sz w:val="22"/>
          <w:szCs w:val="22"/>
        </w:rPr>
        <w:t xml:space="preserve">p is also invited to discuss whether Procedure C should only apply to complex non-GSO filings. </w:t>
      </w:r>
    </w:p>
    <w:p w14:paraId="7FE008A8" w14:textId="3B02A39E" w:rsidR="00C828A0" w:rsidRDefault="001C0870" w:rsidP="0043520B">
      <w:pPr>
        <w:pStyle w:val="Normal1"/>
        <w:tabs>
          <w:tab w:val="left" w:pos="1418"/>
        </w:tabs>
        <w:spacing w:before="0"/>
        <w:jc w:val="center"/>
        <w:rPr>
          <w:rFonts w:asciiTheme="minorHAnsi" w:hAnsiTheme="minorHAnsi" w:cs="Times New Roman"/>
          <w:sz w:val="22"/>
          <w:szCs w:val="22"/>
          <w:u w:val="single"/>
        </w:rPr>
      </w:pPr>
      <w:r w:rsidRPr="00B73C2C">
        <w:rPr>
          <w:rFonts w:asciiTheme="minorHAnsi" w:hAnsiTheme="minorHAnsi" w:cs="Times New Roman"/>
          <w:sz w:val="22"/>
          <w:szCs w:val="22"/>
          <w:u w:val="single"/>
        </w:rPr>
        <w:t>                             </w:t>
      </w:r>
    </w:p>
    <w:sectPr w:rsidR="00C828A0" w:rsidSect="00870E6E">
      <w:headerReference w:type="default" r:id="rId12"/>
      <w:footerReference w:type="default" r:id="rId13"/>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19994" w14:textId="77777777" w:rsidR="00F026C0" w:rsidRDefault="00F026C0" w:rsidP="002E7BF9">
      <w:pPr>
        <w:spacing w:before="0"/>
      </w:pPr>
      <w:r>
        <w:separator/>
      </w:r>
    </w:p>
  </w:endnote>
  <w:endnote w:type="continuationSeparator" w:id="0">
    <w:p w14:paraId="0E5BDD2C" w14:textId="77777777" w:rsidR="00F026C0" w:rsidRDefault="00F026C0" w:rsidP="002E7BF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767358"/>
      <w:docPartObj>
        <w:docPartGallery w:val="Page Numbers (Bottom of Page)"/>
        <w:docPartUnique/>
      </w:docPartObj>
    </w:sdtPr>
    <w:sdtEndPr>
      <w:rPr>
        <w:noProof/>
      </w:rPr>
    </w:sdtEndPr>
    <w:sdtContent>
      <w:p w14:paraId="5281F3CA" w14:textId="77777777" w:rsidR="00455F45" w:rsidRDefault="00455F45">
        <w:pPr>
          <w:pStyle w:val="Footer"/>
          <w:jc w:val="center"/>
        </w:pPr>
        <w:r>
          <w:fldChar w:fldCharType="begin"/>
        </w:r>
        <w:r>
          <w:instrText xml:space="preserve"> PAGE   \* MERGEFORMAT </w:instrText>
        </w:r>
        <w:r>
          <w:fldChar w:fldCharType="separate"/>
        </w:r>
        <w:r w:rsidR="00067AEE">
          <w:rPr>
            <w:noProof/>
          </w:rPr>
          <w:t>4</w:t>
        </w:r>
        <w:r>
          <w:rPr>
            <w:noProof/>
          </w:rPr>
          <w:fldChar w:fldCharType="end"/>
        </w:r>
      </w:p>
    </w:sdtContent>
  </w:sdt>
  <w:p w14:paraId="5E727A27" w14:textId="77777777" w:rsidR="00455F45" w:rsidRDefault="00455F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E4190" w14:textId="77777777" w:rsidR="00F026C0" w:rsidRDefault="00F026C0" w:rsidP="002E7BF9">
      <w:pPr>
        <w:spacing w:before="0"/>
      </w:pPr>
      <w:r>
        <w:separator/>
      </w:r>
    </w:p>
  </w:footnote>
  <w:footnote w:type="continuationSeparator" w:id="0">
    <w:p w14:paraId="19C2F593" w14:textId="77777777" w:rsidR="00F026C0" w:rsidRDefault="00F026C0" w:rsidP="002E7BF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237735"/>
      <w:docPartObj>
        <w:docPartGallery w:val="Page Numbers (Top of Page)"/>
        <w:docPartUnique/>
      </w:docPartObj>
    </w:sdtPr>
    <w:sdtEndPr>
      <w:rPr>
        <w:noProof/>
      </w:rPr>
    </w:sdtEndPr>
    <w:sdtContent>
      <w:p w14:paraId="7F06AE13" w14:textId="77777777" w:rsidR="00455F45" w:rsidRDefault="00455F45">
        <w:pPr>
          <w:pStyle w:val="Header"/>
          <w:jc w:val="center"/>
        </w:pPr>
        <w:r>
          <w:fldChar w:fldCharType="begin"/>
        </w:r>
        <w:r>
          <w:instrText xml:space="preserve"> PAGE   \* MERGEFORMAT </w:instrText>
        </w:r>
        <w:r>
          <w:fldChar w:fldCharType="separate"/>
        </w:r>
        <w:r w:rsidR="00067AEE">
          <w:rPr>
            <w:noProof/>
          </w:rPr>
          <w:t>4</w:t>
        </w:r>
        <w:r>
          <w:rPr>
            <w:noProof/>
          </w:rPr>
          <w:fldChar w:fldCharType="end"/>
        </w:r>
      </w:p>
    </w:sdtContent>
  </w:sdt>
  <w:p w14:paraId="3E51000B" w14:textId="77777777" w:rsidR="00455F45" w:rsidRDefault="00455F45" w:rsidP="001C087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ADEF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926B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688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9EB2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9400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5038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449C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D6E0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C270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9EB1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D5739"/>
    <w:multiLevelType w:val="hybridMultilevel"/>
    <w:tmpl w:val="568CA580"/>
    <w:lvl w:ilvl="0" w:tplc="D2AE046E">
      <w:numFmt w:val="bullet"/>
      <w:lvlText w:val="-"/>
      <w:lvlJc w:val="left"/>
      <w:pPr>
        <w:ind w:left="1080" w:hanging="360"/>
      </w:pPr>
      <w:rPr>
        <w:rFonts w:ascii="Calibri" w:eastAsia="SimSun" w:hAnsi="Calibri"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180633C"/>
    <w:multiLevelType w:val="hybridMultilevel"/>
    <w:tmpl w:val="CDBA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D3FFD"/>
    <w:multiLevelType w:val="hybridMultilevel"/>
    <w:tmpl w:val="4142F286"/>
    <w:lvl w:ilvl="0" w:tplc="536EF888">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5F4750"/>
    <w:multiLevelType w:val="hybridMultilevel"/>
    <w:tmpl w:val="AAF8A0F2"/>
    <w:lvl w:ilvl="0" w:tplc="E4926E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CC3337"/>
    <w:multiLevelType w:val="hybridMultilevel"/>
    <w:tmpl w:val="2266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436F1"/>
    <w:multiLevelType w:val="multilevel"/>
    <w:tmpl w:val="B49A2D4C"/>
    <w:lvl w:ilvl="0">
      <w:start w:val="1"/>
      <w:numFmt w:val="decimal"/>
      <w:lvlText w:val="%1."/>
      <w:lvlJc w:val="left"/>
      <w:pPr>
        <w:ind w:left="810" w:hanging="360"/>
      </w:pPr>
      <w:rPr>
        <w:rFonts w:hint="default"/>
        <w:b/>
      </w:rPr>
    </w:lvl>
    <w:lvl w:ilvl="1">
      <w:start w:val="1"/>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480" w:hanging="1440"/>
      </w:pPr>
      <w:rPr>
        <w:rFonts w:hint="default"/>
      </w:rPr>
    </w:lvl>
  </w:abstractNum>
  <w:abstractNum w:abstractNumId="16" w15:restartNumberingAfterBreak="0">
    <w:nsid w:val="59BE1DC2"/>
    <w:multiLevelType w:val="hybridMultilevel"/>
    <w:tmpl w:val="C49A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1"/>
  </w:num>
  <w:num w:numId="15">
    <w:abstractNumId w:val="16"/>
  </w:num>
  <w:num w:numId="16">
    <w:abstractNumId w:val="10"/>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30"/>
    <w:rsid w:val="00021676"/>
    <w:rsid w:val="000343B4"/>
    <w:rsid w:val="00046A88"/>
    <w:rsid w:val="00067AEE"/>
    <w:rsid w:val="00071A59"/>
    <w:rsid w:val="000768FC"/>
    <w:rsid w:val="00076C2A"/>
    <w:rsid w:val="00087353"/>
    <w:rsid w:val="000935F2"/>
    <w:rsid w:val="00095EAF"/>
    <w:rsid w:val="000A01E6"/>
    <w:rsid w:val="000A351D"/>
    <w:rsid w:val="000B54EF"/>
    <w:rsid w:val="000C6904"/>
    <w:rsid w:val="000C6FBE"/>
    <w:rsid w:val="000D65AC"/>
    <w:rsid w:val="000E18D6"/>
    <w:rsid w:val="000F199E"/>
    <w:rsid w:val="001429FC"/>
    <w:rsid w:val="001447FF"/>
    <w:rsid w:val="00145EFE"/>
    <w:rsid w:val="00150CDC"/>
    <w:rsid w:val="001636AA"/>
    <w:rsid w:val="001712DE"/>
    <w:rsid w:val="00196100"/>
    <w:rsid w:val="001A4292"/>
    <w:rsid w:val="001B26D7"/>
    <w:rsid w:val="001B369B"/>
    <w:rsid w:val="001B50FD"/>
    <w:rsid w:val="001C0870"/>
    <w:rsid w:val="001D249F"/>
    <w:rsid w:val="001D446D"/>
    <w:rsid w:val="001D5BD6"/>
    <w:rsid w:val="001E78FC"/>
    <w:rsid w:val="001E7E19"/>
    <w:rsid w:val="001F1FFD"/>
    <w:rsid w:val="001F26D2"/>
    <w:rsid w:val="001F5A2F"/>
    <w:rsid w:val="001F5E63"/>
    <w:rsid w:val="002034A3"/>
    <w:rsid w:val="002108E5"/>
    <w:rsid w:val="002159F6"/>
    <w:rsid w:val="002234B3"/>
    <w:rsid w:val="00235650"/>
    <w:rsid w:val="00241D13"/>
    <w:rsid w:val="002432E6"/>
    <w:rsid w:val="00251DFB"/>
    <w:rsid w:val="00260C93"/>
    <w:rsid w:val="00263753"/>
    <w:rsid w:val="0026443C"/>
    <w:rsid w:val="00274508"/>
    <w:rsid w:val="00281B54"/>
    <w:rsid w:val="00282208"/>
    <w:rsid w:val="002915D5"/>
    <w:rsid w:val="002A1F3C"/>
    <w:rsid w:val="002B6677"/>
    <w:rsid w:val="002D2547"/>
    <w:rsid w:val="002D4875"/>
    <w:rsid w:val="002E5B62"/>
    <w:rsid w:val="002E7BF9"/>
    <w:rsid w:val="003021A2"/>
    <w:rsid w:val="00320BF5"/>
    <w:rsid w:val="00323341"/>
    <w:rsid w:val="003248C3"/>
    <w:rsid w:val="00357325"/>
    <w:rsid w:val="00363D51"/>
    <w:rsid w:val="00377111"/>
    <w:rsid w:val="003827FC"/>
    <w:rsid w:val="0039031D"/>
    <w:rsid w:val="003A5503"/>
    <w:rsid w:val="003B0B13"/>
    <w:rsid w:val="003C09AF"/>
    <w:rsid w:val="003F6823"/>
    <w:rsid w:val="00417814"/>
    <w:rsid w:val="00425836"/>
    <w:rsid w:val="0043520B"/>
    <w:rsid w:val="00442248"/>
    <w:rsid w:val="004427BA"/>
    <w:rsid w:val="0045016D"/>
    <w:rsid w:val="00451E58"/>
    <w:rsid w:val="00455F45"/>
    <w:rsid w:val="004628B3"/>
    <w:rsid w:val="00463D80"/>
    <w:rsid w:val="00466AC2"/>
    <w:rsid w:val="00471045"/>
    <w:rsid w:val="0047650C"/>
    <w:rsid w:val="00481076"/>
    <w:rsid w:val="004947BD"/>
    <w:rsid w:val="004952AE"/>
    <w:rsid w:val="004A1B89"/>
    <w:rsid w:val="004C0111"/>
    <w:rsid w:val="004D3ACD"/>
    <w:rsid w:val="004D4367"/>
    <w:rsid w:val="004E1DA2"/>
    <w:rsid w:val="005046E5"/>
    <w:rsid w:val="005078F8"/>
    <w:rsid w:val="00522DF8"/>
    <w:rsid w:val="00525036"/>
    <w:rsid w:val="00525D28"/>
    <w:rsid w:val="00551FEB"/>
    <w:rsid w:val="00561DFC"/>
    <w:rsid w:val="0056260D"/>
    <w:rsid w:val="00570A13"/>
    <w:rsid w:val="005730B7"/>
    <w:rsid w:val="00584A24"/>
    <w:rsid w:val="005A07F0"/>
    <w:rsid w:val="005A1120"/>
    <w:rsid w:val="005A57F4"/>
    <w:rsid w:val="005B27EC"/>
    <w:rsid w:val="005C31F8"/>
    <w:rsid w:val="005C3397"/>
    <w:rsid w:val="005C578E"/>
    <w:rsid w:val="005C6BAD"/>
    <w:rsid w:val="005E5B9D"/>
    <w:rsid w:val="005E7458"/>
    <w:rsid w:val="005F4CF5"/>
    <w:rsid w:val="00614D87"/>
    <w:rsid w:val="006258D5"/>
    <w:rsid w:val="006328DC"/>
    <w:rsid w:val="00641F13"/>
    <w:rsid w:val="00657A27"/>
    <w:rsid w:val="00662DCF"/>
    <w:rsid w:val="0066313C"/>
    <w:rsid w:val="00667FFC"/>
    <w:rsid w:val="006960DF"/>
    <w:rsid w:val="006B5CBD"/>
    <w:rsid w:val="006C6EDF"/>
    <w:rsid w:val="006D14A3"/>
    <w:rsid w:val="006D4DFB"/>
    <w:rsid w:val="006E73DE"/>
    <w:rsid w:val="006F6243"/>
    <w:rsid w:val="006F6D44"/>
    <w:rsid w:val="00701D78"/>
    <w:rsid w:val="007172D0"/>
    <w:rsid w:val="0073275C"/>
    <w:rsid w:val="007429A4"/>
    <w:rsid w:val="00755CA9"/>
    <w:rsid w:val="00761711"/>
    <w:rsid w:val="00782BE7"/>
    <w:rsid w:val="0078701F"/>
    <w:rsid w:val="00796594"/>
    <w:rsid w:val="007A244C"/>
    <w:rsid w:val="007A2466"/>
    <w:rsid w:val="007A3D80"/>
    <w:rsid w:val="007B3AFF"/>
    <w:rsid w:val="007B4350"/>
    <w:rsid w:val="007C5C5F"/>
    <w:rsid w:val="007D341B"/>
    <w:rsid w:val="007F233F"/>
    <w:rsid w:val="007F257F"/>
    <w:rsid w:val="00800F55"/>
    <w:rsid w:val="00802B2D"/>
    <w:rsid w:val="00843EF6"/>
    <w:rsid w:val="00856317"/>
    <w:rsid w:val="008576E7"/>
    <w:rsid w:val="008626FC"/>
    <w:rsid w:val="00870E45"/>
    <w:rsid w:val="00870E6E"/>
    <w:rsid w:val="008717A5"/>
    <w:rsid w:val="00893796"/>
    <w:rsid w:val="008A48E6"/>
    <w:rsid w:val="008A687C"/>
    <w:rsid w:val="008B0DDA"/>
    <w:rsid w:val="008B31C4"/>
    <w:rsid w:val="008C507B"/>
    <w:rsid w:val="008D6D21"/>
    <w:rsid w:val="008E4276"/>
    <w:rsid w:val="00922013"/>
    <w:rsid w:val="00922651"/>
    <w:rsid w:val="00924CE7"/>
    <w:rsid w:val="00933C40"/>
    <w:rsid w:val="0093678B"/>
    <w:rsid w:val="0095377E"/>
    <w:rsid w:val="00984B80"/>
    <w:rsid w:val="009B56AF"/>
    <w:rsid w:val="009B679E"/>
    <w:rsid w:val="009C58F8"/>
    <w:rsid w:val="009D119D"/>
    <w:rsid w:val="009E5A32"/>
    <w:rsid w:val="00A03A1F"/>
    <w:rsid w:val="00A06E33"/>
    <w:rsid w:val="00A1314E"/>
    <w:rsid w:val="00A14381"/>
    <w:rsid w:val="00A3638E"/>
    <w:rsid w:val="00A3698C"/>
    <w:rsid w:val="00A46420"/>
    <w:rsid w:val="00A51A38"/>
    <w:rsid w:val="00A7020E"/>
    <w:rsid w:val="00A81FDB"/>
    <w:rsid w:val="00A8770D"/>
    <w:rsid w:val="00A91CB4"/>
    <w:rsid w:val="00A94885"/>
    <w:rsid w:val="00AA24CD"/>
    <w:rsid w:val="00AB1E92"/>
    <w:rsid w:val="00AB4BD2"/>
    <w:rsid w:val="00AD53BC"/>
    <w:rsid w:val="00AD7001"/>
    <w:rsid w:val="00AE5D64"/>
    <w:rsid w:val="00B37F6D"/>
    <w:rsid w:val="00B47273"/>
    <w:rsid w:val="00B51ED2"/>
    <w:rsid w:val="00B63921"/>
    <w:rsid w:val="00B656F2"/>
    <w:rsid w:val="00B73C2C"/>
    <w:rsid w:val="00B7560F"/>
    <w:rsid w:val="00B77345"/>
    <w:rsid w:val="00B93274"/>
    <w:rsid w:val="00B93439"/>
    <w:rsid w:val="00B937C1"/>
    <w:rsid w:val="00BA4380"/>
    <w:rsid w:val="00BA6C2C"/>
    <w:rsid w:val="00BB08E2"/>
    <w:rsid w:val="00BB3930"/>
    <w:rsid w:val="00BB52C3"/>
    <w:rsid w:val="00BC0D18"/>
    <w:rsid w:val="00BE3D68"/>
    <w:rsid w:val="00C06359"/>
    <w:rsid w:val="00C13B20"/>
    <w:rsid w:val="00C3791A"/>
    <w:rsid w:val="00C5078C"/>
    <w:rsid w:val="00C62590"/>
    <w:rsid w:val="00C6524C"/>
    <w:rsid w:val="00C77A3A"/>
    <w:rsid w:val="00C828A0"/>
    <w:rsid w:val="00C92D46"/>
    <w:rsid w:val="00C93610"/>
    <w:rsid w:val="00C94E5E"/>
    <w:rsid w:val="00C96A2F"/>
    <w:rsid w:val="00CA3A6A"/>
    <w:rsid w:val="00CA71D8"/>
    <w:rsid w:val="00CB32AC"/>
    <w:rsid w:val="00CB7A02"/>
    <w:rsid w:val="00CC2994"/>
    <w:rsid w:val="00CC399F"/>
    <w:rsid w:val="00CD614F"/>
    <w:rsid w:val="00CF2017"/>
    <w:rsid w:val="00CF608F"/>
    <w:rsid w:val="00D066B5"/>
    <w:rsid w:val="00D206EA"/>
    <w:rsid w:val="00D23CD0"/>
    <w:rsid w:val="00D2781B"/>
    <w:rsid w:val="00D27DA8"/>
    <w:rsid w:val="00D30227"/>
    <w:rsid w:val="00D365C4"/>
    <w:rsid w:val="00D40F3B"/>
    <w:rsid w:val="00D52B7F"/>
    <w:rsid w:val="00D673D1"/>
    <w:rsid w:val="00D86D0A"/>
    <w:rsid w:val="00D92631"/>
    <w:rsid w:val="00D94CD9"/>
    <w:rsid w:val="00DA6032"/>
    <w:rsid w:val="00DB19E2"/>
    <w:rsid w:val="00DD1913"/>
    <w:rsid w:val="00DD3D0C"/>
    <w:rsid w:val="00DE0410"/>
    <w:rsid w:val="00DE36F9"/>
    <w:rsid w:val="00DF0D1C"/>
    <w:rsid w:val="00DF13EF"/>
    <w:rsid w:val="00DF7361"/>
    <w:rsid w:val="00E2264B"/>
    <w:rsid w:val="00E24FD0"/>
    <w:rsid w:val="00E32BAD"/>
    <w:rsid w:val="00E41D01"/>
    <w:rsid w:val="00E54A11"/>
    <w:rsid w:val="00E550F1"/>
    <w:rsid w:val="00E86AFD"/>
    <w:rsid w:val="00EC1DBE"/>
    <w:rsid w:val="00EC58F3"/>
    <w:rsid w:val="00ED782D"/>
    <w:rsid w:val="00EE79D6"/>
    <w:rsid w:val="00EF5662"/>
    <w:rsid w:val="00F026C0"/>
    <w:rsid w:val="00F02E54"/>
    <w:rsid w:val="00F25B16"/>
    <w:rsid w:val="00F25CAA"/>
    <w:rsid w:val="00F30B49"/>
    <w:rsid w:val="00F33D15"/>
    <w:rsid w:val="00F43ADC"/>
    <w:rsid w:val="00F44092"/>
    <w:rsid w:val="00F4432E"/>
    <w:rsid w:val="00F45C25"/>
    <w:rsid w:val="00F536E0"/>
    <w:rsid w:val="00F53E89"/>
    <w:rsid w:val="00F55F9D"/>
    <w:rsid w:val="00F7005E"/>
    <w:rsid w:val="00F76F09"/>
    <w:rsid w:val="00FA2578"/>
    <w:rsid w:val="00FA6F0A"/>
    <w:rsid w:val="00FB04B7"/>
    <w:rsid w:val="00FC77F6"/>
    <w:rsid w:val="00FD6C86"/>
    <w:rsid w:val="00FE7683"/>
    <w:rsid w:val="00FF73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7A62"/>
  <w15:docId w15:val="{70C567EE-71E7-4AA0-A0D2-F52A1F52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30"/>
    <w:pPr>
      <w:tabs>
        <w:tab w:val="left" w:pos="567"/>
        <w:tab w:val="left" w:pos="1134"/>
        <w:tab w:val="left" w:pos="1701"/>
        <w:tab w:val="left" w:pos="2268"/>
        <w:tab w:val="left" w:pos="2835"/>
      </w:tabs>
      <w:spacing w:before="120" w:after="0" w:line="240" w:lineRule="auto"/>
    </w:pPr>
    <w:rPr>
      <w:rFonts w:ascii="Calibri" w:eastAsia="Calibri" w:hAnsi="Calibri" w:cs="Calibri"/>
      <w:color w:val="000000"/>
      <w:sz w:val="24"/>
      <w:szCs w:val="24"/>
      <w:lang w:val="en-GB"/>
    </w:rPr>
  </w:style>
  <w:style w:type="paragraph" w:styleId="Heading1">
    <w:name w:val="heading 1"/>
    <w:basedOn w:val="Normal"/>
    <w:next w:val="Normal"/>
    <w:link w:val="Heading1Char"/>
    <w:uiPriority w:val="9"/>
    <w:qFormat/>
    <w:rsid w:val="00DD1913"/>
    <w:pPr>
      <w:keepNext/>
      <w:keepLines/>
      <w:tabs>
        <w:tab w:val="clear" w:pos="567"/>
        <w:tab w:val="clear" w:pos="1134"/>
        <w:tab w:val="clear" w:pos="1701"/>
        <w:tab w:val="clear" w:pos="2268"/>
        <w:tab w:val="clear" w:pos="2835"/>
      </w:tabs>
      <w:spacing w:before="480" w:line="276" w:lineRule="auto"/>
      <w:outlineLvl w:val="0"/>
    </w:pPr>
    <w:rPr>
      <w:rFonts w:asciiTheme="majorHAnsi" w:eastAsiaTheme="majorEastAsia" w:hAnsiTheme="majorHAnsi" w:cstheme="majorBidi"/>
      <w:b/>
      <w:bCs/>
      <w:color w:val="2E74B5" w:themeColor="accent1" w:themeShade="BF"/>
      <w:sz w:val="28"/>
      <w:szCs w:val="28"/>
      <w:lang w:val="en-US" w:eastAsia="ja-JP"/>
    </w:rPr>
  </w:style>
  <w:style w:type="paragraph" w:styleId="Heading2">
    <w:name w:val="heading 2"/>
    <w:basedOn w:val="Normal"/>
    <w:next w:val="Normal"/>
    <w:link w:val="Heading2Char"/>
    <w:uiPriority w:val="9"/>
    <w:semiHidden/>
    <w:unhideWhenUsed/>
    <w:qFormat/>
    <w:rsid w:val="00C92D4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6524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B3930"/>
    <w:pPr>
      <w:tabs>
        <w:tab w:val="left" w:pos="567"/>
        <w:tab w:val="left" w:pos="1134"/>
        <w:tab w:val="left" w:pos="1701"/>
        <w:tab w:val="left" w:pos="2268"/>
        <w:tab w:val="left" w:pos="2835"/>
      </w:tabs>
      <w:spacing w:before="120" w:after="0" w:line="240" w:lineRule="auto"/>
    </w:pPr>
    <w:rPr>
      <w:rFonts w:ascii="Calibri" w:eastAsia="Calibri" w:hAnsi="Calibri" w:cs="Calibri"/>
      <w:color w:val="000000"/>
      <w:sz w:val="24"/>
      <w:szCs w:val="24"/>
      <w:lang w:val="en-GB"/>
    </w:rPr>
  </w:style>
  <w:style w:type="character" w:styleId="CommentReference">
    <w:name w:val="annotation reference"/>
    <w:basedOn w:val="DefaultParagraphFont"/>
    <w:uiPriority w:val="99"/>
    <w:semiHidden/>
    <w:unhideWhenUsed/>
    <w:rsid w:val="00BB3930"/>
    <w:rPr>
      <w:sz w:val="16"/>
      <w:szCs w:val="16"/>
    </w:rPr>
  </w:style>
  <w:style w:type="paragraph" w:styleId="CommentText">
    <w:name w:val="annotation text"/>
    <w:basedOn w:val="Normal"/>
    <w:link w:val="CommentTextChar"/>
    <w:uiPriority w:val="99"/>
    <w:semiHidden/>
    <w:unhideWhenUsed/>
    <w:rsid w:val="00BB3930"/>
    <w:rPr>
      <w:sz w:val="20"/>
      <w:szCs w:val="20"/>
    </w:rPr>
  </w:style>
  <w:style w:type="character" w:customStyle="1" w:styleId="CommentTextChar">
    <w:name w:val="Comment Text Char"/>
    <w:basedOn w:val="DefaultParagraphFont"/>
    <w:link w:val="CommentText"/>
    <w:uiPriority w:val="99"/>
    <w:semiHidden/>
    <w:rsid w:val="00BB3930"/>
    <w:rPr>
      <w:rFonts w:ascii="Calibri" w:eastAsia="Calibri" w:hAnsi="Calibri" w:cs="Calibri"/>
      <w:color w:val="000000"/>
      <w:sz w:val="20"/>
      <w:szCs w:val="20"/>
      <w:lang w:val="en-GB"/>
    </w:rPr>
  </w:style>
  <w:style w:type="paragraph" w:styleId="BalloonText">
    <w:name w:val="Balloon Text"/>
    <w:basedOn w:val="Normal"/>
    <w:link w:val="BalloonTextChar"/>
    <w:uiPriority w:val="99"/>
    <w:semiHidden/>
    <w:unhideWhenUsed/>
    <w:rsid w:val="00BB393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930"/>
    <w:rPr>
      <w:rFonts w:ascii="Segoe UI" w:eastAsia="Calibri" w:hAnsi="Segoe UI" w:cs="Segoe UI"/>
      <w:color w:val="000000"/>
      <w:sz w:val="18"/>
      <w:szCs w:val="18"/>
      <w:lang w:val="en-GB"/>
    </w:rPr>
  </w:style>
  <w:style w:type="paragraph" w:styleId="FootnoteText">
    <w:name w:val="footnote text"/>
    <w:basedOn w:val="Normal"/>
    <w:link w:val="FootnoteTextChar"/>
    <w:uiPriority w:val="99"/>
    <w:semiHidden/>
    <w:unhideWhenUsed/>
    <w:rsid w:val="002E7BF9"/>
    <w:pPr>
      <w:spacing w:before="0"/>
    </w:pPr>
    <w:rPr>
      <w:sz w:val="20"/>
      <w:szCs w:val="20"/>
    </w:rPr>
  </w:style>
  <w:style w:type="character" w:customStyle="1" w:styleId="FootnoteTextChar">
    <w:name w:val="Footnote Text Char"/>
    <w:basedOn w:val="DefaultParagraphFont"/>
    <w:link w:val="FootnoteText"/>
    <w:uiPriority w:val="99"/>
    <w:semiHidden/>
    <w:rsid w:val="002E7BF9"/>
    <w:rPr>
      <w:rFonts w:ascii="Calibri" w:eastAsia="Calibri" w:hAnsi="Calibri" w:cs="Calibri"/>
      <w:color w:val="000000"/>
      <w:sz w:val="20"/>
      <w:szCs w:val="20"/>
      <w:lang w:val="en-GB"/>
    </w:rPr>
  </w:style>
  <w:style w:type="character" w:styleId="FootnoteReference">
    <w:name w:val="footnote reference"/>
    <w:basedOn w:val="DefaultParagraphFont"/>
    <w:uiPriority w:val="99"/>
    <w:semiHidden/>
    <w:unhideWhenUsed/>
    <w:rsid w:val="002E7BF9"/>
    <w:rPr>
      <w:vertAlign w:val="superscript"/>
    </w:rPr>
  </w:style>
  <w:style w:type="paragraph" w:styleId="CommentSubject">
    <w:name w:val="annotation subject"/>
    <w:basedOn w:val="CommentText"/>
    <w:next w:val="CommentText"/>
    <w:link w:val="CommentSubjectChar"/>
    <w:uiPriority w:val="99"/>
    <w:semiHidden/>
    <w:unhideWhenUsed/>
    <w:rsid w:val="006960DF"/>
    <w:rPr>
      <w:b/>
      <w:bCs/>
    </w:rPr>
  </w:style>
  <w:style w:type="character" w:customStyle="1" w:styleId="CommentSubjectChar">
    <w:name w:val="Comment Subject Char"/>
    <w:basedOn w:val="CommentTextChar"/>
    <w:link w:val="CommentSubject"/>
    <w:uiPriority w:val="99"/>
    <w:semiHidden/>
    <w:rsid w:val="006960DF"/>
    <w:rPr>
      <w:rFonts w:ascii="Calibri" w:eastAsia="Calibri" w:hAnsi="Calibri" w:cs="Calibri"/>
      <w:b/>
      <w:bCs/>
      <w:color w:val="000000"/>
      <w:sz w:val="20"/>
      <w:szCs w:val="20"/>
      <w:lang w:val="en-GB"/>
    </w:rPr>
  </w:style>
  <w:style w:type="paragraph" w:styleId="Revision">
    <w:name w:val="Revision"/>
    <w:hidden/>
    <w:uiPriority w:val="99"/>
    <w:semiHidden/>
    <w:rsid w:val="000A351D"/>
    <w:pPr>
      <w:spacing w:after="0" w:line="240" w:lineRule="auto"/>
    </w:pPr>
    <w:rPr>
      <w:rFonts w:ascii="Calibri" w:eastAsia="Calibri" w:hAnsi="Calibri" w:cs="Calibri"/>
      <w:color w:val="000000"/>
      <w:sz w:val="24"/>
      <w:szCs w:val="24"/>
      <w:lang w:val="en-GB"/>
    </w:rPr>
  </w:style>
  <w:style w:type="character" w:customStyle="1" w:styleId="Heading1Char">
    <w:name w:val="Heading 1 Char"/>
    <w:basedOn w:val="DefaultParagraphFont"/>
    <w:link w:val="Heading1"/>
    <w:uiPriority w:val="9"/>
    <w:rsid w:val="00DD1913"/>
    <w:rPr>
      <w:rFonts w:asciiTheme="majorHAnsi" w:eastAsiaTheme="majorEastAsia" w:hAnsiTheme="majorHAnsi" w:cstheme="majorBidi"/>
      <w:b/>
      <w:bCs/>
      <w:color w:val="2E74B5" w:themeColor="accent1" w:themeShade="BF"/>
      <w:sz w:val="28"/>
      <w:szCs w:val="28"/>
      <w:lang w:eastAsia="ja-JP"/>
    </w:rPr>
  </w:style>
  <w:style w:type="paragraph" w:styleId="Header">
    <w:name w:val="header"/>
    <w:basedOn w:val="Normal"/>
    <w:link w:val="HeaderChar"/>
    <w:uiPriority w:val="99"/>
    <w:unhideWhenUsed/>
    <w:rsid w:val="00761711"/>
    <w:pPr>
      <w:tabs>
        <w:tab w:val="clear" w:pos="567"/>
        <w:tab w:val="clear" w:pos="1134"/>
        <w:tab w:val="clear" w:pos="1701"/>
        <w:tab w:val="clear" w:pos="2268"/>
        <w:tab w:val="clear" w:pos="2835"/>
        <w:tab w:val="center" w:pos="4680"/>
        <w:tab w:val="right" w:pos="9360"/>
      </w:tabs>
      <w:spacing w:before="0"/>
    </w:pPr>
  </w:style>
  <w:style w:type="character" w:customStyle="1" w:styleId="HeaderChar">
    <w:name w:val="Header Char"/>
    <w:basedOn w:val="DefaultParagraphFont"/>
    <w:link w:val="Header"/>
    <w:uiPriority w:val="99"/>
    <w:rsid w:val="00761711"/>
    <w:rPr>
      <w:rFonts w:ascii="Calibri" w:eastAsia="Calibri" w:hAnsi="Calibri" w:cs="Calibri"/>
      <w:color w:val="000000"/>
      <w:sz w:val="24"/>
      <w:szCs w:val="24"/>
      <w:lang w:val="en-GB"/>
    </w:rPr>
  </w:style>
  <w:style w:type="paragraph" w:styleId="Footer">
    <w:name w:val="footer"/>
    <w:basedOn w:val="Normal"/>
    <w:link w:val="FooterChar"/>
    <w:uiPriority w:val="99"/>
    <w:unhideWhenUsed/>
    <w:rsid w:val="00761711"/>
    <w:pPr>
      <w:tabs>
        <w:tab w:val="clear" w:pos="567"/>
        <w:tab w:val="clear" w:pos="1134"/>
        <w:tab w:val="clear" w:pos="1701"/>
        <w:tab w:val="clear" w:pos="2268"/>
        <w:tab w:val="clear" w:pos="2835"/>
        <w:tab w:val="center" w:pos="4680"/>
        <w:tab w:val="right" w:pos="9360"/>
      </w:tabs>
      <w:spacing w:before="0"/>
    </w:pPr>
  </w:style>
  <w:style w:type="character" w:customStyle="1" w:styleId="FooterChar">
    <w:name w:val="Footer Char"/>
    <w:basedOn w:val="DefaultParagraphFont"/>
    <w:link w:val="Footer"/>
    <w:uiPriority w:val="99"/>
    <w:rsid w:val="00761711"/>
    <w:rPr>
      <w:rFonts w:ascii="Calibri" w:eastAsia="Calibri" w:hAnsi="Calibri" w:cs="Calibri"/>
      <w:color w:val="000000"/>
      <w:sz w:val="24"/>
      <w:szCs w:val="24"/>
      <w:lang w:val="en-GB"/>
    </w:rPr>
  </w:style>
  <w:style w:type="paragraph" w:customStyle="1" w:styleId="Title1">
    <w:name w:val="Title 1"/>
    <w:basedOn w:val="Normal1"/>
    <w:rsid w:val="001C0870"/>
    <w:pPr>
      <w:spacing w:before="240"/>
      <w:jc w:val="center"/>
    </w:pPr>
    <w:rPr>
      <w:rFonts w:asciiTheme="minorHAnsi" w:hAnsiTheme="minorHAnsi" w:cs="Times New Roman"/>
      <w:sz w:val="28"/>
      <w:szCs w:val="28"/>
    </w:rPr>
  </w:style>
  <w:style w:type="character" w:styleId="Hyperlink">
    <w:name w:val="Hyperlink"/>
    <w:basedOn w:val="DefaultParagraphFont"/>
    <w:uiPriority w:val="99"/>
    <w:unhideWhenUsed/>
    <w:rsid w:val="001C0870"/>
    <w:rPr>
      <w:color w:val="0563C1" w:themeColor="hyperlink"/>
      <w:u w:val="single"/>
    </w:rPr>
  </w:style>
  <w:style w:type="character" w:styleId="FollowedHyperlink">
    <w:name w:val="FollowedHyperlink"/>
    <w:basedOn w:val="DefaultParagraphFont"/>
    <w:uiPriority w:val="99"/>
    <w:semiHidden/>
    <w:unhideWhenUsed/>
    <w:rsid w:val="001C0870"/>
    <w:rPr>
      <w:color w:val="954F72" w:themeColor="followedHyperlink"/>
      <w:u w:val="single"/>
    </w:rPr>
  </w:style>
  <w:style w:type="paragraph" w:styleId="ListParagraph">
    <w:name w:val="List Paragraph"/>
    <w:basedOn w:val="Normal"/>
    <w:uiPriority w:val="34"/>
    <w:qFormat/>
    <w:rsid w:val="008A48E6"/>
    <w:pPr>
      <w:tabs>
        <w:tab w:val="clear" w:pos="567"/>
        <w:tab w:val="clear" w:pos="1134"/>
        <w:tab w:val="clear" w:pos="1701"/>
        <w:tab w:val="clear" w:pos="2268"/>
        <w:tab w:val="clear" w:pos="2835"/>
      </w:tabs>
      <w:spacing w:before="0" w:after="200" w:line="276" w:lineRule="auto"/>
      <w:ind w:left="720"/>
      <w:contextualSpacing/>
    </w:pPr>
    <w:rPr>
      <w:rFonts w:asciiTheme="minorHAnsi" w:eastAsiaTheme="minorHAnsi" w:hAnsiTheme="minorHAnsi" w:cstheme="minorBidi"/>
      <w:color w:val="auto"/>
      <w:sz w:val="22"/>
      <w:szCs w:val="22"/>
      <w:lang w:val="en-US"/>
    </w:rPr>
  </w:style>
  <w:style w:type="paragraph" w:styleId="PlainText">
    <w:name w:val="Plain Text"/>
    <w:basedOn w:val="Normal"/>
    <w:link w:val="PlainTextChar"/>
    <w:uiPriority w:val="99"/>
    <w:semiHidden/>
    <w:unhideWhenUsed/>
    <w:rsid w:val="004C0111"/>
    <w:pPr>
      <w:tabs>
        <w:tab w:val="clear" w:pos="567"/>
        <w:tab w:val="clear" w:pos="1134"/>
        <w:tab w:val="clear" w:pos="1701"/>
        <w:tab w:val="clear" w:pos="2268"/>
        <w:tab w:val="clear" w:pos="2835"/>
      </w:tabs>
      <w:spacing w:before="0"/>
    </w:pPr>
    <w:rPr>
      <w:rFonts w:ascii="Consolas" w:eastAsiaTheme="minorHAnsi" w:hAnsi="Consolas" w:cstheme="minorBidi"/>
      <w:color w:val="auto"/>
      <w:sz w:val="21"/>
      <w:szCs w:val="21"/>
      <w:lang w:val="en-US"/>
    </w:rPr>
  </w:style>
  <w:style w:type="character" w:customStyle="1" w:styleId="PlainTextChar">
    <w:name w:val="Plain Text Char"/>
    <w:basedOn w:val="DefaultParagraphFont"/>
    <w:link w:val="PlainText"/>
    <w:uiPriority w:val="99"/>
    <w:semiHidden/>
    <w:rsid w:val="004C0111"/>
    <w:rPr>
      <w:rFonts w:ascii="Consolas" w:hAnsi="Consolas"/>
      <w:sz w:val="21"/>
      <w:szCs w:val="21"/>
    </w:rPr>
  </w:style>
  <w:style w:type="character" w:customStyle="1" w:styleId="Heading2Char">
    <w:name w:val="Heading 2 Char"/>
    <w:basedOn w:val="DefaultParagraphFont"/>
    <w:link w:val="Heading2"/>
    <w:uiPriority w:val="9"/>
    <w:semiHidden/>
    <w:rsid w:val="00C92D46"/>
    <w:rPr>
      <w:rFonts w:asciiTheme="majorHAnsi" w:eastAsiaTheme="majorEastAsia" w:hAnsiTheme="majorHAnsi" w:cstheme="majorBidi"/>
      <w:color w:val="2E74B5" w:themeColor="accent1" w:themeShade="BF"/>
      <w:sz w:val="26"/>
      <w:szCs w:val="26"/>
      <w:lang w:val="en-GB"/>
    </w:rPr>
  </w:style>
  <w:style w:type="character" w:customStyle="1" w:styleId="enumlev1Char">
    <w:name w:val="enumlev1 Char"/>
    <w:basedOn w:val="DefaultParagraphFont"/>
    <w:link w:val="enumlev1"/>
    <w:locked/>
    <w:rsid w:val="00C92D46"/>
    <w:rPr>
      <w:rFonts w:ascii="Times New Roman" w:hAnsi="Times New Roman" w:cs="Times New Roman"/>
      <w:sz w:val="24"/>
      <w:lang w:val="en-GB"/>
    </w:rPr>
  </w:style>
  <w:style w:type="paragraph" w:customStyle="1" w:styleId="enumlev1">
    <w:name w:val="enumlev1"/>
    <w:basedOn w:val="Normal"/>
    <w:link w:val="enumlev1Char"/>
    <w:qFormat/>
    <w:rsid w:val="00C92D46"/>
    <w:pPr>
      <w:tabs>
        <w:tab w:val="clear" w:pos="567"/>
        <w:tab w:val="clear" w:pos="1701"/>
        <w:tab w:val="clear" w:pos="2268"/>
        <w:tab w:val="clear" w:pos="2835"/>
        <w:tab w:val="left" w:pos="1871"/>
        <w:tab w:val="left" w:pos="2608"/>
        <w:tab w:val="left" w:pos="3345"/>
      </w:tabs>
      <w:overflowPunct w:val="0"/>
      <w:autoSpaceDE w:val="0"/>
      <w:autoSpaceDN w:val="0"/>
      <w:adjustRightInd w:val="0"/>
      <w:spacing w:before="80"/>
      <w:ind w:left="1134" w:hanging="1134"/>
    </w:pPr>
    <w:rPr>
      <w:rFonts w:ascii="Times New Roman" w:eastAsiaTheme="minorHAnsi" w:hAnsi="Times New Roman" w:cs="Times New Roman"/>
      <w:color w:val="auto"/>
      <w:szCs w:val="22"/>
    </w:rPr>
  </w:style>
  <w:style w:type="character" w:customStyle="1" w:styleId="Heading3Char">
    <w:name w:val="Heading 3 Char"/>
    <w:basedOn w:val="DefaultParagraphFont"/>
    <w:link w:val="Heading3"/>
    <w:uiPriority w:val="99"/>
    <w:semiHidden/>
    <w:rsid w:val="00C6524C"/>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87284">
      <w:bodyDiv w:val="1"/>
      <w:marLeft w:val="0"/>
      <w:marRight w:val="0"/>
      <w:marTop w:val="0"/>
      <w:marBottom w:val="0"/>
      <w:divBdr>
        <w:top w:val="none" w:sz="0" w:space="0" w:color="auto"/>
        <w:left w:val="none" w:sz="0" w:space="0" w:color="auto"/>
        <w:bottom w:val="none" w:sz="0" w:space="0" w:color="auto"/>
        <w:right w:val="none" w:sz="0" w:space="0" w:color="auto"/>
      </w:divBdr>
    </w:div>
    <w:div w:id="567153904">
      <w:bodyDiv w:val="1"/>
      <w:marLeft w:val="0"/>
      <w:marRight w:val="0"/>
      <w:marTop w:val="0"/>
      <w:marBottom w:val="0"/>
      <w:divBdr>
        <w:top w:val="none" w:sz="0" w:space="0" w:color="auto"/>
        <w:left w:val="none" w:sz="0" w:space="0" w:color="auto"/>
        <w:bottom w:val="none" w:sz="0" w:space="0" w:color="auto"/>
        <w:right w:val="none" w:sz="0" w:space="0" w:color="auto"/>
      </w:divBdr>
    </w:div>
    <w:div w:id="1772317598">
      <w:bodyDiv w:val="1"/>
      <w:marLeft w:val="0"/>
      <w:marRight w:val="0"/>
      <w:marTop w:val="0"/>
      <w:marBottom w:val="0"/>
      <w:divBdr>
        <w:top w:val="none" w:sz="0" w:space="0" w:color="auto"/>
        <w:left w:val="none" w:sz="0" w:space="0" w:color="auto"/>
        <w:bottom w:val="none" w:sz="0" w:space="0" w:color="auto"/>
        <w:right w:val="none" w:sz="0" w:space="0" w:color="auto"/>
      </w:divBdr>
    </w:div>
    <w:div w:id="1899120762">
      <w:bodyDiv w:val="1"/>
      <w:marLeft w:val="0"/>
      <w:marRight w:val="0"/>
      <w:marTop w:val="0"/>
      <w:marBottom w:val="0"/>
      <w:divBdr>
        <w:top w:val="none" w:sz="0" w:space="0" w:color="auto"/>
        <w:left w:val="none" w:sz="0" w:space="0" w:color="auto"/>
        <w:bottom w:val="none" w:sz="0" w:space="0" w:color="auto"/>
        <w:right w:val="none" w:sz="0" w:space="0" w:color="auto"/>
      </w:divBdr>
    </w:div>
    <w:div w:id="1963228295">
      <w:bodyDiv w:val="1"/>
      <w:marLeft w:val="0"/>
      <w:marRight w:val="0"/>
      <w:marTop w:val="0"/>
      <w:marBottom w:val="0"/>
      <w:divBdr>
        <w:top w:val="none" w:sz="0" w:space="0" w:color="auto"/>
        <w:left w:val="none" w:sz="0" w:space="0" w:color="auto"/>
        <w:bottom w:val="none" w:sz="0" w:space="0" w:color="auto"/>
        <w:right w:val="none" w:sz="0" w:space="0" w:color="auto"/>
      </w:divBdr>
    </w:div>
    <w:div w:id="213582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15-CPM19.02-C-0001/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md/R00-CACE-CIR-0855/en" TargetMode="External"/><Relationship Id="rId4" Type="http://schemas.openxmlformats.org/officeDocument/2006/relationships/settings" Target="settings.xml"/><Relationship Id="rId9" Type="http://schemas.openxmlformats.org/officeDocument/2006/relationships/hyperlink" Target="https://www.itu.int/md/R15-WP4A-C-0408/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5847E-41B4-4E01-AD78-D7438D90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4</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Janin</cp:lastModifiedBy>
  <cp:revision>25</cp:revision>
  <cp:lastPrinted>2017-01-09T19:21:00Z</cp:lastPrinted>
  <dcterms:created xsi:type="dcterms:W3CDTF">2018-09-05T07:25:00Z</dcterms:created>
  <dcterms:modified xsi:type="dcterms:W3CDTF">2018-09-25T13:48:00Z</dcterms:modified>
</cp:coreProperties>
</file>