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6487"/>
        <w:gridCol w:w="3544"/>
      </w:tblGrid>
      <w:tr w:rsidR="00BB3930" w14:paraId="18C18FFD" w14:textId="77777777" w:rsidTr="00455F45">
        <w:tc>
          <w:tcPr>
            <w:tcW w:w="6487" w:type="dxa"/>
            <w:vAlign w:val="center"/>
          </w:tcPr>
          <w:p w14:paraId="7AE5259D" w14:textId="77777777" w:rsidR="002E76D0" w:rsidRPr="00BF4B40" w:rsidRDefault="002E76D0" w:rsidP="002E76D0">
            <w:pPr>
              <w:spacing w:before="240" w:after="48"/>
              <w:rPr>
                <w:b/>
                <w:position w:val="6"/>
                <w:sz w:val="30"/>
                <w:szCs w:val="30"/>
                <w:lang w:val="en-US" w:eastAsia="zh-CN"/>
              </w:rPr>
            </w:pPr>
            <w:r w:rsidRPr="00BF4B40">
              <w:rPr>
                <w:b/>
                <w:position w:val="6"/>
                <w:sz w:val="30"/>
                <w:szCs w:val="30"/>
                <w:lang w:val="en-US" w:eastAsia="zh-CN"/>
              </w:rPr>
              <w:t xml:space="preserve">Council </w:t>
            </w:r>
            <w:r>
              <w:rPr>
                <w:b/>
                <w:position w:val="6"/>
                <w:sz w:val="30"/>
                <w:szCs w:val="30"/>
                <w:lang w:val="en-US" w:eastAsia="zh-CN"/>
              </w:rPr>
              <w:t>Expert Group on</w:t>
            </w:r>
            <w:r>
              <w:rPr>
                <w:b/>
                <w:position w:val="6"/>
                <w:sz w:val="30"/>
                <w:szCs w:val="30"/>
                <w:lang w:val="en-US" w:eastAsia="zh-CN"/>
              </w:rPr>
              <w:br/>
              <w:t>Council Decision 482</w:t>
            </w:r>
          </w:p>
          <w:p w14:paraId="5657ED79" w14:textId="62BEAAC9" w:rsidR="00BB3930" w:rsidRDefault="000C1052" w:rsidP="000C1052">
            <w:pPr>
              <w:pStyle w:val="Normal1"/>
              <w:adjustRightInd w:val="0"/>
              <w:snapToGrid w:val="0"/>
              <w:spacing w:before="0"/>
            </w:pPr>
            <w:r>
              <w:rPr>
                <w:rFonts w:cs="Times New Roman Bold"/>
                <w:b/>
                <w:lang w:val="en-US" w:eastAsia="zh-CN"/>
              </w:rPr>
              <w:t>Third</w:t>
            </w:r>
            <w:r w:rsidR="002E76D0">
              <w:rPr>
                <w:rFonts w:cs="Times New Roman Bold"/>
                <w:b/>
                <w:lang w:val="en-US" w:eastAsia="zh-CN"/>
              </w:rPr>
              <w:t xml:space="preserve"> </w:t>
            </w:r>
            <w:r w:rsidR="002E76D0" w:rsidRPr="00BF4B40">
              <w:rPr>
                <w:rFonts w:cs="Times New Roman Bold"/>
                <w:b/>
                <w:lang w:val="en-US" w:eastAsia="zh-CN"/>
              </w:rPr>
              <w:t xml:space="preserve">meeting </w:t>
            </w:r>
            <w:r w:rsidR="002E76D0" w:rsidRPr="00BF4B40">
              <w:rPr>
                <w:b/>
                <w:lang w:val="en-US" w:eastAsia="zh-CN"/>
              </w:rPr>
              <w:t>–</w:t>
            </w:r>
            <w:r w:rsidR="002E76D0" w:rsidRPr="00BF4B40">
              <w:rPr>
                <w:rFonts w:cs="Times New Roman Bold"/>
                <w:b/>
                <w:lang w:val="en-US" w:eastAsia="zh-CN"/>
              </w:rPr>
              <w:t xml:space="preserve"> Geneva,</w:t>
            </w:r>
            <w:r w:rsidR="004A2BA7">
              <w:rPr>
                <w:rFonts w:cs="Times New Roman Bold"/>
                <w:b/>
                <w:lang w:val="en-US" w:eastAsia="zh-CN"/>
              </w:rPr>
              <w:t xml:space="preserve"> </w:t>
            </w:r>
            <w:r w:rsidR="00304A83">
              <w:rPr>
                <w:rFonts w:cs="Times New Roman Bold"/>
                <w:b/>
                <w:lang w:val="en-US" w:eastAsia="zh-CN"/>
              </w:rPr>
              <w:t>6-7 June 2019</w:t>
            </w:r>
            <w:r w:rsidR="002E76D0" w:rsidRPr="00BF4B40">
              <w:rPr>
                <w:rFonts w:cs="Times New Roman Bold"/>
                <w:b/>
                <w:lang w:val="en-US" w:eastAsia="zh-CN"/>
              </w:rPr>
              <w:t xml:space="preserve"> </w:t>
            </w:r>
          </w:p>
        </w:tc>
        <w:tc>
          <w:tcPr>
            <w:tcW w:w="3544" w:type="dxa"/>
          </w:tcPr>
          <w:p w14:paraId="063E2296" w14:textId="77777777" w:rsidR="00BB3930" w:rsidRDefault="00BB3930" w:rsidP="00455F45">
            <w:pPr>
              <w:pStyle w:val="Normal1"/>
              <w:spacing w:before="0"/>
            </w:pPr>
            <w:bookmarkStart w:id="0" w:name="h.30j0zll" w:colFirst="0" w:colLast="0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D1AAAAA" wp14:editId="031233B9">
                  <wp:extent cx="1760220" cy="746760"/>
                  <wp:effectExtent l="0" t="0" r="0" b="0"/>
                  <wp:docPr id="1" name="image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30" w14:paraId="167C2925" w14:textId="77777777" w:rsidTr="00455F45">
        <w:tc>
          <w:tcPr>
            <w:tcW w:w="6487" w:type="dxa"/>
            <w:tcBorders>
              <w:bottom w:val="single" w:sz="12" w:space="0" w:color="000000"/>
            </w:tcBorders>
          </w:tcPr>
          <w:p w14:paraId="54BD98ED" w14:textId="289D2E1D" w:rsidR="00BB3930" w:rsidRDefault="00BB3930" w:rsidP="00A51A38">
            <w:pPr>
              <w:pStyle w:val="Normal1"/>
              <w:spacing w:before="0"/>
            </w:pPr>
          </w:p>
        </w:tc>
        <w:tc>
          <w:tcPr>
            <w:tcW w:w="3544" w:type="dxa"/>
            <w:tcBorders>
              <w:bottom w:val="single" w:sz="12" w:space="0" w:color="000000"/>
            </w:tcBorders>
          </w:tcPr>
          <w:p w14:paraId="08A0A8E6" w14:textId="77777777" w:rsidR="00BB3930" w:rsidRDefault="00BB3930" w:rsidP="00455F45">
            <w:pPr>
              <w:pStyle w:val="Normal1"/>
              <w:spacing w:before="0"/>
            </w:pPr>
          </w:p>
        </w:tc>
      </w:tr>
      <w:tr w:rsidR="00BB3930" w14:paraId="0AB71FFF" w14:textId="77777777" w:rsidTr="00455F45">
        <w:tc>
          <w:tcPr>
            <w:tcW w:w="6487" w:type="dxa"/>
            <w:tcBorders>
              <w:top w:val="single" w:sz="12" w:space="0" w:color="000000"/>
            </w:tcBorders>
          </w:tcPr>
          <w:p w14:paraId="34431CA6" w14:textId="77777777" w:rsidR="00BB3930" w:rsidRDefault="00BB3930" w:rsidP="00455F45">
            <w:pPr>
              <w:pStyle w:val="Normal1"/>
              <w:spacing w:before="0"/>
            </w:pPr>
          </w:p>
        </w:tc>
        <w:tc>
          <w:tcPr>
            <w:tcW w:w="3544" w:type="dxa"/>
            <w:tcBorders>
              <w:top w:val="single" w:sz="12" w:space="0" w:color="000000"/>
            </w:tcBorders>
          </w:tcPr>
          <w:p w14:paraId="0DAEEC97" w14:textId="77777777" w:rsidR="00BB3930" w:rsidRDefault="00BB3930" w:rsidP="00455F45">
            <w:pPr>
              <w:pStyle w:val="Normal1"/>
              <w:spacing w:before="0"/>
            </w:pPr>
          </w:p>
        </w:tc>
      </w:tr>
      <w:tr w:rsidR="00BB3930" w:rsidRPr="00FD0921" w14:paraId="33DF6FA4" w14:textId="77777777" w:rsidTr="00455F45">
        <w:trPr>
          <w:trHeight w:val="20"/>
        </w:trPr>
        <w:tc>
          <w:tcPr>
            <w:tcW w:w="6487" w:type="dxa"/>
            <w:vMerge w:val="restart"/>
          </w:tcPr>
          <w:p w14:paraId="2E532386" w14:textId="77777777" w:rsidR="00BB3930" w:rsidRDefault="00BB3930" w:rsidP="00455F45">
            <w:pPr>
              <w:pStyle w:val="Normal1"/>
              <w:tabs>
                <w:tab w:val="left" w:pos="851"/>
              </w:tabs>
              <w:spacing w:before="0"/>
            </w:pPr>
          </w:p>
        </w:tc>
        <w:tc>
          <w:tcPr>
            <w:tcW w:w="3544" w:type="dxa"/>
          </w:tcPr>
          <w:p w14:paraId="468693C3" w14:textId="0064ECBC" w:rsidR="00BB3930" w:rsidRPr="009C58F8" w:rsidRDefault="002E76D0" w:rsidP="00091A6F">
            <w:pPr>
              <w:pStyle w:val="Normal1"/>
              <w:tabs>
                <w:tab w:val="left" w:pos="851"/>
              </w:tabs>
              <w:rPr>
                <w:lang w:val="es-ES"/>
              </w:rPr>
            </w:pPr>
            <w:r w:rsidRPr="000A33FA">
              <w:rPr>
                <w:b/>
                <w:lang w:val="de-CH"/>
              </w:rPr>
              <w:t xml:space="preserve">Document </w:t>
            </w:r>
            <w:r w:rsidR="00091A6F">
              <w:rPr>
                <w:b/>
                <w:lang w:val="de-CH"/>
              </w:rPr>
              <w:t>EG-D482-3/2-E</w:t>
            </w:r>
          </w:p>
        </w:tc>
      </w:tr>
      <w:tr w:rsidR="00BB3930" w14:paraId="291290D4" w14:textId="77777777" w:rsidTr="00455F45">
        <w:trPr>
          <w:trHeight w:val="20"/>
        </w:trPr>
        <w:tc>
          <w:tcPr>
            <w:tcW w:w="6487" w:type="dxa"/>
            <w:vMerge/>
          </w:tcPr>
          <w:p w14:paraId="1DCAAB37" w14:textId="77777777" w:rsidR="00BB3930" w:rsidRPr="009C58F8" w:rsidRDefault="00BB3930" w:rsidP="00455F45">
            <w:pPr>
              <w:pStyle w:val="Normal1"/>
              <w:tabs>
                <w:tab w:val="left" w:pos="851"/>
              </w:tabs>
              <w:rPr>
                <w:lang w:val="es-ES"/>
              </w:rPr>
            </w:pPr>
          </w:p>
        </w:tc>
        <w:tc>
          <w:tcPr>
            <w:tcW w:w="3544" w:type="dxa"/>
          </w:tcPr>
          <w:p w14:paraId="03171F25" w14:textId="133901A4" w:rsidR="00BB3930" w:rsidRDefault="00091A6F" w:rsidP="00A24D47">
            <w:pPr>
              <w:pStyle w:val="Normal1"/>
              <w:tabs>
                <w:tab w:val="left" w:pos="993"/>
              </w:tabs>
              <w:spacing w:before="0"/>
            </w:pPr>
            <w:r>
              <w:rPr>
                <w:b/>
              </w:rPr>
              <w:t>21 May 2019</w:t>
            </w:r>
          </w:p>
        </w:tc>
      </w:tr>
      <w:tr w:rsidR="00BB3930" w14:paraId="457F2DD6" w14:textId="77777777" w:rsidTr="00455F45">
        <w:trPr>
          <w:trHeight w:val="20"/>
        </w:trPr>
        <w:tc>
          <w:tcPr>
            <w:tcW w:w="6487" w:type="dxa"/>
            <w:vMerge/>
          </w:tcPr>
          <w:p w14:paraId="484AEC4F" w14:textId="77777777" w:rsidR="00BB3930" w:rsidRDefault="00BB3930" w:rsidP="00455F45">
            <w:pPr>
              <w:pStyle w:val="Normal1"/>
              <w:tabs>
                <w:tab w:val="left" w:pos="851"/>
              </w:tabs>
            </w:pPr>
          </w:p>
        </w:tc>
        <w:tc>
          <w:tcPr>
            <w:tcW w:w="3544" w:type="dxa"/>
          </w:tcPr>
          <w:p w14:paraId="7D5874A1" w14:textId="79937DBE" w:rsidR="00BB3930" w:rsidRDefault="00BB3930" w:rsidP="00455F45">
            <w:pPr>
              <w:pStyle w:val="Normal1"/>
              <w:tabs>
                <w:tab w:val="left" w:pos="993"/>
              </w:tabs>
              <w:spacing w:before="0"/>
            </w:pPr>
            <w:r>
              <w:rPr>
                <w:b/>
              </w:rPr>
              <w:t xml:space="preserve">English </w:t>
            </w:r>
            <w:r w:rsidR="002E76D0">
              <w:rPr>
                <w:b/>
              </w:rPr>
              <w:t>only</w:t>
            </w:r>
          </w:p>
        </w:tc>
      </w:tr>
      <w:tr w:rsidR="00BB3930" w:rsidRPr="008928ED" w14:paraId="0D8FE9B1" w14:textId="77777777" w:rsidTr="00455F45">
        <w:trPr>
          <w:trHeight w:val="20"/>
        </w:trPr>
        <w:tc>
          <w:tcPr>
            <w:tcW w:w="10031" w:type="dxa"/>
            <w:gridSpan w:val="2"/>
          </w:tcPr>
          <w:p w14:paraId="0619243D" w14:textId="5E36745C" w:rsidR="003248C3" w:rsidRPr="001C0870" w:rsidRDefault="002A5AAE" w:rsidP="00091A6F">
            <w:pPr>
              <w:pStyle w:val="Normal1"/>
              <w:spacing w:before="840" w:after="120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b/>
                <w:sz w:val="28"/>
                <w:szCs w:val="28"/>
              </w:rPr>
              <w:t>United Arab Emirates</w:t>
            </w:r>
          </w:p>
        </w:tc>
      </w:tr>
      <w:tr w:rsidR="00BB3930" w:rsidRPr="008928ED" w14:paraId="074225B3" w14:textId="77777777" w:rsidTr="00455F45">
        <w:trPr>
          <w:trHeight w:val="20"/>
        </w:trPr>
        <w:tc>
          <w:tcPr>
            <w:tcW w:w="10031" w:type="dxa"/>
            <w:gridSpan w:val="2"/>
          </w:tcPr>
          <w:p w14:paraId="6504E13F" w14:textId="308ECE8E" w:rsidR="00BB3930" w:rsidRPr="008A2D8A" w:rsidRDefault="00304A83" w:rsidP="00091A6F">
            <w:pPr>
              <w:pStyle w:val="Title1"/>
              <w:spacing w:before="120" w:after="240"/>
              <w:rPr>
                <w:bCs/>
                <w:caps/>
              </w:rPr>
            </w:pPr>
            <w:r>
              <w:rPr>
                <w:bCs/>
                <w:caps/>
              </w:rPr>
              <w:t>Cost Recovery Mechanism for satellite filings contained in Decision 482</w:t>
            </w:r>
          </w:p>
        </w:tc>
      </w:tr>
    </w:tbl>
    <w:p w14:paraId="0083ECE6" w14:textId="09976704" w:rsidR="00B754AC" w:rsidRPr="00091A6F" w:rsidRDefault="00F04771" w:rsidP="00091A6F">
      <w:pPr>
        <w:pStyle w:val="Normal1"/>
        <w:tabs>
          <w:tab w:val="left" w:pos="1418"/>
        </w:tabs>
        <w:spacing w:before="360" w:after="120" w:line="276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bookmarkStart w:id="1" w:name="h.erbxq0yh2qlt" w:colFirst="0" w:colLast="0"/>
      <w:bookmarkEnd w:id="1"/>
      <w:r w:rsidRPr="00091A6F">
        <w:rPr>
          <w:rFonts w:asciiTheme="minorHAnsi" w:hAnsiTheme="minorHAnsi" w:cstheme="minorHAnsi"/>
          <w:b/>
          <w:sz w:val="28"/>
          <w:szCs w:val="28"/>
          <w:u w:val="single"/>
        </w:rPr>
        <w:t>Item 1: C</w:t>
      </w:r>
      <w:r w:rsidR="00B754AC" w:rsidRPr="00091A6F">
        <w:rPr>
          <w:rFonts w:asciiTheme="minorHAnsi" w:hAnsiTheme="minorHAnsi" w:cstheme="minorHAnsi"/>
          <w:b/>
          <w:sz w:val="28"/>
          <w:szCs w:val="28"/>
          <w:u w:val="single"/>
        </w:rPr>
        <w:t xml:space="preserve">omplex NGSO </w:t>
      </w:r>
      <w:r w:rsidRPr="00091A6F">
        <w:rPr>
          <w:rFonts w:asciiTheme="minorHAnsi" w:hAnsiTheme="minorHAnsi" w:cstheme="minorHAnsi"/>
          <w:b/>
          <w:sz w:val="28"/>
          <w:szCs w:val="28"/>
          <w:u w:val="single"/>
        </w:rPr>
        <w:t>S</w:t>
      </w:r>
      <w:r w:rsidR="00B754AC" w:rsidRPr="00091A6F">
        <w:rPr>
          <w:rFonts w:asciiTheme="minorHAnsi" w:hAnsiTheme="minorHAnsi" w:cstheme="minorHAnsi"/>
          <w:b/>
          <w:sz w:val="28"/>
          <w:szCs w:val="28"/>
          <w:u w:val="single"/>
        </w:rPr>
        <w:t xml:space="preserve">atellite </w:t>
      </w:r>
      <w:r w:rsidRPr="00091A6F">
        <w:rPr>
          <w:rFonts w:asciiTheme="minorHAnsi" w:hAnsiTheme="minorHAnsi" w:cstheme="minorHAnsi"/>
          <w:b/>
          <w:sz w:val="28"/>
          <w:szCs w:val="28"/>
          <w:u w:val="single"/>
        </w:rPr>
        <w:t>F</w:t>
      </w:r>
      <w:r w:rsidR="00B754AC" w:rsidRPr="00091A6F">
        <w:rPr>
          <w:rFonts w:asciiTheme="minorHAnsi" w:hAnsiTheme="minorHAnsi" w:cstheme="minorHAnsi"/>
          <w:b/>
          <w:sz w:val="28"/>
          <w:szCs w:val="28"/>
          <w:u w:val="single"/>
        </w:rPr>
        <w:t>ilings</w:t>
      </w:r>
    </w:p>
    <w:p w14:paraId="359B277C" w14:textId="074A60CB" w:rsidR="002A5AAE" w:rsidRPr="00091A6F" w:rsidRDefault="002A5AAE" w:rsidP="00091A6F">
      <w:pPr>
        <w:pStyle w:val="Normal1"/>
        <w:tabs>
          <w:tab w:val="left" w:pos="1418"/>
        </w:tabs>
        <w:spacing w:before="240" w:after="120" w:line="276" w:lineRule="auto"/>
        <w:jc w:val="both"/>
        <w:rPr>
          <w:rFonts w:asciiTheme="minorHAnsi" w:hAnsiTheme="minorHAnsi" w:cstheme="minorHAnsi"/>
        </w:rPr>
      </w:pPr>
      <w:r w:rsidRPr="00091A6F">
        <w:rPr>
          <w:rFonts w:asciiTheme="minorHAnsi" w:hAnsiTheme="minorHAnsi" w:cstheme="minorHAnsi"/>
        </w:rPr>
        <w:t xml:space="preserve">The </w:t>
      </w:r>
      <w:r w:rsidR="003B28C7" w:rsidRPr="00091A6F">
        <w:rPr>
          <w:rFonts w:asciiTheme="minorHAnsi" w:hAnsiTheme="minorHAnsi" w:cstheme="minorHAnsi"/>
        </w:rPr>
        <w:t>United Arab Emirates (“</w:t>
      </w:r>
      <w:r w:rsidRPr="00091A6F">
        <w:rPr>
          <w:rFonts w:asciiTheme="minorHAnsi" w:hAnsiTheme="minorHAnsi" w:cstheme="minorHAnsi"/>
        </w:rPr>
        <w:t>UAE</w:t>
      </w:r>
      <w:r w:rsidR="003B28C7" w:rsidRPr="00091A6F">
        <w:rPr>
          <w:rFonts w:asciiTheme="minorHAnsi" w:hAnsiTheme="minorHAnsi" w:cstheme="minorHAnsi"/>
        </w:rPr>
        <w:t>”)</w:t>
      </w:r>
      <w:r w:rsidR="005F0CC5" w:rsidRPr="00091A6F">
        <w:rPr>
          <w:rFonts w:asciiTheme="minorHAnsi" w:hAnsiTheme="minorHAnsi" w:cstheme="minorHAnsi"/>
        </w:rPr>
        <w:t xml:space="preserve">, having considered the inputs to the previous CEG meetings, </w:t>
      </w:r>
      <w:r w:rsidRPr="00091A6F">
        <w:rPr>
          <w:rFonts w:asciiTheme="minorHAnsi" w:hAnsiTheme="minorHAnsi" w:cstheme="minorHAnsi"/>
        </w:rPr>
        <w:t xml:space="preserve">accepts that the processing of NGSO filings, particularly complex ones, requires additional resources </w:t>
      </w:r>
      <w:r w:rsidR="00F04771" w:rsidRPr="00091A6F">
        <w:rPr>
          <w:rFonts w:asciiTheme="minorHAnsi" w:hAnsiTheme="minorHAnsi" w:cstheme="minorHAnsi"/>
        </w:rPr>
        <w:t xml:space="preserve">by the Radiocommunication Bureau (“BR”) </w:t>
      </w:r>
      <w:r w:rsidRPr="00091A6F">
        <w:rPr>
          <w:rFonts w:asciiTheme="minorHAnsi" w:hAnsiTheme="minorHAnsi" w:cstheme="minorHAnsi"/>
        </w:rPr>
        <w:t xml:space="preserve">beyond those needed for the processing of </w:t>
      </w:r>
      <w:r w:rsidR="00E22AE1" w:rsidRPr="00091A6F">
        <w:rPr>
          <w:rFonts w:asciiTheme="minorHAnsi" w:hAnsiTheme="minorHAnsi" w:cstheme="minorHAnsi"/>
        </w:rPr>
        <w:t xml:space="preserve">typical </w:t>
      </w:r>
      <w:r w:rsidR="0035587E" w:rsidRPr="00091A6F">
        <w:rPr>
          <w:rFonts w:asciiTheme="minorHAnsi" w:hAnsiTheme="minorHAnsi" w:cstheme="minorHAnsi"/>
        </w:rPr>
        <w:t>N</w:t>
      </w:r>
      <w:r w:rsidRPr="00091A6F">
        <w:rPr>
          <w:rFonts w:asciiTheme="minorHAnsi" w:hAnsiTheme="minorHAnsi" w:cstheme="minorHAnsi"/>
        </w:rPr>
        <w:t xml:space="preserve">GSO </w:t>
      </w:r>
      <w:r w:rsidR="00E22AE1" w:rsidRPr="00091A6F">
        <w:rPr>
          <w:rFonts w:asciiTheme="minorHAnsi" w:hAnsiTheme="minorHAnsi" w:cstheme="minorHAnsi"/>
        </w:rPr>
        <w:t>networks</w:t>
      </w:r>
      <w:r w:rsidRPr="00091A6F">
        <w:rPr>
          <w:rFonts w:asciiTheme="minorHAnsi" w:hAnsiTheme="minorHAnsi" w:cstheme="minorHAnsi"/>
        </w:rPr>
        <w:t xml:space="preserve">. While an increase in costs for the processing of NGSO filings </w:t>
      </w:r>
      <w:r w:rsidR="00E22AE1" w:rsidRPr="00091A6F">
        <w:rPr>
          <w:rFonts w:asciiTheme="minorHAnsi" w:hAnsiTheme="minorHAnsi" w:cstheme="minorHAnsi"/>
        </w:rPr>
        <w:t>c</w:t>
      </w:r>
      <w:r w:rsidRPr="00091A6F">
        <w:rPr>
          <w:rFonts w:asciiTheme="minorHAnsi" w:hAnsiTheme="minorHAnsi" w:cstheme="minorHAnsi"/>
        </w:rPr>
        <w:t>ould be con</w:t>
      </w:r>
      <w:r w:rsidR="00E22AE1" w:rsidRPr="00091A6F">
        <w:rPr>
          <w:rFonts w:asciiTheme="minorHAnsi" w:hAnsiTheme="minorHAnsi" w:cstheme="minorHAnsi"/>
        </w:rPr>
        <w:t>templated</w:t>
      </w:r>
      <w:r w:rsidRPr="00091A6F">
        <w:rPr>
          <w:rFonts w:asciiTheme="minorHAnsi" w:hAnsiTheme="minorHAnsi" w:cstheme="minorHAnsi"/>
        </w:rPr>
        <w:t>, the UAE has no opinion at this time in regards to the extent of such an increase</w:t>
      </w:r>
      <w:r w:rsidR="005F0CC5" w:rsidRPr="00091A6F">
        <w:rPr>
          <w:rFonts w:asciiTheme="minorHAnsi" w:hAnsiTheme="minorHAnsi" w:cstheme="minorHAnsi"/>
        </w:rPr>
        <w:t xml:space="preserve"> or the mechanism by which it is applied</w:t>
      </w:r>
      <w:r w:rsidRPr="00091A6F">
        <w:rPr>
          <w:rFonts w:asciiTheme="minorHAnsi" w:hAnsiTheme="minorHAnsi" w:cstheme="minorHAnsi"/>
        </w:rPr>
        <w:t>.</w:t>
      </w:r>
    </w:p>
    <w:p w14:paraId="5D607075" w14:textId="1962BFE1" w:rsidR="00CB12D2" w:rsidRPr="00091A6F" w:rsidRDefault="002A5AAE" w:rsidP="00091A6F">
      <w:pPr>
        <w:pStyle w:val="Normal1"/>
        <w:tabs>
          <w:tab w:val="left" w:pos="1418"/>
        </w:tabs>
        <w:snapToGrid w:val="0"/>
        <w:spacing w:after="120"/>
        <w:jc w:val="both"/>
        <w:rPr>
          <w:rFonts w:asciiTheme="minorHAnsi" w:hAnsiTheme="minorHAnsi" w:cstheme="minorHAnsi"/>
        </w:rPr>
      </w:pPr>
      <w:r w:rsidRPr="00091A6F">
        <w:rPr>
          <w:rFonts w:asciiTheme="minorHAnsi" w:hAnsiTheme="minorHAnsi" w:cstheme="minorHAnsi"/>
        </w:rPr>
        <w:t xml:space="preserve">In considering cost-recovery fees for NGSO systems, the UAE does note that small NGSO satellites are being </w:t>
      </w:r>
      <w:r w:rsidR="003B28C7" w:rsidRPr="00091A6F">
        <w:rPr>
          <w:rFonts w:asciiTheme="minorHAnsi" w:hAnsiTheme="minorHAnsi" w:cstheme="minorHAnsi"/>
        </w:rPr>
        <w:t xml:space="preserve">built and </w:t>
      </w:r>
      <w:r w:rsidRPr="00091A6F">
        <w:rPr>
          <w:rFonts w:asciiTheme="minorHAnsi" w:hAnsiTheme="minorHAnsi" w:cstheme="minorHAnsi"/>
        </w:rPr>
        <w:t xml:space="preserve">launched </w:t>
      </w:r>
      <w:r w:rsidR="003B28C7" w:rsidRPr="00091A6F">
        <w:rPr>
          <w:rFonts w:asciiTheme="minorHAnsi" w:hAnsiTheme="minorHAnsi" w:cstheme="minorHAnsi"/>
        </w:rPr>
        <w:t xml:space="preserve">on behalf of </w:t>
      </w:r>
      <w:r w:rsidRPr="00091A6F">
        <w:rPr>
          <w:rFonts w:asciiTheme="minorHAnsi" w:hAnsiTheme="minorHAnsi" w:cstheme="minorHAnsi"/>
        </w:rPr>
        <w:t>educational, research or non-profit organizations</w:t>
      </w:r>
      <w:r w:rsidR="003B28C7" w:rsidRPr="00091A6F">
        <w:rPr>
          <w:rFonts w:asciiTheme="minorHAnsi" w:hAnsiTheme="minorHAnsi" w:cstheme="minorHAnsi"/>
        </w:rPr>
        <w:t xml:space="preserve">. These organizations </w:t>
      </w:r>
      <w:r w:rsidR="00F04771" w:rsidRPr="00091A6F">
        <w:rPr>
          <w:rFonts w:asciiTheme="minorHAnsi" w:hAnsiTheme="minorHAnsi" w:cstheme="minorHAnsi"/>
        </w:rPr>
        <w:t xml:space="preserve">receive </w:t>
      </w:r>
      <w:r w:rsidR="003B28C7" w:rsidRPr="00091A6F">
        <w:rPr>
          <w:rFonts w:asciiTheme="minorHAnsi" w:hAnsiTheme="minorHAnsi" w:cstheme="minorHAnsi"/>
        </w:rPr>
        <w:t xml:space="preserve">limited funding </w:t>
      </w:r>
      <w:r w:rsidR="00F04771" w:rsidRPr="00091A6F">
        <w:rPr>
          <w:rFonts w:asciiTheme="minorHAnsi" w:hAnsiTheme="minorHAnsi" w:cstheme="minorHAnsi"/>
        </w:rPr>
        <w:t>that allow</w:t>
      </w:r>
      <w:r w:rsidR="00E22AE1" w:rsidRPr="00091A6F">
        <w:rPr>
          <w:rFonts w:asciiTheme="minorHAnsi" w:hAnsiTheme="minorHAnsi" w:cstheme="minorHAnsi"/>
        </w:rPr>
        <w:t>s</w:t>
      </w:r>
      <w:r w:rsidR="00F04771" w:rsidRPr="00091A6F">
        <w:rPr>
          <w:rFonts w:asciiTheme="minorHAnsi" w:hAnsiTheme="minorHAnsi" w:cstheme="minorHAnsi"/>
        </w:rPr>
        <w:t xml:space="preserve"> </w:t>
      </w:r>
      <w:r w:rsidR="003B28C7" w:rsidRPr="00091A6F">
        <w:rPr>
          <w:rFonts w:asciiTheme="minorHAnsi" w:hAnsiTheme="minorHAnsi" w:cstheme="minorHAnsi"/>
        </w:rPr>
        <w:t xml:space="preserve">for the development </w:t>
      </w:r>
      <w:r w:rsidR="00F04771" w:rsidRPr="00091A6F">
        <w:rPr>
          <w:rFonts w:asciiTheme="minorHAnsi" w:hAnsiTheme="minorHAnsi" w:cstheme="minorHAnsi"/>
        </w:rPr>
        <w:t xml:space="preserve">by students and scientists </w:t>
      </w:r>
      <w:r w:rsidR="00CB12D2" w:rsidRPr="00091A6F">
        <w:rPr>
          <w:rFonts w:asciiTheme="minorHAnsi" w:hAnsiTheme="minorHAnsi" w:cstheme="minorHAnsi"/>
        </w:rPr>
        <w:t>of single-</w:t>
      </w:r>
      <w:r w:rsidR="003B28C7" w:rsidRPr="00091A6F">
        <w:rPr>
          <w:rFonts w:asciiTheme="minorHAnsi" w:hAnsiTheme="minorHAnsi" w:cstheme="minorHAnsi"/>
        </w:rPr>
        <w:t xml:space="preserve">satellite or small constellation missions. </w:t>
      </w:r>
      <w:r w:rsidR="005C7568" w:rsidRPr="00091A6F">
        <w:rPr>
          <w:rFonts w:asciiTheme="minorHAnsi" w:hAnsiTheme="minorHAnsi" w:cstheme="minorHAnsi"/>
        </w:rPr>
        <w:t>Th</w:t>
      </w:r>
      <w:r w:rsidR="00F04771" w:rsidRPr="00091A6F">
        <w:rPr>
          <w:rFonts w:asciiTheme="minorHAnsi" w:hAnsiTheme="minorHAnsi" w:cstheme="minorHAnsi"/>
        </w:rPr>
        <w:t>e</w:t>
      </w:r>
      <w:r w:rsidR="005C7568" w:rsidRPr="00091A6F">
        <w:rPr>
          <w:rFonts w:asciiTheme="minorHAnsi" w:hAnsiTheme="minorHAnsi" w:cstheme="minorHAnsi"/>
        </w:rPr>
        <w:t xml:space="preserve"> lack of </w:t>
      </w:r>
      <w:r w:rsidR="00F04771" w:rsidRPr="00091A6F">
        <w:rPr>
          <w:rFonts w:asciiTheme="minorHAnsi" w:hAnsiTheme="minorHAnsi" w:cstheme="minorHAnsi"/>
        </w:rPr>
        <w:t xml:space="preserve">financial </w:t>
      </w:r>
      <w:r w:rsidR="00D2307C" w:rsidRPr="00091A6F">
        <w:rPr>
          <w:rFonts w:asciiTheme="minorHAnsi" w:hAnsiTheme="minorHAnsi" w:cstheme="minorHAnsi"/>
        </w:rPr>
        <w:t>re</w:t>
      </w:r>
      <w:r w:rsidR="005C7568" w:rsidRPr="00091A6F">
        <w:rPr>
          <w:rFonts w:asciiTheme="minorHAnsi" w:hAnsiTheme="minorHAnsi" w:cstheme="minorHAnsi"/>
        </w:rPr>
        <w:t xml:space="preserve">sources </w:t>
      </w:r>
      <w:r w:rsidR="00F04771" w:rsidRPr="00091A6F">
        <w:rPr>
          <w:rFonts w:asciiTheme="minorHAnsi" w:hAnsiTheme="minorHAnsi" w:cstheme="minorHAnsi"/>
        </w:rPr>
        <w:t xml:space="preserve">available to these establishment places them on a different footing </w:t>
      </w:r>
      <w:r w:rsidR="00CB12D2" w:rsidRPr="00091A6F">
        <w:rPr>
          <w:rFonts w:asciiTheme="minorHAnsi" w:hAnsiTheme="minorHAnsi" w:cstheme="minorHAnsi"/>
        </w:rPr>
        <w:t xml:space="preserve">from </w:t>
      </w:r>
      <w:r w:rsidR="00F04771" w:rsidRPr="00091A6F">
        <w:rPr>
          <w:rFonts w:asciiTheme="minorHAnsi" w:hAnsiTheme="minorHAnsi" w:cstheme="minorHAnsi"/>
        </w:rPr>
        <w:t xml:space="preserve">large multinationals </w:t>
      </w:r>
      <w:r w:rsidR="00CB12D2" w:rsidRPr="00091A6F">
        <w:rPr>
          <w:rFonts w:asciiTheme="minorHAnsi" w:hAnsiTheme="minorHAnsi" w:cstheme="minorHAnsi"/>
        </w:rPr>
        <w:t xml:space="preserve">that are </w:t>
      </w:r>
      <w:r w:rsidR="00F04771" w:rsidRPr="00091A6F">
        <w:rPr>
          <w:rFonts w:asciiTheme="minorHAnsi" w:hAnsiTheme="minorHAnsi" w:cstheme="minorHAnsi"/>
        </w:rPr>
        <w:t>deploy</w:t>
      </w:r>
      <w:r w:rsidR="00E22AE1" w:rsidRPr="00091A6F">
        <w:rPr>
          <w:rFonts w:asciiTheme="minorHAnsi" w:hAnsiTheme="minorHAnsi" w:cstheme="minorHAnsi"/>
        </w:rPr>
        <w:t>ing</w:t>
      </w:r>
      <w:r w:rsidR="00F04771" w:rsidRPr="00091A6F">
        <w:rPr>
          <w:rFonts w:asciiTheme="minorHAnsi" w:hAnsiTheme="minorHAnsi" w:cstheme="minorHAnsi"/>
        </w:rPr>
        <w:t xml:space="preserve"> multi-</w:t>
      </w:r>
      <w:r w:rsidR="00D2307C" w:rsidRPr="00091A6F">
        <w:rPr>
          <w:rFonts w:asciiTheme="minorHAnsi" w:hAnsiTheme="minorHAnsi" w:cstheme="minorHAnsi"/>
        </w:rPr>
        <w:t>billion</w:t>
      </w:r>
      <w:r w:rsidR="00F04771" w:rsidRPr="00091A6F">
        <w:rPr>
          <w:rFonts w:asciiTheme="minorHAnsi" w:hAnsiTheme="minorHAnsi" w:cstheme="minorHAnsi"/>
        </w:rPr>
        <w:t xml:space="preserve"> dollar constellations.</w:t>
      </w:r>
      <w:r w:rsidR="00CB12D2" w:rsidRPr="00091A6F">
        <w:rPr>
          <w:rFonts w:asciiTheme="minorHAnsi" w:hAnsiTheme="minorHAnsi" w:cstheme="minorHAnsi"/>
        </w:rPr>
        <w:t xml:space="preserve"> For these </w:t>
      </w:r>
      <w:r w:rsidR="00E22AE1" w:rsidRPr="00091A6F">
        <w:rPr>
          <w:rFonts w:asciiTheme="minorHAnsi" w:hAnsiTheme="minorHAnsi" w:cstheme="minorHAnsi"/>
        </w:rPr>
        <w:t xml:space="preserve">large </w:t>
      </w:r>
      <w:r w:rsidR="00CB12D2" w:rsidRPr="00091A6F">
        <w:rPr>
          <w:rFonts w:asciiTheme="minorHAnsi" w:hAnsiTheme="minorHAnsi" w:cstheme="minorHAnsi"/>
        </w:rPr>
        <w:t xml:space="preserve">companies, the cost recovery charges </w:t>
      </w:r>
      <w:r w:rsidR="00E22AE1" w:rsidRPr="00091A6F">
        <w:rPr>
          <w:rFonts w:asciiTheme="minorHAnsi" w:hAnsiTheme="minorHAnsi" w:cstheme="minorHAnsi"/>
        </w:rPr>
        <w:t>are</w:t>
      </w:r>
      <w:r w:rsidR="00CB12D2" w:rsidRPr="00091A6F">
        <w:rPr>
          <w:rFonts w:asciiTheme="minorHAnsi" w:hAnsiTheme="minorHAnsi" w:cstheme="minorHAnsi"/>
        </w:rPr>
        <w:t xml:space="preserve"> </w:t>
      </w:r>
      <w:r w:rsidR="00E22AE1" w:rsidRPr="00091A6F">
        <w:rPr>
          <w:rFonts w:asciiTheme="minorHAnsi" w:hAnsiTheme="minorHAnsi" w:cstheme="minorHAnsi"/>
        </w:rPr>
        <w:t xml:space="preserve">negligible compared to the </w:t>
      </w:r>
      <w:r w:rsidR="00CB12D2" w:rsidRPr="00091A6F">
        <w:rPr>
          <w:rFonts w:asciiTheme="minorHAnsi" w:hAnsiTheme="minorHAnsi" w:cstheme="minorHAnsi"/>
        </w:rPr>
        <w:t xml:space="preserve">constellation cost. For scientific </w:t>
      </w:r>
      <w:r w:rsidR="00E22AE1" w:rsidRPr="00091A6F">
        <w:rPr>
          <w:rFonts w:asciiTheme="minorHAnsi" w:hAnsiTheme="minorHAnsi" w:cstheme="minorHAnsi"/>
        </w:rPr>
        <w:t>establishments</w:t>
      </w:r>
      <w:r w:rsidR="00CB12D2" w:rsidRPr="00091A6F">
        <w:rPr>
          <w:rFonts w:asciiTheme="minorHAnsi" w:hAnsiTheme="minorHAnsi" w:cstheme="minorHAnsi"/>
        </w:rPr>
        <w:t xml:space="preserve">, </w:t>
      </w:r>
      <w:r w:rsidR="00E22AE1" w:rsidRPr="00091A6F">
        <w:rPr>
          <w:rFonts w:asciiTheme="minorHAnsi" w:hAnsiTheme="minorHAnsi" w:cstheme="minorHAnsi"/>
        </w:rPr>
        <w:t xml:space="preserve">any </w:t>
      </w:r>
      <w:r w:rsidR="00CB12D2" w:rsidRPr="00091A6F">
        <w:rPr>
          <w:rFonts w:asciiTheme="minorHAnsi" w:hAnsiTheme="minorHAnsi" w:cstheme="minorHAnsi"/>
        </w:rPr>
        <w:t xml:space="preserve">cost recovery fees stand to </w:t>
      </w:r>
      <w:r w:rsidR="00E22AE1" w:rsidRPr="00091A6F">
        <w:rPr>
          <w:rFonts w:asciiTheme="minorHAnsi" w:hAnsiTheme="minorHAnsi" w:cstheme="minorHAnsi"/>
        </w:rPr>
        <w:t>adversely impact their very limited budget</w:t>
      </w:r>
      <w:r w:rsidR="00CB12D2" w:rsidRPr="00091A6F">
        <w:rPr>
          <w:rFonts w:asciiTheme="minorHAnsi" w:hAnsiTheme="minorHAnsi" w:cstheme="minorHAnsi"/>
        </w:rPr>
        <w:t>.</w:t>
      </w:r>
      <w:bookmarkStart w:id="2" w:name="_GoBack"/>
      <w:bookmarkEnd w:id="2"/>
    </w:p>
    <w:p w14:paraId="12A16D39" w14:textId="1E7CDCC6" w:rsidR="002A5AAE" w:rsidRPr="00091A6F" w:rsidRDefault="00CB12D2" w:rsidP="00091A6F">
      <w:pPr>
        <w:pStyle w:val="Normal1"/>
        <w:tabs>
          <w:tab w:val="left" w:pos="1418"/>
        </w:tabs>
        <w:snapToGrid w:val="0"/>
        <w:spacing w:after="120"/>
        <w:jc w:val="both"/>
        <w:rPr>
          <w:rFonts w:asciiTheme="minorHAnsi" w:hAnsiTheme="minorHAnsi" w:cstheme="minorHAnsi"/>
        </w:rPr>
      </w:pPr>
      <w:r w:rsidRPr="00091A6F">
        <w:rPr>
          <w:rFonts w:asciiTheme="minorHAnsi" w:hAnsiTheme="minorHAnsi" w:cstheme="minorHAnsi"/>
        </w:rPr>
        <w:t xml:space="preserve">A further point for consideration is that </w:t>
      </w:r>
      <w:r w:rsidR="00F04771" w:rsidRPr="00091A6F">
        <w:rPr>
          <w:rFonts w:asciiTheme="minorHAnsi" w:hAnsiTheme="minorHAnsi" w:cstheme="minorHAnsi"/>
        </w:rPr>
        <w:t xml:space="preserve">scientific </w:t>
      </w:r>
      <w:r w:rsidRPr="00091A6F">
        <w:rPr>
          <w:rFonts w:asciiTheme="minorHAnsi" w:hAnsiTheme="minorHAnsi" w:cstheme="minorHAnsi"/>
        </w:rPr>
        <w:t xml:space="preserve">and research </w:t>
      </w:r>
      <w:r w:rsidR="00F04771" w:rsidRPr="00091A6F">
        <w:rPr>
          <w:rFonts w:asciiTheme="minorHAnsi" w:hAnsiTheme="minorHAnsi" w:cstheme="minorHAnsi"/>
        </w:rPr>
        <w:t xml:space="preserve">institutions have limited staff </w:t>
      </w:r>
      <w:r w:rsidRPr="00091A6F">
        <w:rPr>
          <w:rFonts w:asciiTheme="minorHAnsi" w:hAnsiTheme="minorHAnsi" w:cstheme="minorHAnsi"/>
        </w:rPr>
        <w:t xml:space="preserve">with the necessary </w:t>
      </w:r>
      <w:r w:rsidR="00F04771" w:rsidRPr="00091A6F">
        <w:rPr>
          <w:rFonts w:asciiTheme="minorHAnsi" w:hAnsiTheme="minorHAnsi" w:cstheme="minorHAnsi"/>
        </w:rPr>
        <w:t xml:space="preserve">experience </w:t>
      </w:r>
      <w:r w:rsidR="005C7568" w:rsidRPr="00091A6F">
        <w:rPr>
          <w:rFonts w:asciiTheme="minorHAnsi" w:hAnsiTheme="minorHAnsi" w:cstheme="minorHAnsi"/>
        </w:rPr>
        <w:t>in regulatory matters</w:t>
      </w:r>
      <w:r w:rsidR="00B84E8E" w:rsidRPr="00091A6F">
        <w:rPr>
          <w:rFonts w:asciiTheme="minorHAnsi" w:hAnsiTheme="minorHAnsi" w:cstheme="minorHAnsi"/>
        </w:rPr>
        <w:t xml:space="preserve">, with the result that </w:t>
      </w:r>
      <w:r w:rsidR="00075303" w:rsidRPr="00091A6F">
        <w:rPr>
          <w:rFonts w:asciiTheme="minorHAnsi" w:hAnsiTheme="minorHAnsi" w:cstheme="minorHAnsi"/>
        </w:rPr>
        <w:t xml:space="preserve">multiple </w:t>
      </w:r>
      <w:r w:rsidR="005C7568" w:rsidRPr="00091A6F">
        <w:rPr>
          <w:rFonts w:asciiTheme="minorHAnsi" w:hAnsiTheme="minorHAnsi" w:cstheme="minorHAnsi"/>
        </w:rPr>
        <w:t>experimental satellite</w:t>
      </w:r>
      <w:r w:rsidR="00F04771" w:rsidRPr="00091A6F">
        <w:rPr>
          <w:rFonts w:asciiTheme="minorHAnsi" w:hAnsiTheme="minorHAnsi" w:cstheme="minorHAnsi"/>
        </w:rPr>
        <w:t xml:space="preserve"> deployments </w:t>
      </w:r>
      <w:r w:rsidR="00E22AE1" w:rsidRPr="00091A6F">
        <w:rPr>
          <w:rFonts w:asciiTheme="minorHAnsi" w:hAnsiTheme="minorHAnsi" w:cstheme="minorHAnsi"/>
        </w:rPr>
        <w:t xml:space="preserve">have already been launched without any </w:t>
      </w:r>
      <w:r w:rsidR="00F04771" w:rsidRPr="00091A6F">
        <w:rPr>
          <w:rFonts w:asciiTheme="minorHAnsi" w:hAnsiTheme="minorHAnsi" w:cstheme="minorHAnsi"/>
        </w:rPr>
        <w:t xml:space="preserve">submission </w:t>
      </w:r>
      <w:r w:rsidR="00E22AE1" w:rsidRPr="00091A6F">
        <w:rPr>
          <w:rFonts w:asciiTheme="minorHAnsi" w:hAnsiTheme="minorHAnsi" w:cstheme="minorHAnsi"/>
        </w:rPr>
        <w:t xml:space="preserve">to </w:t>
      </w:r>
      <w:r w:rsidR="00091A6F">
        <w:rPr>
          <w:rFonts w:asciiTheme="minorHAnsi" w:hAnsiTheme="minorHAnsi" w:cstheme="minorHAnsi"/>
        </w:rPr>
        <w:t xml:space="preserve">the ITU. </w:t>
      </w:r>
      <w:r w:rsidR="00F04771" w:rsidRPr="00091A6F">
        <w:rPr>
          <w:rFonts w:asciiTheme="minorHAnsi" w:hAnsiTheme="minorHAnsi" w:cstheme="minorHAnsi"/>
        </w:rPr>
        <w:t xml:space="preserve">Adding a financial obligation to an already complex regulatory submission stands to further reduce the compliance rate.  </w:t>
      </w:r>
    </w:p>
    <w:p w14:paraId="10CAB360" w14:textId="526FD9F9" w:rsidR="0035587E" w:rsidRPr="00091A6F" w:rsidRDefault="0035587E" w:rsidP="00091A6F">
      <w:pPr>
        <w:pStyle w:val="Normal1"/>
        <w:tabs>
          <w:tab w:val="left" w:pos="1418"/>
        </w:tabs>
        <w:snapToGrid w:val="0"/>
        <w:spacing w:after="120"/>
        <w:jc w:val="both"/>
        <w:rPr>
          <w:rFonts w:asciiTheme="minorHAnsi" w:hAnsiTheme="minorHAnsi" w:cstheme="minorHAnsi"/>
        </w:rPr>
      </w:pPr>
      <w:r w:rsidRPr="00091A6F">
        <w:rPr>
          <w:rFonts w:asciiTheme="minorHAnsi" w:hAnsiTheme="minorHAnsi" w:cstheme="minorHAnsi"/>
        </w:rPr>
        <w:t xml:space="preserve">If Council decides to support </w:t>
      </w:r>
      <w:r w:rsidR="005F0CC5" w:rsidRPr="00091A6F">
        <w:rPr>
          <w:rFonts w:asciiTheme="minorHAnsi" w:hAnsiTheme="minorHAnsi" w:cstheme="minorHAnsi"/>
        </w:rPr>
        <w:t xml:space="preserve">a fee exemption for legitimate </w:t>
      </w:r>
      <w:r w:rsidRPr="00091A6F">
        <w:rPr>
          <w:rFonts w:asciiTheme="minorHAnsi" w:hAnsiTheme="minorHAnsi" w:cstheme="minorHAnsi"/>
        </w:rPr>
        <w:t>scientific/research NGSO constellations</w:t>
      </w:r>
      <w:r w:rsidR="005F0CC5" w:rsidRPr="00091A6F">
        <w:rPr>
          <w:rFonts w:asciiTheme="minorHAnsi" w:hAnsiTheme="minorHAnsi" w:cstheme="minorHAnsi"/>
        </w:rPr>
        <w:t>, it will be necessary to distinguish such systems</w:t>
      </w:r>
      <w:r w:rsidRPr="00091A6F">
        <w:rPr>
          <w:rFonts w:asciiTheme="minorHAnsi" w:hAnsiTheme="minorHAnsi" w:cstheme="minorHAnsi"/>
        </w:rPr>
        <w:t xml:space="preserve"> from other types of NGSO deployments by using any combination of the following mechanisms:</w:t>
      </w:r>
    </w:p>
    <w:p w14:paraId="4A222FF2" w14:textId="66BEEEE2" w:rsidR="0035587E" w:rsidRPr="00091A6F" w:rsidRDefault="0035587E" w:rsidP="00091A6F">
      <w:pPr>
        <w:pStyle w:val="Normal1"/>
        <w:numPr>
          <w:ilvl w:val="0"/>
          <w:numId w:val="34"/>
        </w:numPr>
        <w:tabs>
          <w:tab w:val="clear" w:pos="567"/>
          <w:tab w:val="left" w:pos="709"/>
          <w:tab w:val="left" w:pos="1418"/>
        </w:tabs>
        <w:snapToGrid w:val="0"/>
        <w:spacing w:before="80" w:after="80"/>
        <w:jc w:val="both"/>
        <w:rPr>
          <w:rFonts w:asciiTheme="minorHAnsi" w:hAnsiTheme="minorHAnsi" w:cstheme="minorHAnsi"/>
        </w:rPr>
      </w:pPr>
      <w:r w:rsidRPr="00091A6F">
        <w:rPr>
          <w:rFonts w:asciiTheme="minorHAnsi" w:hAnsiTheme="minorHAnsi" w:cstheme="minorHAnsi"/>
        </w:rPr>
        <w:t>Voluntary declaration (check box)</w:t>
      </w:r>
      <w:r w:rsidR="001369A5" w:rsidRPr="00091A6F">
        <w:rPr>
          <w:rFonts w:asciiTheme="minorHAnsi" w:hAnsiTheme="minorHAnsi" w:cstheme="minorHAnsi"/>
        </w:rPr>
        <w:t>;</w:t>
      </w:r>
    </w:p>
    <w:p w14:paraId="4EC4D153" w14:textId="45DF3090" w:rsidR="0035587E" w:rsidRPr="00091A6F" w:rsidRDefault="0035587E" w:rsidP="00091A6F">
      <w:pPr>
        <w:pStyle w:val="Normal1"/>
        <w:numPr>
          <w:ilvl w:val="0"/>
          <w:numId w:val="34"/>
        </w:numPr>
        <w:tabs>
          <w:tab w:val="clear" w:pos="567"/>
          <w:tab w:val="left" w:pos="709"/>
          <w:tab w:val="left" w:pos="1418"/>
        </w:tabs>
        <w:snapToGrid w:val="0"/>
        <w:spacing w:before="80" w:after="80"/>
        <w:jc w:val="both"/>
        <w:rPr>
          <w:rFonts w:asciiTheme="minorHAnsi" w:hAnsiTheme="minorHAnsi" w:cstheme="minorHAnsi"/>
        </w:rPr>
      </w:pPr>
      <w:r w:rsidRPr="00091A6F">
        <w:rPr>
          <w:rFonts w:asciiTheme="minorHAnsi" w:hAnsiTheme="minorHAnsi" w:cstheme="minorHAnsi"/>
        </w:rPr>
        <w:t>Individual satellite mass (e.g. 25 kg or less)</w:t>
      </w:r>
      <w:r w:rsidR="001369A5" w:rsidRPr="00091A6F">
        <w:rPr>
          <w:rFonts w:asciiTheme="minorHAnsi" w:hAnsiTheme="minorHAnsi" w:cstheme="minorHAnsi"/>
        </w:rPr>
        <w:t>;</w:t>
      </w:r>
    </w:p>
    <w:p w14:paraId="30FBEFBB" w14:textId="1E56E3B3" w:rsidR="0035587E" w:rsidRPr="00091A6F" w:rsidRDefault="0035587E" w:rsidP="00091A6F">
      <w:pPr>
        <w:pStyle w:val="Normal1"/>
        <w:numPr>
          <w:ilvl w:val="0"/>
          <w:numId w:val="34"/>
        </w:numPr>
        <w:tabs>
          <w:tab w:val="clear" w:pos="567"/>
          <w:tab w:val="left" w:pos="709"/>
          <w:tab w:val="left" w:pos="1418"/>
        </w:tabs>
        <w:snapToGrid w:val="0"/>
        <w:spacing w:before="80" w:after="80"/>
        <w:jc w:val="both"/>
        <w:rPr>
          <w:rFonts w:asciiTheme="minorHAnsi" w:hAnsiTheme="minorHAnsi" w:cstheme="minorHAnsi"/>
        </w:rPr>
      </w:pPr>
      <w:r w:rsidRPr="00091A6F">
        <w:rPr>
          <w:rFonts w:asciiTheme="minorHAnsi" w:hAnsiTheme="minorHAnsi" w:cstheme="minorHAnsi"/>
        </w:rPr>
        <w:t>Constellation size   (e.g. 50 satellites or less)</w:t>
      </w:r>
      <w:r w:rsidR="001369A5" w:rsidRPr="00091A6F">
        <w:rPr>
          <w:rFonts w:asciiTheme="minorHAnsi" w:hAnsiTheme="minorHAnsi" w:cstheme="minorHAnsi"/>
        </w:rPr>
        <w:t>;</w:t>
      </w:r>
    </w:p>
    <w:p w14:paraId="54CD3539" w14:textId="1BD51C36" w:rsidR="0035587E" w:rsidRPr="00091A6F" w:rsidRDefault="0035587E" w:rsidP="00091A6F">
      <w:pPr>
        <w:pStyle w:val="Normal1"/>
        <w:numPr>
          <w:ilvl w:val="0"/>
          <w:numId w:val="34"/>
        </w:numPr>
        <w:tabs>
          <w:tab w:val="clear" w:pos="567"/>
          <w:tab w:val="left" w:pos="709"/>
          <w:tab w:val="left" w:pos="1418"/>
        </w:tabs>
        <w:snapToGrid w:val="0"/>
        <w:spacing w:before="80" w:after="80"/>
        <w:jc w:val="both"/>
        <w:rPr>
          <w:rFonts w:asciiTheme="minorHAnsi" w:hAnsiTheme="minorHAnsi" w:cstheme="minorHAnsi"/>
        </w:rPr>
      </w:pPr>
      <w:r w:rsidRPr="00091A6F">
        <w:rPr>
          <w:rFonts w:asciiTheme="minorHAnsi" w:hAnsiTheme="minorHAnsi" w:cstheme="minorHAnsi"/>
        </w:rPr>
        <w:t>Limiting the additional cost recovery charges to key commercial bands (e.g. Ku and Ka band).</w:t>
      </w:r>
    </w:p>
    <w:p w14:paraId="191BC10A" w14:textId="23080B18" w:rsidR="00F04771" w:rsidRPr="00091A6F" w:rsidRDefault="00F04771" w:rsidP="00091A6F">
      <w:pPr>
        <w:pStyle w:val="Normal1"/>
        <w:keepNext/>
        <w:keepLines/>
        <w:tabs>
          <w:tab w:val="left" w:pos="1418"/>
        </w:tabs>
        <w:snapToGrid w:val="0"/>
        <w:spacing w:after="120"/>
        <w:jc w:val="both"/>
        <w:rPr>
          <w:rFonts w:asciiTheme="minorHAnsi" w:hAnsiTheme="minorHAnsi" w:cstheme="minorHAnsi"/>
          <w:b/>
        </w:rPr>
      </w:pPr>
      <w:r w:rsidRPr="00091A6F">
        <w:rPr>
          <w:rFonts w:asciiTheme="minorHAnsi" w:hAnsiTheme="minorHAnsi" w:cstheme="minorHAnsi"/>
          <w:b/>
        </w:rPr>
        <w:t>Summary</w:t>
      </w:r>
    </w:p>
    <w:p w14:paraId="1956AB03" w14:textId="59091662" w:rsidR="00F04771" w:rsidRPr="00091A6F" w:rsidRDefault="00F04771" w:rsidP="00091A6F">
      <w:pPr>
        <w:pStyle w:val="Normal1"/>
        <w:keepNext/>
        <w:keepLines/>
        <w:tabs>
          <w:tab w:val="left" w:pos="1418"/>
        </w:tabs>
        <w:snapToGrid w:val="0"/>
        <w:spacing w:after="120"/>
        <w:jc w:val="both"/>
        <w:rPr>
          <w:rFonts w:asciiTheme="minorHAnsi" w:hAnsiTheme="minorHAnsi" w:cstheme="minorHAnsi"/>
          <w:i/>
        </w:rPr>
      </w:pPr>
      <w:r w:rsidRPr="00091A6F">
        <w:rPr>
          <w:rFonts w:asciiTheme="minorHAnsi" w:hAnsiTheme="minorHAnsi" w:cstheme="minorHAnsi"/>
          <w:i/>
        </w:rPr>
        <w:t xml:space="preserve">The UAE is of the view that NGSO systems used for scientific and research purposes should be </w:t>
      </w:r>
      <w:r w:rsidR="00C32CFC" w:rsidRPr="00091A6F">
        <w:rPr>
          <w:rFonts w:asciiTheme="minorHAnsi" w:hAnsiTheme="minorHAnsi" w:cstheme="minorHAnsi"/>
          <w:i/>
        </w:rPr>
        <w:t xml:space="preserve">exempt from </w:t>
      </w:r>
      <w:r w:rsidRPr="00091A6F">
        <w:rPr>
          <w:rFonts w:asciiTheme="minorHAnsi" w:hAnsiTheme="minorHAnsi" w:cstheme="minorHAnsi"/>
          <w:i/>
        </w:rPr>
        <w:t>cost recovery fees.</w:t>
      </w:r>
    </w:p>
    <w:p w14:paraId="533255E3" w14:textId="372E6781" w:rsidR="00D95145" w:rsidRPr="00091A6F" w:rsidRDefault="00B572F2" w:rsidP="00091A6F">
      <w:pPr>
        <w:pStyle w:val="Normal1"/>
        <w:tabs>
          <w:tab w:val="left" w:pos="1418"/>
        </w:tabs>
        <w:snapToGrid w:val="0"/>
        <w:spacing w:before="960"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91A6F">
        <w:rPr>
          <w:rFonts w:asciiTheme="minorHAnsi" w:hAnsiTheme="minorHAnsi" w:cstheme="minorHAnsi"/>
          <w:b/>
          <w:sz w:val="28"/>
          <w:szCs w:val="28"/>
          <w:u w:val="single"/>
        </w:rPr>
        <w:t>Item 2:  C</w:t>
      </w:r>
      <w:r w:rsidR="00304A83" w:rsidRPr="00091A6F">
        <w:rPr>
          <w:rFonts w:asciiTheme="minorHAnsi" w:hAnsiTheme="minorHAnsi" w:cstheme="minorHAnsi"/>
          <w:b/>
          <w:sz w:val="28"/>
          <w:szCs w:val="28"/>
          <w:u w:val="single"/>
        </w:rPr>
        <w:t xml:space="preserve">omplex GSO </w:t>
      </w:r>
      <w:r w:rsidRPr="00091A6F">
        <w:rPr>
          <w:rFonts w:asciiTheme="minorHAnsi" w:hAnsiTheme="minorHAnsi" w:cstheme="minorHAnsi"/>
          <w:b/>
          <w:sz w:val="28"/>
          <w:szCs w:val="28"/>
          <w:u w:val="single"/>
        </w:rPr>
        <w:t>S</w:t>
      </w:r>
      <w:r w:rsidR="00304A83" w:rsidRPr="00091A6F">
        <w:rPr>
          <w:rFonts w:asciiTheme="minorHAnsi" w:hAnsiTheme="minorHAnsi" w:cstheme="minorHAnsi"/>
          <w:b/>
          <w:sz w:val="28"/>
          <w:szCs w:val="28"/>
          <w:u w:val="single"/>
        </w:rPr>
        <w:t xml:space="preserve">atellite </w:t>
      </w:r>
      <w:r w:rsidRPr="00091A6F">
        <w:rPr>
          <w:rFonts w:asciiTheme="minorHAnsi" w:hAnsiTheme="minorHAnsi" w:cstheme="minorHAnsi"/>
          <w:b/>
          <w:sz w:val="28"/>
          <w:szCs w:val="28"/>
          <w:u w:val="single"/>
        </w:rPr>
        <w:t>F</w:t>
      </w:r>
      <w:r w:rsidR="00304A83" w:rsidRPr="00091A6F">
        <w:rPr>
          <w:rFonts w:asciiTheme="minorHAnsi" w:hAnsiTheme="minorHAnsi" w:cstheme="minorHAnsi"/>
          <w:b/>
          <w:sz w:val="28"/>
          <w:szCs w:val="28"/>
          <w:u w:val="single"/>
        </w:rPr>
        <w:t>ilings</w:t>
      </w:r>
    </w:p>
    <w:p w14:paraId="6093AB88" w14:textId="0461E0C4" w:rsidR="00932601" w:rsidRPr="00091A6F" w:rsidRDefault="00932601" w:rsidP="00091A6F">
      <w:pPr>
        <w:pStyle w:val="Normal1"/>
        <w:tabs>
          <w:tab w:val="left" w:pos="1418"/>
        </w:tabs>
        <w:snapToGrid w:val="0"/>
        <w:spacing w:before="360" w:after="120"/>
        <w:jc w:val="both"/>
        <w:rPr>
          <w:rFonts w:asciiTheme="minorHAnsi" w:hAnsiTheme="minorHAnsi" w:cstheme="minorHAnsi"/>
        </w:rPr>
      </w:pPr>
      <w:r w:rsidRPr="00091A6F">
        <w:rPr>
          <w:rFonts w:asciiTheme="minorHAnsi" w:hAnsiTheme="minorHAnsi" w:cstheme="minorHAnsi"/>
        </w:rPr>
        <w:t>As per the summary regarding the submission of complex GSO filings contained in the second meeting of the Expert Group</w:t>
      </w:r>
      <w:r w:rsidRPr="00091A6F">
        <w:rPr>
          <w:rStyle w:val="FootnoteReference"/>
          <w:rFonts w:asciiTheme="minorHAnsi" w:hAnsiTheme="minorHAnsi" w:cstheme="minorHAnsi"/>
        </w:rPr>
        <w:footnoteReference w:id="1"/>
      </w:r>
      <w:r w:rsidRPr="00091A6F">
        <w:rPr>
          <w:rFonts w:asciiTheme="minorHAnsi" w:hAnsiTheme="minorHAnsi" w:cstheme="minorHAnsi"/>
        </w:rPr>
        <w:t>, the following view is put forward for consideration:</w:t>
      </w:r>
    </w:p>
    <w:p w14:paraId="2AE70AE3" w14:textId="6EB096DD" w:rsidR="006E6E07" w:rsidRPr="00091A6F" w:rsidRDefault="00F77431" w:rsidP="00091A6F">
      <w:pPr>
        <w:pStyle w:val="Normal1"/>
        <w:numPr>
          <w:ilvl w:val="0"/>
          <w:numId w:val="33"/>
        </w:numPr>
        <w:tabs>
          <w:tab w:val="clear" w:pos="567"/>
          <w:tab w:val="left" w:pos="1418"/>
        </w:tabs>
        <w:snapToGrid w:val="0"/>
        <w:spacing w:after="120"/>
        <w:ind w:left="450" w:hanging="450"/>
        <w:jc w:val="both"/>
        <w:rPr>
          <w:rFonts w:asciiTheme="minorHAnsi" w:hAnsiTheme="minorHAnsi" w:cstheme="minorHAnsi"/>
        </w:rPr>
      </w:pPr>
      <w:r w:rsidRPr="00091A6F">
        <w:rPr>
          <w:rFonts w:asciiTheme="minorHAnsi" w:hAnsiTheme="minorHAnsi" w:cstheme="minorHAnsi"/>
        </w:rPr>
        <w:t xml:space="preserve">The </w:t>
      </w:r>
      <w:r w:rsidR="006E6E07" w:rsidRPr="00091A6F">
        <w:rPr>
          <w:rFonts w:asciiTheme="minorHAnsi" w:hAnsiTheme="minorHAnsi" w:cstheme="minorHAnsi"/>
        </w:rPr>
        <w:t xml:space="preserve">current </w:t>
      </w:r>
      <w:r w:rsidRPr="00091A6F">
        <w:rPr>
          <w:rFonts w:asciiTheme="minorHAnsi" w:hAnsiTheme="minorHAnsi" w:cstheme="minorHAnsi"/>
        </w:rPr>
        <w:t>UAE</w:t>
      </w:r>
      <w:r w:rsidR="006E6E07" w:rsidRPr="00091A6F">
        <w:rPr>
          <w:rFonts w:asciiTheme="minorHAnsi" w:hAnsiTheme="minorHAnsi" w:cstheme="minorHAnsi"/>
        </w:rPr>
        <w:t xml:space="preserve"> filings for GSO networks are</w:t>
      </w:r>
      <w:r w:rsidR="0065149D">
        <w:rPr>
          <w:rFonts w:asciiTheme="minorHAnsi" w:hAnsiTheme="minorHAnsi" w:cstheme="minorHAnsi"/>
        </w:rPr>
        <w:t xml:space="preserve"> typically less than 50k units.</w:t>
      </w:r>
    </w:p>
    <w:p w14:paraId="11E88C31" w14:textId="07987DFF" w:rsidR="00126780" w:rsidRPr="00091A6F" w:rsidRDefault="006E6E07" w:rsidP="0065149D">
      <w:pPr>
        <w:pStyle w:val="Normal1"/>
        <w:numPr>
          <w:ilvl w:val="0"/>
          <w:numId w:val="33"/>
        </w:numPr>
        <w:tabs>
          <w:tab w:val="clear" w:pos="567"/>
          <w:tab w:val="left" w:pos="1418"/>
        </w:tabs>
        <w:snapToGrid w:val="0"/>
        <w:spacing w:after="120"/>
        <w:ind w:left="450" w:hanging="450"/>
        <w:jc w:val="both"/>
        <w:rPr>
          <w:rFonts w:asciiTheme="minorHAnsi" w:hAnsiTheme="minorHAnsi" w:cstheme="minorHAnsi"/>
        </w:rPr>
      </w:pPr>
      <w:r w:rsidRPr="00091A6F">
        <w:rPr>
          <w:rFonts w:asciiTheme="minorHAnsi" w:hAnsiTheme="minorHAnsi" w:cstheme="minorHAnsi"/>
        </w:rPr>
        <w:t xml:space="preserve">The UAE </w:t>
      </w:r>
      <w:r w:rsidR="00F77431" w:rsidRPr="00091A6F">
        <w:rPr>
          <w:rFonts w:asciiTheme="minorHAnsi" w:hAnsiTheme="minorHAnsi" w:cstheme="minorHAnsi"/>
        </w:rPr>
        <w:t>accepts th</w:t>
      </w:r>
      <w:r w:rsidR="00126780" w:rsidRPr="00091A6F">
        <w:rPr>
          <w:rFonts w:asciiTheme="minorHAnsi" w:hAnsiTheme="minorHAnsi" w:cstheme="minorHAnsi"/>
        </w:rPr>
        <w:t xml:space="preserve">e </w:t>
      </w:r>
      <w:r w:rsidR="00326A4D" w:rsidRPr="00091A6F">
        <w:rPr>
          <w:rFonts w:asciiTheme="minorHAnsi" w:hAnsiTheme="minorHAnsi" w:cstheme="minorHAnsi"/>
        </w:rPr>
        <w:t xml:space="preserve">understanding of the </w:t>
      </w:r>
      <w:r w:rsidR="00126780" w:rsidRPr="00091A6F">
        <w:rPr>
          <w:rFonts w:asciiTheme="minorHAnsi" w:hAnsiTheme="minorHAnsi" w:cstheme="minorHAnsi"/>
        </w:rPr>
        <w:t>BR that GSO satellite filings with high number</w:t>
      </w:r>
      <w:r w:rsidR="00326A4D" w:rsidRPr="00091A6F">
        <w:rPr>
          <w:rFonts w:asciiTheme="minorHAnsi" w:hAnsiTheme="minorHAnsi" w:cstheme="minorHAnsi"/>
        </w:rPr>
        <w:t>s</w:t>
      </w:r>
      <w:r w:rsidR="00126780" w:rsidRPr="00091A6F">
        <w:rPr>
          <w:rFonts w:asciiTheme="minorHAnsi" w:hAnsiTheme="minorHAnsi" w:cstheme="minorHAnsi"/>
        </w:rPr>
        <w:t xml:space="preserve"> of units are an exceptional situation.</w:t>
      </w:r>
      <w:r w:rsidR="00EA4FF4" w:rsidRPr="00091A6F">
        <w:rPr>
          <w:rStyle w:val="FootnoteReference"/>
          <w:rFonts w:asciiTheme="minorHAnsi" w:hAnsiTheme="minorHAnsi" w:cstheme="minorHAnsi"/>
        </w:rPr>
        <w:t xml:space="preserve"> </w:t>
      </w:r>
      <w:r w:rsidR="00EA4FF4" w:rsidRPr="00091A6F">
        <w:rPr>
          <w:rStyle w:val="FootnoteReference"/>
          <w:rFonts w:asciiTheme="minorHAnsi" w:hAnsiTheme="minorHAnsi" w:cstheme="minorHAnsi"/>
        </w:rPr>
        <w:footnoteReference w:id="2"/>
      </w:r>
      <w:r w:rsidR="00EA4FF4" w:rsidRPr="00091A6F">
        <w:rPr>
          <w:rFonts w:asciiTheme="minorHAnsi" w:hAnsiTheme="minorHAnsi" w:cstheme="minorHAnsi"/>
        </w:rPr>
        <w:t xml:space="preserve"> </w:t>
      </w:r>
      <w:r w:rsidR="00126780" w:rsidRPr="00091A6F">
        <w:rPr>
          <w:rFonts w:asciiTheme="minorHAnsi" w:hAnsiTheme="minorHAnsi" w:cstheme="minorHAnsi"/>
        </w:rPr>
        <w:t xml:space="preserve"> From </w:t>
      </w:r>
      <w:r w:rsidR="00EA4FF4" w:rsidRPr="00091A6F">
        <w:rPr>
          <w:rFonts w:asciiTheme="minorHAnsi" w:hAnsiTheme="minorHAnsi" w:cstheme="minorHAnsi"/>
        </w:rPr>
        <w:t xml:space="preserve">the </w:t>
      </w:r>
      <w:r w:rsidR="00126780" w:rsidRPr="00091A6F">
        <w:rPr>
          <w:rFonts w:asciiTheme="minorHAnsi" w:hAnsiTheme="minorHAnsi" w:cstheme="minorHAnsi"/>
        </w:rPr>
        <w:t>BR</w:t>
      </w:r>
      <w:r w:rsidR="00EA4FF4" w:rsidRPr="00091A6F">
        <w:rPr>
          <w:rFonts w:asciiTheme="minorHAnsi" w:hAnsiTheme="minorHAnsi" w:cstheme="minorHAnsi"/>
        </w:rPr>
        <w:t xml:space="preserve">’s </w:t>
      </w:r>
      <w:r w:rsidR="00126780" w:rsidRPr="00091A6F">
        <w:rPr>
          <w:rFonts w:asciiTheme="minorHAnsi" w:hAnsiTheme="minorHAnsi" w:cstheme="minorHAnsi"/>
        </w:rPr>
        <w:t xml:space="preserve">statistics, </w:t>
      </w:r>
      <w:r w:rsidR="00EA4FF4" w:rsidRPr="00091A6F">
        <w:rPr>
          <w:rFonts w:asciiTheme="minorHAnsi" w:hAnsiTheme="minorHAnsi" w:cstheme="minorHAnsi"/>
        </w:rPr>
        <w:t xml:space="preserve">it can be seen that </w:t>
      </w:r>
      <w:r w:rsidR="00126780" w:rsidRPr="00091A6F">
        <w:rPr>
          <w:rFonts w:asciiTheme="minorHAnsi" w:hAnsiTheme="minorHAnsi" w:cstheme="minorHAnsi"/>
        </w:rPr>
        <w:t xml:space="preserve">only 48 such </w:t>
      </w:r>
      <w:r w:rsidR="00EA4FF4" w:rsidRPr="00091A6F">
        <w:rPr>
          <w:rFonts w:asciiTheme="minorHAnsi" w:hAnsiTheme="minorHAnsi" w:cstheme="minorHAnsi"/>
        </w:rPr>
        <w:t xml:space="preserve">“large” </w:t>
      </w:r>
      <w:r w:rsidR="00126780" w:rsidRPr="00091A6F">
        <w:rPr>
          <w:rFonts w:asciiTheme="minorHAnsi" w:hAnsiTheme="minorHAnsi" w:cstheme="minorHAnsi"/>
        </w:rPr>
        <w:t xml:space="preserve">filings </w:t>
      </w:r>
      <w:r w:rsidR="00326A4D" w:rsidRPr="00091A6F">
        <w:rPr>
          <w:rFonts w:asciiTheme="minorHAnsi" w:hAnsiTheme="minorHAnsi" w:cstheme="minorHAnsi"/>
        </w:rPr>
        <w:t xml:space="preserve">out of a total of 2485 </w:t>
      </w:r>
      <w:r w:rsidR="00126780" w:rsidRPr="00091A6F">
        <w:rPr>
          <w:rFonts w:asciiTheme="minorHAnsi" w:hAnsiTheme="minorHAnsi" w:cstheme="minorHAnsi"/>
        </w:rPr>
        <w:t>have been received since 2008.</w:t>
      </w:r>
      <w:r w:rsidR="00932601" w:rsidRPr="00091A6F">
        <w:rPr>
          <w:rStyle w:val="FootnoteReference"/>
          <w:rFonts w:asciiTheme="minorHAnsi" w:hAnsiTheme="minorHAnsi" w:cstheme="minorHAnsi"/>
        </w:rPr>
        <w:footnoteReference w:id="3"/>
      </w:r>
      <w:r w:rsidR="00326A4D" w:rsidRPr="00091A6F">
        <w:rPr>
          <w:rFonts w:asciiTheme="minorHAnsi" w:hAnsiTheme="minorHAnsi" w:cstheme="minorHAnsi"/>
        </w:rPr>
        <w:t xml:space="preserve"> The UAE also accepts that these filings can individually be disruptive </w:t>
      </w:r>
      <w:r w:rsidR="00E22AE1" w:rsidRPr="00091A6F">
        <w:rPr>
          <w:rFonts w:asciiTheme="minorHAnsi" w:hAnsiTheme="minorHAnsi" w:cstheme="minorHAnsi"/>
        </w:rPr>
        <w:t xml:space="preserve">of the BR workflow </w:t>
      </w:r>
      <w:r w:rsidR="00326A4D" w:rsidRPr="00091A6F">
        <w:rPr>
          <w:rFonts w:asciiTheme="minorHAnsi" w:hAnsiTheme="minorHAnsi" w:cstheme="minorHAnsi"/>
        </w:rPr>
        <w:t xml:space="preserve">compared to other “average” filings. </w:t>
      </w:r>
    </w:p>
    <w:p w14:paraId="3C5E0059" w14:textId="5D31465F" w:rsidR="00B572F2" w:rsidRPr="00091A6F" w:rsidRDefault="006E6E07" w:rsidP="00091A6F">
      <w:pPr>
        <w:pStyle w:val="Normal1"/>
        <w:numPr>
          <w:ilvl w:val="0"/>
          <w:numId w:val="33"/>
        </w:numPr>
        <w:tabs>
          <w:tab w:val="clear" w:pos="567"/>
          <w:tab w:val="left" w:pos="1418"/>
        </w:tabs>
        <w:snapToGrid w:val="0"/>
        <w:spacing w:after="120"/>
        <w:ind w:left="450" w:hanging="450"/>
        <w:jc w:val="both"/>
        <w:rPr>
          <w:rFonts w:asciiTheme="minorHAnsi" w:hAnsiTheme="minorHAnsi" w:cstheme="minorHAnsi"/>
        </w:rPr>
      </w:pPr>
      <w:r w:rsidRPr="00091A6F">
        <w:rPr>
          <w:rFonts w:asciiTheme="minorHAnsi" w:hAnsiTheme="minorHAnsi" w:cstheme="minorHAnsi"/>
        </w:rPr>
        <w:t>In assessing the extent of the disruption, a</w:t>
      </w:r>
      <w:r w:rsidR="00567B32" w:rsidRPr="00091A6F">
        <w:rPr>
          <w:rFonts w:asciiTheme="minorHAnsi" w:hAnsiTheme="minorHAnsi" w:cstheme="minorHAnsi"/>
        </w:rPr>
        <w:t xml:space="preserve">t the second </w:t>
      </w:r>
      <w:r w:rsidR="00B572F2" w:rsidRPr="00091A6F">
        <w:rPr>
          <w:rFonts w:asciiTheme="minorHAnsi" w:hAnsiTheme="minorHAnsi" w:cstheme="minorHAnsi"/>
        </w:rPr>
        <w:t>meeting of the Council Expert Group meeting, the BR pointed out that the most complex GSO filing</w:t>
      </w:r>
      <w:r w:rsidR="0035587E" w:rsidRPr="00091A6F">
        <w:rPr>
          <w:rFonts w:asciiTheme="minorHAnsi" w:hAnsiTheme="minorHAnsi" w:cstheme="minorHAnsi"/>
        </w:rPr>
        <w:t>s</w:t>
      </w:r>
      <w:r w:rsidR="00B572F2" w:rsidRPr="00091A6F">
        <w:rPr>
          <w:rFonts w:asciiTheme="minorHAnsi" w:hAnsiTheme="minorHAnsi" w:cstheme="minorHAnsi"/>
        </w:rPr>
        <w:t xml:space="preserve"> received to date contained over 300,000 units and th</w:t>
      </w:r>
      <w:r w:rsidR="0035587E" w:rsidRPr="00091A6F">
        <w:rPr>
          <w:rFonts w:asciiTheme="minorHAnsi" w:hAnsiTheme="minorHAnsi" w:cstheme="minorHAnsi"/>
        </w:rPr>
        <w:t>ese</w:t>
      </w:r>
      <w:r w:rsidR="00B572F2" w:rsidRPr="00091A6F">
        <w:rPr>
          <w:rFonts w:asciiTheme="minorHAnsi" w:hAnsiTheme="minorHAnsi" w:cstheme="minorHAnsi"/>
        </w:rPr>
        <w:t xml:space="preserve"> filing</w:t>
      </w:r>
      <w:r w:rsidR="0035587E" w:rsidRPr="00091A6F">
        <w:rPr>
          <w:rFonts w:asciiTheme="minorHAnsi" w:hAnsiTheme="minorHAnsi" w:cstheme="minorHAnsi"/>
        </w:rPr>
        <w:t>s</w:t>
      </w:r>
      <w:r w:rsidR="00B572F2" w:rsidRPr="00091A6F">
        <w:rPr>
          <w:rFonts w:asciiTheme="minorHAnsi" w:hAnsiTheme="minorHAnsi" w:cstheme="minorHAnsi"/>
        </w:rPr>
        <w:t xml:space="preserve"> took </w:t>
      </w:r>
      <w:r w:rsidR="0035587E" w:rsidRPr="00091A6F">
        <w:rPr>
          <w:rFonts w:asciiTheme="minorHAnsi" w:hAnsiTheme="minorHAnsi" w:cstheme="minorHAnsi"/>
        </w:rPr>
        <w:t>nine</w:t>
      </w:r>
      <w:r w:rsidR="00B572F2" w:rsidRPr="00091A6F">
        <w:rPr>
          <w:rFonts w:asciiTheme="minorHAnsi" w:hAnsiTheme="minorHAnsi" w:cstheme="minorHAnsi"/>
        </w:rPr>
        <w:t xml:space="preserve"> times the effort to complete compared to an average GSO filing.</w:t>
      </w:r>
      <w:r w:rsidR="0035587E" w:rsidRPr="00091A6F">
        <w:rPr>
          <w:rStyle w:val="FootnoteReference"/>
          <w:rFonts w:asciiTheme="minorHAnsi" w:hAnsiTheme="minorHAnsi" w:cstheme="minorHAnsi"/>
        </w:rPr>
        <w:footnoteReference w:id="4"/>
      </w:r>
      <w:r w:rsidR="00B572F2" w:rsidRPr="00091A6F">
        <w:rPr>
          <w:rFonts w:asciiTheme="minorHAnsi" w:hAnsiTheme="minorHAnsi" w:cstheme="minorHAnsi"/>
        </w:rPr>
        <w:t xml:space="preserve">  However, in following conversations with the BR, it was indicated that:</w:t>
      </w:r>
    </w:p>
    <w:p w14:paraId="3A80DCB0" w14:textId="2C7F6068" w:rsidR="00B572F2" w:rsidRPr="00091A6F" w:rsidRDefault="00C32CFC" w:rsidP="00091A6F">
      <w:pPr>
        <w:pStyle w:val="Normal1"/>
        <w:numPr>
          <w:ilvl w:val="1"/>
          <w:numId w:val="33"/>
        </w:numPr>
        <w:tabs>
          <w:tab w:val="clear" w:pos="567"/>
          <w:tab w:val="clear" w:pos="1134"/>
          <w:tab w:val="left" w:pos="360"/>
        </w:tabs>
        <w:snapToGrid w:val="0"/>
        <w:spacing w:after="120"/>
        <w:jc w:val="both"/>
        <w:rPr>
          <w:rFonts w:asciiTheme="minorHAnsi" w:hAnsiTheme="minorHAnsi" w:cstheme="minorHAnsi"/>
        </w:rPr>
      </w:pPr>
      <w:r w:rsidRPr="00091A6F">
        <w:rPr>
          <w:rFonts w:asciiTheme="minorHAnsi" w:hAnsiTheme="minorHAnsi" w:cstheme="minorHAnsi"/>
        </w:rPr>
        <w:t>A</w:t>
      </w:r>
      <w:r w:rsidR="00B572F2" w:rsidRPr="00091A6F">
        <w:rPr>
          <w:rFonts w:asciiTheme="minorHAnsi" w:hAnsiTheme="minorHAnsi" w:cstheme="minorHAnsi"/>
        </w:rPr>
        <w:t xml:space="preserve"> significant portion of the additional effort was a result of software modification that were necessary for the processing of this filing. This was a one-time software development effort that would not need to be repeated for future filing of comparable size.</w:t>
      </w:r>
    </w:p>
    <w:p w14:paraId="4D3B4302" w14:textId="487FA97C" w:rsidR="0088573B" w:rsidRPr="00091A6F" w:rsidRDefault="00B572F2" w:rsidP="00091A6F">
      <w:pPr>
        <w:pStyle w:val="Normal1"/>
        <w:numPr>
          <w:ilvl w:val="1"/>
          <w:numId w:val="33"/>
        </w:numPr>
        <w:tabs>
          <w:tab w:val="clear" w:pos="567"/>
          <w:tab w:val="clear" w:pos="1134"/>
          <w:tab w:val="left" w:pos="360"/>
        </w:tabs>
        <w:snapToGrid w:val="0"/>
        <w:spacing w:after="120"/>
        <w:jc w:val="both"/>
        <w:rPr>
          <w:rFonts w:asciiTheme="minorHAnsi" w:hAnsiTheme="minorHAnsi" w:cstheme="minorHAnsi"/>
        </w:rPr>
      </w:pPr>
      <w:r w:rsidRPr="00091A6F">
        <w:rPr>
          <w:rFonts w:asciiTheme="minorHAnsi" w:hAnsiTheme="minorHAnsi" w:cstheme="minorHAnsi"/>
        </w:rPr>
        <w:t xml:space="preserve">That the specific details of the filing </w:t>
      </w:r>
      <w:r w:rsidR="00C32CFC" w:rsidRPr="00091A6F">
        <w:rPr>
          <w:rFonts w:asciiTheme="minorHAnsi" w:hAnsiTheme="minorHAnsi" w:cstheme="minorHAnsi"/>
        </w:rPr>
        <w:t xml:space="preserve">in question </w:t>
      </w:r>
      <w:r w:rsidRPr="00091A6F">
        <w:rPr>
          <w:rFonts w:asciiTheme="minorHAnsi" w:hAnsiTheme="minorHAnsi" w:cstheme="minorHAnsi"/>
        </w:rPr>
        <w:t xml:space="preserve">led to multiple negative findings </w:t>
      </w:r>
      <w:r w:rsidR="00C32CFC" w:rsidRPr="00091A6F">
        <w:rPr>
          <w:rFonts w:asciiTheme="minorHAnsi" w:hAnsiTheme="minorHAnsi" w:cstheme="minorHAnsi"/>
        </w:rPr>
        <w:t xml:space="preserve">further requiring </w:t>
      </w:r>
      <w:r w:rsidR="00091A6F">
        <w:rPr>
          <w:rFonts w:asciiTheme="minorHAnsi" w:hAnsiTheme="minorHAnsi" w:cstheme="minorHAnsi"/>
        </w:rPr>
        <w:t>additional BR efforts.</w:t>
      </w:r>
    </w:p>
    <w:p w14:paraId="437D95FF" w14:textId="4F1D6F84" w:rsidR="0088573B" w:rsidRPr="00091A6F" w:rsidRDefault="0088573B" w:rsidP="0065149D">
      <w:pPr>
        <w:pStyle w:val="Normal1"/>
        <w:numPr>
          <w:ilvl w:val="0"/>
          <w:numId w:val="33"/>
        </w:numPr>
        <w:tabs>
          <w:tab w:val="clear" w:pos="567"/>
          <w:tab w:val="left" w:pos="1418"/>
        </w:tabs>
        <w:snapToGrid w:val="0"/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091A6F">
        <w:rPr>
          <w:rFonts w:asciiTheme="minorHAnsi" w:hAnsiTheme="minorHAnsi" w:cstheme="minorHAnsi"/>
        </w:rPr>
        <w:t>As th</w:t>
      </w:r>
      <w:r w:rsidR="0035587E" w:rsidRPr="00091A6F">
        <w:rPr>
          <w:rFonts w:asciiTheme="minorHAnsi" w:hAnsiTheme="minorHAnsi" w:cstheme="minorHAnsi"/>
        </w:rPr>
        <w:t>ese</w:t>
      </w:r>
      <w:r w:rsidRPr="00091A6F">
        <w:rPr>
          <w:rFonts w:asciiTheme="minorHAnsi" w:hAnsiTheme="minorHAnsi" w:cstheme="minorHAnsi"/>
        </w:rPr>
        <w:t xml:space="preserve"> filing</w:t>
      </w:r>
      <w:r w:rsidR="0035587E" w:rsidRPr="00091A6F">
        <w:rPr>
          <w:rFonts w:asciiTheme="minorHAnsi" w:hAnsiTheme="minorHAnsi" w:cstheme="minorHAnsi"/>
        </w:rPr>
        <w:t>s</w:t>
      </w:r>
      <w:r w:rsidRPr="00091A6F">
        <w:rPr>
          <w:rFonts w:asciiTheme="minorHAnsi" w:hAnsiTheme="minorHAnsi" w:cstheme="minorHAnsi"/>
        </w:rPr>
        <w:t xml:space="preserve"> represents a unique situation, it cannot be assumed that a future </w:t>
      </w:r>
      <w:r w:rsidR="00303388" w:rsidRPr="00091A6F">
        <w:rPr>
          <w:rFonts w:asciiTheme="minorHAnsi" w:hAnsiTheme="minorHAnsi" w:cstheme="minorHAnsi"/>
        </w:rPr>
        <w:t xml:space="preserve">large </w:t>
      </w:r>
      <w:r w:rsidRPr="00091A6F">
        <w:rPr>
          <w:rFonts w:asciiTheme="minorHAnsi" w:hAnsiTheme="minorHAnsi" w:cstheme="minorHAnsi"/>
        </w:rPr>
        <w:t xml:space="preserve">filing with 300k units </w:t>
      </w:r>
      <w:r w:rsidR="00303388" w:rsidRPr="00091A6F">
        <w:rPr>
          <w:rFonts w:asciiTheme="minorHAnsi" w:hAnsiTheme="minorHAnsi" w:cstheme="minorHAnsi"/>
        </w:rPr>
        <w:t xml:space="preserve">or less </w:t>
      </w:r>
      <w:r w:rsidRPr="00091A6F">
        <w:rPr>
          <w:rFonts w:asciiTheme="minorHAnsi" w:hAnsiTheme="minorHAnsi" w:cstheme="minorHAnsi"/>
        </w:rPr>
        <w:t xml:space="preserve">will result in a </w:t>
      </w:r>
      <w:r w:rsidR="006C4118" w:rsidRPr="00091A6F">
        <w:rPr>
          <w:rFonts w:asciiTheme="minorHAnsi" w:hAnsiTheme="minorHAnsi" w:cstheme="minorHAnsi"/>
        </w:rPr>
        <w:t>nine</w:t>
      </w:r>
      <w:r w:rsidRPr="00091A6F">
        <w:rPr>
          <w:rFonts w:asciiTheme="minorHAnsi" w:hAnsiTheme="minorHAnsi" w:cstheme="minorHAnsi"/>
        </w:rPr>
        <w:t>-fold increase in BR workload.</w:t>
      </w:r>
      <w:r w:rsidR="006E6E07" w:rsidRPr="00091A6F">
        <w:rPr>
          <w:rFonts w:asciiTheme="minorHAnsi" w:hAnsiTheme="minorHAnsi" w:cstheme="minorHAnsi"/>
        </w:rPr>
        <w:t xml:space="preserve"> While the impact on the BR of a large GSO filing is greater than an average o</w:t>
      </w:r>
      <w:r w:rsidR="00C00393" w:rsidRPr="00091A6F">
        <w:rPr>
          <w:rFonts w:asciiTheme="minorHAnsi" w:hAnsiTheme="minorHAnsi" w:cstheme="minorHAnsi"/>
        </w:rPr>
        <w:t xml:space="preserve">ne, that impact is well below a factor of </w:t>
      </w:r>
      <w:r w:rsidR="0035587E" w:rsidRPr="00091A6F">
        <w:rPr>
          <w:rFonts w:asciiTheme="minorHAnsi" w:hAnsiTheme="minorHAnsi" w:cstheme="minorHAnsi"/>
        </w:rPr>
        <w:t>nine</w:t>
      </w:r>
      <w:r w:rsidR="00C00393" w:rsidRPr="00091A6F">
        <w:rPr>
          <w:rFonts w:asciiTheme="minorHAnsi" w:hAnsiTheme="minorHAnsi" w:cstheme="minorHAnsi"/>
        </w:rPr>
        <w:t>. The exact amount is presently unknown.</w:t>
      </w:r>
    </w:p>
    <w:p w14:paraId="27A4FF21" w14:textId="363D58F5" w:rsidR="00810ED7" w:rsidRPr="00091A6F" w:rsidRDefault="00810ED7" w:rsidP="00091A6F">
      <w:pPr>
        <w:pStyle w:val="Normal1"/>
        <w:numPr>
          <w:ilvl w:val="0"/>
          <w:numId w:val="33"/>
        </w:numPr>
        <w:tabs>
          <w:tab w:val="clear" w:pos="567"/>
          <w:tab w:val="left" w:pos="1418"/>
        </w:tabs>
        <w:snapToGrid w:val="0"/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091A6F">
        <w:rPr>
          <w:rFonts w:asciiTheme="minorHAnsi" w:hAnsiTheme="minorHAnsi" w:cstheme="minorHAnsi"/>
        </w:rPr>
        <w:t xml:space="preserve">The UAE notes that </w:t>
      </w:r>
      <w:r w:rsidR="0088573B" w:rsidRPr="00091A6F">
        <w:rPr>
          <w:rFonts w:asciiTheme="minorHAnsi" w:hAnsiTheme="minorHAnsi" w:cstheme="minorHAnsi"/>
        </w:rPr>
        <w:t xml:space="preserve">with the </w:t>
      </w:r>
      <w:r w:rsidR="00C00393" w:rsidRPr="00091A6F">
        <w:rPr>
          <w:rFonts w:asciiTheme="minorHAnsi" w:hAnsiTheme="minorHAnsi" w:cstheme="minorHAnsi"/>
        </w:rPr>
        <w:t xml:space="preserve">now completed </w:t>
      </w:r>
      <w:r w:rsidR="0088573B" w:rsidRPr="00091A6F">
        <w:rPr>
          <w:rFonts w:asciiTheme="minorHAnsi" w:hAnsiTheme="minorHAnsi" w:cstheme="minorHAnsi"/>
        </w:rPr>
        <w:t>update</w:t>
      </w:r>
      <w:r w:rsidR="00C00393" w:rsidRPr="00091A6F">
        <w:rPr>
          <w:rFonts w:asciiTheme="minorHAnsi" w:hAnsiTheme="minorHAnsi" w:cstheme="minorHAnsi"/>
        </w:rPr>
        <w:t xml:space="preserve"> to the </w:t>
      </w:r>
      <w:r w:rsidR="0088573B" w:rsidRPr="00091A6F">
        <w:rPr>
          <w:rFonts w:asciiTheme="minorHAnsi" w:hAnsiTheme="minorHAnsi" w:cstheme="minorHAnsi"/>
        </w:rPr>
        <w:t>BR</w:t>
      </w:r>
      <w:r w:rsidR="00C00393" w:rsidRPr="00091A6F">
        <w:rPr>
          <w:rFonts w:asciiTheme="minorHAnsi" w:hAnsiTheme="minorHAnsi" w:cstheme="minorHAnsi"/>
        </w:rPr>
        <w:t xml:space="preserve">’s processing </w:t>
      </w:r>
      <w:r w:rsidR="0088573B" w:rsidRPr="00091A6F">
        <w:rPr>
          <w:rFonts w:asciiTheme="minorHAnsi" w:hAnsiTheme="minorHAnsi" w:cstheme="minorHAnsi"/>
        </w:rPr>
        <w:t>software</w:t>
      </w:r>
      <w:r w:rsidR="00C00393" w:rsidRPr="00091A6F">
        <w:rPr>
          <w:rFonts w:asciiTheme="minorHAnsi" w:hAnsiTheme="minorHAnsi" w:cstheme="minorHAnsi"/>
        </w:rPr>
        <w:t xml:space="preserve"> tools</w:t>
      </w:r>
      <w:r w:rsidR="0088573B" w:rsidRPr="00091A6F">
        <w:rPr>
          <w:rFonts w:asciiTheme="minorHAnsi" w:hAnsiTheme="minorHAnsi" w:cstheme="minorHAnsi"/>
        </w:rPr>
        <w:t xml:space="preserve">, </w:t>
      </w:r>
      <w:r w:rsidRPr="00091A6F">
        <w:rPr>
          <w:rFonts w:asciiTheme="minorHAnsi" w:hAnsiTheme="minorHAnsi" w:cstheme="minorHAnsi"/>
        </w:rPr>
        <w:t xml:space="preserve">the very small number of </w:t>
      </w:r>
      <w:r w:rsidR="0088573B" w:rsidRPr="00091A6F">
        <w:rPr>
          <w:rFonts w:asciiTheme="minorHAnsi" w:hAnsiTheme="minorHAnsi" w:cstheme="minorHAnsi"/>
        </w:rPr>
        <w:t xml:space="preserve">very large </w:t>
      </w:r>
      <w:r w:rsidRPr="00091A6F">
        <w:rPr>
          <w:rFonts w:asciiTheme="minorHAnsi" w:hAnsiTheme="minorHAnsi" w:cstheme="minorHAnsi"/>
        </w:rPr>
        <w:t xml:space="preserve">filings </w:t>
      </w:r>
      <w:r w:rsidR="00303388" w:rsidRPr="00091A6F">
        <w:rPr>
          <w:rFonts w:asciiTheme="minorHAnsi" w:hAnsiTheme="minorHAnsi" w:cstheme="minorHAnsi"/>
        </w:rPr>
        <w:t xml:space="preserve">appears to have </w:t>
      </w:r>
      <w:r w:rsidR="006E6E07" w:rsidRPr="00091A6F">
        <w:rPr>
          <w:rFonts w:asciiTheme="minorHAnsi" w:hAnsiTheme="minorHAnsi" w:cstheme="minorHAnsi"/>
        </w:rPr>
        <w:t xml:space="preserve">had </w:t>
      </w:r>
      <w:r w:rsidR="0088573B" w:rsidRPr="00091A6F">
        <w:rPr>
          <w:rFonts w:asciiTheme="minorHAnsi" w:hAnsiTheme="minorHAnsi" w:cstheme="minorHAnsi"/>
        </w:rPr>
        <w:t xml:space="preserve">a </w:t>
      </w:r>
      <w:r w:rsidRPr="00091A6F">
        <w:rPr>
          <w:rFonts w:asciiTheme="minorHAnsi" w:hAnsiTheme="minorHAnsi" w:cstheme="minorHAnsi"/>
        </w:rPr>
        <w:t xml:space="preserve">limited adverse impact on the </w:t>
      </w:r>
      <w:r w:rsidR="0088573B" w:rsidRPr="00091A6F">
        <w:rPr>
          <w:rFonts w:asciiTheme="minorHAnsi" w:hAnsiTheme="minorHAnsi" w:cstheme="minorHAnsi"/>
        </w:rPr>
        <w:t xml:space="preserve">overall </w:t>
      </w:r>
      <w:r w:rsidRPr="00091A6F">
        <w:rPr>
          <w:rFonts w:asciiTheme="minorHAnsi" w:hAnsiTheme="minorHAnsi" w:cstheme="minorHAnsi"/>
        </w:rPr>
        <w:t>backlog of filings or the overall workload of the BR.</w:t>
      </w:r>
    </w:p>
    <w:p w14:paraId="13F1D19F" w14:textId="1DD9943D" w:rsidR="00126780" w:rsidRPr="00091A6F" w:rsidRDefault="0088573B" w:rsidP="00091A6F">
      <w:pPr>
        <w:pStyle w:val="Normal1"/>
        <w:numPr>
          <w:ilvl w:val="0"/>
          <w:numId w:val="33"/>
        </w:numPr>
        <w:tabs>
          <w:tab w:val="clear" w:pos="567"/>
          <w:tab w:val="left" w:pos="1418"/>
        </w:tabs>
        <w:snapToGrid w:val="0"/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091A6F">
        <w:rPr>
          <w:rFonts w:asciiTheme="minorHAnsi" w:hAnsiTheme="minorHAnsi" w:cstheme="minorHAnsi"/>
        </w:rPr>
        <w:t>The UAE also notes that even with the addition of a new break point</w:t>
      </w:r>
      <w:r w:rsidR="00303388" w:rsidRPr="00091A6F">
        <w:rPr>
          <w:rFonts w:asciiTheme="minorHAnsi" w:hAnsiTheme="minorHAnsi" w:cstheme="minorHAnsi"/>
        </w:rPr>
        <w:t xml:space="preserve"> for large GSO filings</w:t>
      </w:r>
      <w:r w:rsidR="006E6E07" w:rsidRPr="00091A6F">
        <w:rPr>
          <w:rFonts w:asciiTheme="minorHAnsi" w:hAnsiTheme="minorHAnsi" w:cstheme="minorHAnsi"/>
        </w:rPr>
        <w:t>,</w:t>
      </w:r>
      <w:r w:rsidRPr="00091A6F">
        <w:rPr>
          <w:rFonts w:asciiTheme="minorHAnsi" w:hAnsiTheme="minorHAnsi" w:cstheme="minorHAnsi"/>
        </w:rPr>
        <w:t xml:space="preserve"> </w:t>
      </w:r>
      <w:r w:rsidR="00810ED7" w:rsidRPr="00091A6F">
        <w:rPr>
          <w:rFonts w:asciiTheme="minorHAnsi" w:hAnsiTheme="minorHAnsi" w:cstheme="minorHAnsi"/>
        </w:rPr>
        <w:t xml:space="preserve">the </w:t>
      </w:r>
      <w:r w:rsidR="006E6E07" w:rsidRPr="00091A6F">
        <w:rPr>
          <w:rFonts w:asciiTheme="minorHAnsi" w:hAnsiTheme="minorHAnsi" w:cstheme="minorHAnsi"/>
        </w:rPr>
        <w:t xml:space="preserve">current </w:t>
      </w:r>
      <w:r w:rsidR="00810ED7" w:rsidRPr="00091A6F">
        <w:rPr>
          <w:rFonts w:asciiTheme="minorHAnsi" w:hAnsiTheme="minorHAnsi" w:cstheme="minorHAnsi"/>
        </w:rPr>
        <w:t xml:space="preserve">small number of filings with high numbers of units can only have a minor impact to the </w:t>
      </w:r>
      <w:r w:rsidR="00C00393" w:rsidRPr="00091A6F">
        <w:rPr>
          <w:rFonts w:asciiTheme="minorHAnsi" w:hAnsiTheme="minorHAnsi" w:cstheme="minorHAnsi"/>
        </w:rPr>
        <w:t>tota</w:t>
      </w:r>
      <w:r w:rsidR="00810ED7" w:rsidRPr="00091A6F">
        <w:rPr>
          <w:rFonts w:asciiTheme="minorHAnsi" w:hAnsiTheme="minorHAnsi" w:cstheme="minorHAnsi"/>
        </w:rPr>
        <w:t>l cost recovery fees collected</w:t>
      </w:r>
      <w:r w:rsidR="00126780" w:rsidRPr="00091A6F">
        <w:rPr>
          <w:rFonts w:asciiTheme="minorHAnsi" w:hAnsiTheme="minorHAnsi" w:cstheme="minorHAnsi"/>
        </w:rPr>
        <w:t>.</w:t>
      </w:r>
    </w:p>
    <w:p w14:paraId="11AB7934" w14:textId="42681498" w:rsidR="00810ED7" w:rsidRPr="00091A6F" w:rsidRDefault="00126780" w:rsidP="00091A6F">
      <w:pPr>
        <w:pStyle w:val="Normal1"/>
        <w:numPr>
          <w:ilvl w:val="0"/>
          <w:numId w:val="33"/>
        </w:numPr>
        <w:tabs>
          <w:tab w:val="clear" w:pos="567"/>
          <w:tab w:val="left" w:pos="1418"/>
        </w:tabs>
        <w:snapToGrid w:val="0"/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091A6F">
        <w:rPr>
          <w:rFonts w:asciiTheme="minorHAnsi" w:hAnsiTheme="minorHAnsi" w:cstheme="minorHAnsi"/>
        </w:rPr>
        <w:t xml:space="preserve">The </w:t>
      </w:r>
      <w:r w:rsidR="00810ED7" w:rsidRPr="00091A6F">
        <w:rPr>
          <w:rFonts w:asciiTheme="minorHAnsi" w:hAnsiTheme="minorHAnsi" w:cstheme="minorHAnsi"/>
        </w:rPr>
        <w:t xml:space="preserve">UAE </w:t>
      </w:r>
      <w:r w:rsidR="0088573B" w:rsidRPr="00091A6F">
        <w:rPr>
          <w:rFonts w:asciiTheme="minorHAnsi" w:hAnsiTheme="minorHAnsi" w:cstheme="minorHAnsi"/>
        </w:rPr>
        <w:t>has had direct experience with the submission of</w:t>
      </w:r>
      <w:r w:rsidR="0065149D">
        <w:rPr>
          <w:rFonts w:asciiTheme="minorHAnsi" w:hAnsiTheme="minorHAnsi" w:cstheme="minorHAnsi"/>
        </w:rPr>
        <w:t xml:space="preserve"> large GSO filings to the ITU. </w:t>
      </w:r>
      <w:r w:rsidR="0088573B" w:rsidRPr="00091A6F">
        <w:rPr>
          <w:rFonts w:asciiTheme="minorHAnsi" w:hAnsiTheme="minorHAnsi" w:cstheme="minorHAnsi"/>
        </w:rPr>
        <w:t xml:space="preserve">Awareness of the issue through </w:t>
      </w:r>
      <w:r w:rsidR="00303388" w:rsidRPr="00091A6F">
        <w:rPr>
          <w:rFonts w:asciiTheme="minorHAnsi" w:hAnsiTheme="minorHAnsi" w:cstheme="minorHAnsi"/>
        </w:rPr>
        <w:t>interaction</w:t>
      </w:r>
      <w:r w:rsidR="0088573B" w:rsidRPr="00091A6F">
        <w:rPr>
          <w:rFonts w:asciiTheme="minorHAnsi" w:hAnsiTheme="minorHAnsi" w:cstheme="minorHAnsi"/>
        </w:rPr>
        <w:t xml:space="preserve"> with the BR as well as </w:t>
      </w:r>
      <w:r w:rsidR="00303388" w:rsidRPr="00091A6F">
        <w:rPr>
          <w:rFonts w:asciiTheme="minorHAnsi" w:hAnsiTheme="minorHAnsi" w:cstheme="minorHAnsi"/>
        </w:rPr>
        <w:t xml:space="preserve">follow-up </w:t>
      </w:r>
      <w:r w:rsidR="0088573B" w:rsidRPr="00091A6F">
        <w:rPr>
          <w:rFonts w:asciiTheme="minorHAnsi" w:hAnsiTheme="minorHAnsi" w:cstheme="minorHAnsi"/>
        </w:rPr>
        <w:t xml:space="preserve">training has been critical in </w:t>
      </w:r>
      <w:r w:rsidR="00303388" w:rsidRPr="00091A6F">
        <w:rPr>
          <w:rFonts w:asciiTheme="minorHAnsi" w:hAnsiTheme="minorHAnsi" w:cstheme="minorHAnsi"/>
        </w:rPr>
        <w:t>voluntarily</w:t>
      </w:r>
      <w:r w:rsidR="00C00393" w:rsidRPr="00091A6F">
        <w:rPr>
          <w:rFonts w:asciiTheme="minorHAnsi" w:hAnsiTheme="minorHAnsi" w:cstheme="minorHAnsi"/>
        </w:rPr>
        <w:t xml:space="preserve"> </w:t>
      </w:r>
      <w:r w:rsidR="0088573B" w:rsidRPr="00091A6F">
        <w:rPr>
          <w:rFonts w:asciiTheme="minorHAnsi" w:hAnsiTheme="minorHAnsi" w:cstheme="minorHAnsi"/>
        </w:rPr>
        <w:t xml:space="preserve">addressing the matter.  </w:t>
      </w:r>
    </w:p>
    <w:p w14:paraId="60180EAC" w14:textId="775A289D" w:rsidR="008A7BE3" w:rsidRPr="00091A6F" w:rsidRDefault="008A7BE3" w:rsidP="00091A6F">
      <w:pPr>
        <w:pStyle w:val="Normal1"/>
        <w:numPr>
          <w:ilvl w:val="0"/>
          <w:numId w:val="33"/>
        </w:numPr>
        <w:tabs>
          <w:tab w:val="clear" w:pos="567"/>
          <w:tab w:val="left" w:pos="1418"/>
        </w:tabs>
        <w:snapToGrid w:val="0"/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091A6F">
        <w:rPr>
          <w:rFonts w:asciiTheme="minorHAnsi" w:hAnsiTheme="minorHAnsi" w:cstheme="minorHAnsi"/>
        </w:rPr>
        <w:t>If a new breakpoint is implemented</w:t>
      </w:r>
      <w:r w:rsidR="00C00393" w:rsidRPr="00091A6F">
        <w:rPr>
          <w:rFonts w:asciiTheme="minorHAnsi" w:hAnsiTheme="minorHAnsi" w:cstheme="minorHAnsi"/>
        </w:rPr>
        <w:t xml:space="preserve"> as has been proposed by some Administrations</w:t>
      </w:r>
      <w:r w:rsidRPr="00091A6F">
        <w:rPr>
          <w:rFonts w:asciiTheme="minorHAnsi" w:hAnsiTheme="minorHAnsi" w:cstheme="minorHAnsi"/>
        </w:rPr>
        <w:t xml:space="preserve">, </w:t>
      </w:r>
      <w:r w:rsidR="00C00393" w:rsidRPr="00091A6F">
        <w:rPr>
          <w:rFonts w:asciiTheme="minorHAnsi" w:hAnsiTheme="minorHAnsi" w:cstheme="minorHAnsi"/>
        </w:rPr>
        <w:t xml:space="preserve">it bears note that </w:t>
      </w:r>
      <w:r w:rsidRPr="00091A6F">
        <w:rPr>
          <w:rFonts w:asciiTheme="minorHAnsi" w:hAnsiTheme="minorHAnsi" w:cstheme="minorHAnsi"/>
        </w:rPr>
        <w:t xml:space="preserve">GSO operators </w:t>
      </w:r>
      <w:r w:rsidR="00C00393" w:rsidRPr="00091A6F">
        <w:rPr>
          <w:rFonts w:asciiTheme="minorHAnsi" w:hAnsiTheme="minorHAnsi" w:cstheme="minorHAnsi"/>
        </w:rPr>
        <w:t xml:space="preserve">may consequentially </w:t>
      </w:r>
      <w:r w:rsidRPr="00091A6F">
        <w:rPr>
          <w:rFonts w:asciiTheme="minorHAnsi" w:hAnsiTheme="minorHAnsi" w:cstheme="minorHAnsi"/>
          <w:i/>
        </w:rPr>
        <w:t>increase</w:t>
      </w:r>
      <w:r w:rsidRPr="00091A6F">
        <w:rPr>
          <w:rFonts w:asciiTheme="minorHAnsi" w:hAnsiTheme="minorHAnsi" w:cstheme="minorHAnsi"/>
        </w:rPr>
        <w:t xml:space="preserve"> the complexity of their filings</w:t>
      </w:r>
      <w:r w:rsidR="00C00393" w:rsidRPr="00091A6F">
        <w:rPr>
          <w:rFonts w:asciiTheme="minorHAnsi" w:hAnsiTheme="minorHAnsi" w:cstheme="minorHAnsi"/>
        </w:rPr>
        <w:t>,</w:t>
      </w:r>
      <w:r w:rsidRPr="00091A6F">
        <w:rPr>
          <w:rFonts w:asciiTheme="minorHAnsi" w:hAnsiTheme="minorHAnsi" w:cstheme="minorHAnsi"/>
        </w:rPr>
        <w:t xml:space="preserve"> </w:t>
      </w:r>
      <w:r w:rsidR="00303388" w:rsidRPr="00091A6F">
        <w:rPr>
          <w:rFonts w:asciiTheme="minorHAnsi" w:hAnsiTheme="minorHAnsi" w:cstheme="minorHAnsi"/>
        </w:rPr>
        <w:t xml:space="preserve">both at the CR and Notification stage, </w:t>
      </w:r>
      <w:r w:rsidRPr="00091A6F">
        <w:rPr>
          <w:rFonts w:asciiTheme="minorHAnsi" w:hAnsiTheme="minorHAnsi" w:cstheme="minorHAnsi"/>
        </w:rPr>
        <w:t>so as to</w:t>
      </w:r>
      <w:r w:rsidR="006E6E07" w:rsidRPr="00091A6F">
        <w:rPr>
          <w:rFonts w:asciiTheme="minorHAnsi" w:hAnsiTheme="minorHAnsi" w:cstheme="minorHAnsi"/>
        </w:rPr>
        <w:t xml:space="preserve"> ensure the</w:t>
      </w:r>
      <w:r w:rsidRPr="00091A6F">
        <w:rPr>
          <w:rFonts w:asciiTheme="minorHAnsi" w:hAnsiTheme="minorHAnsi" w:cstheme="minorHAnsi"/>
        </w:rPr>
        <w:t xml:space="preserve"> use </w:t>
      </w:r>
      <w:r w:rsidR="006E6E07" w:rsidRPr="00091A6F">
        <w:rPr>
          <w:rFonts w:asciiTheme="minorHAnsi" w:hAnsiTheme="minorHAnsi" w:cstheme="minorHAnsi"/>
        </w:rPr>
        <w:t xml:space="preserve">of </w:t>
      </w:r>
      <w:r w:rsidRPr="00091A6F">
        <w:rPr>
          <w:rFonts w:asciiTheme="minorHAnsi" w:hAnsiTheme="minorHAnsi" w:cstheme="minorHAnsi"/>
          <w:u w:val="single"/>
        </w:rPr>
        <w:t>all</w:t>
      </w:r>
      <w:r w:rsidRPr="00091A6F">
        <w:rPr>
          <w:rFonts w:asciiTheme="minorHAnsi" w:hAnsiTheme="minorHAnsi" w:cstheme="minorHAnsi"/>
        </w:rPr>
        <w:t xml:space="preserve"> the units to which they deem</w:t>
      </w:r>
      <w:r w:rsidR="006C4118" w:rsidRPr="00091A6F">
        <w:rPr>
          <w:rFonts w:asciiTheme="minorHAnsi" w:hAnsiTheme="minorHAnsi" w:cstheme="minorHAnsi"/>
        </w:rPr>
        <w:t xml:space="preserve"> themselves </w:t>
      </w:r>
      <w:r w:rsidRPr="00091A6F">
        <w:rPr>
          <w:rFonts w:asciiTheme="minorHAnsi" w:hAnsiTheme="minorHAnsi" w:cstheme="minorHAnsi"/>
        </w:rPr>
        <w:t>to be entitled.</w:t>
      </w:r>
    </w:p>
    <w:p w14:paraId="4E3FEE54" w14:textId="7CC93972" w:rsidR="00126780" w:rsidRPr="00091A6F" w:rsidRDefault="0088573B" w:rsidP="00091A6F">
      <w:pPr>
        <w:pStyle w:val="Normal1"/>
        <w:numPr>
          <w:ilvl w:val="0"/>
          <w:numId w:val="33"/>
        </w:numPr>
        <w:tabs>
          <w:tab w:val="clear" w:pos="567"/>
          <w:tab w:val="left" w:pos="1418"/>
        </w:tabs>
        <w:snapToGrid w:val="0"/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091A6F">
        <w:rPr>
          <w:rFonts w:asciiTheme="minorHAnsi" w:hAnsiTheme="minorHAnsi" w:cstheme="minorHAnsi"/>
        </w:rPr>
        <w:t xml:space="preserve">If Council elects to implement a new breakpoint, GSO </w:t>
      </w:r>
      <w:r w:rsidR="00810ED7" w:rsidRPr="00091A6F">
        <w:rPr>
          <w:rFonts w:asciiTheme="minorHAnsi" w:hAnsiTheme="minorHAnsi" w:cstheme="minorHAnsi"/>
        </w:rPr>
        <w:t xml:space="preserve">operators </w:t>
      </w:r>
      <w:r w:rsidRPr="00091A6F">
        <w:rPr>
          <w:rFonts w:asciiTheme="minorHAnsi" w:hAnsiTheme="minorHAnsi" w:cstheme="minorHAnsi"/>
        </w:rPr>
        <w:t>who accidentally create and submit a</w:t>
      </w:r>
      <w:r w:rsidR="00C00393" w:rsidRPr="00091A6F">
        <w:rPr>
          <w:rFonts w:asciiTheme="minorHAnsi" w:hAnsiTheme="minorHAnsi" w:cstheme="minorHAnsi"/>
        </w:rPr>
        <w:t>n overly</w:t>
      </w:r>
      <w:r w:rsidRPr="00091A6F">
        <w:rPr>
          <w:rFonts w:asciiTheme="minorHAnsi" w:hAnsiTheme="minorHAnsi" w:cstheme="minorHAnsi"/>
        </w:rPr>
        <w:t xml:space="preserve"> large fil</w:t>
      </w:r>
      <w:r w:rsidR="00C00393" w:rsidRPr="00091A6F">
        <w:rPr>
          <w:rFonts w:asciiTheme="minorHAnsi" w:hAnsiTheme="minorHAnsi" w:cstheme="minorHAnsi"/>
        </w:rPr>
        <w:t>i</w:t>
      </w:r>
      <w:r w:rsidRPr="00091A6F">
        <w:rPr>
          <w:rFonts w:asciiTheme="minorHAnsi" w:hAnsiTheme="minorHAnsi" w:cstheme="minorHAnsi"/>
        </w:rPr>
        <w:t xml:space="preserve">ng </w:t>
      </w:r>
      <w:r w:rsidR="00810ED7" w:rsidRPr="00091A6F">
        <w:rPr>
          <w:rFonts w:asciiTheme="minorHAnsi" w:hAnsiTheme="minorHAnsi" w:cstheme="minorHAnsi"/>
        </w:rPr>
        <w:t>may be unable or unwilling to pay</w:t>
      </w:r>
      <w:r w:rsidR="00C00393" w:rsidRPr="00091A6F">
        <w:rPr>
          <w:rFonts w:asciiTheme="minorHAnsi" w:hAnsiTheme="minorHAnsi" w:cstheme="minorHAnsi"/>
        </w:rPr>
        <w:t xml:space="preserve"> the</w:t>
      </w:r>
      <w:r w:rsidR="00810ED7" w:rsidRPr="00091A6F">
        <w:rPr>
          <w:rFonts w:asciiTheme="minorHAnsi" w:hAnsiTheme="minorHAnsi" w:cstheme="minorHAnsi"/>
        </w:rPr>
        <w:t xml:space="preserve"> exceptionally high cost recovery fees </w:t>
      </w:r>
      <w:r w:rsidRPr="00091A6F">
        <w:rPr>
          <w:rFonts w:asciiTheme="minorHAnsi" w:hAnsiTheme="minorHAnsi" w:cstheme="minorHAnsi"/>
        </w:rPr>
        <w:t>(</w:t>
      </w:r>
      <w:r w:rsidR="006C4118" w:rsidRPr="00091A6F">
        <w:rPr>
          <w:rFonts w:asciiTheme="minorHAnsi" w:hAnsiTheme="minorHAnsi" w:cstheme="minorHAnsi"/>
        </w:rPr>
        <w:t>“</w:t>
      </w:r>
      <w:r w:rsidRPr="00091A6F">
        <w:rPr>
          <w:rFonts w:asciiTheme="minorHAnsi" w:hAnsiTheme="minorHAnsi" w:cstheme="minorHAnsi"/>
        </w:rPr>
        <w:t>bill</w:t>
      </w:r>
      <w:r w:rsidR="00E60068" w:rsidRPr="00091A6F">
        <w:rPr>
          <w:rFonts w:asciiTheme="minorHAnsi" w:hAnsiTheme="minorHAnsi" w:cstheme="minorHAnsi"/>
        </w:rPr>
        <w:t xml:space="preserve"> shock”)</w:t>
      </w:r>
      <w:r w:rsidR="00C00393" w:rsidRPr="00091A6F">
        <w:rPr>
          <w:rFonts w:asciiTheme="minorHAnsi" w:hAnsiTheme="minorHAnsi" w:cstheme="minorHAnsi"/>
        </w:rPr>
        <w:t xml:space="preserve"> that result</w:t>
      </w:r>
      <w:r w:rsidR="00810ED7" w:rsidRPr="00091A6F">
        <w:rPr>
          <w:rFonts w:asciiTheme="minorHAnsi" w:hAnsiTheme="minorHAnsi" w:cstheme="minorHAnsi"/>
        </w:rPr>
        <w:t>.</w:t>
      </w:r>
    </w:p>
    <w:p w14:paraId="41195ABA" w14:textId="74C0B212" w:rsidR="00810ED7" w:rsidRPr="00091A6F" w:rsidRDefault="00810ED7" w:rsidP="00091A6F">
      <w:pPr>
        <w:pStyle w:val="Normal1"/>
        <w:tabs>
          <w:tab w:val="clear" w:pos="567"/>
          <w:tab w:val="left" w:pos="360"/>
          <w:tab w:val="left" w:pos="1418"/>
        </w:tabs>
        <w:snapToGrid w:val="0"/>
        <w:spacing w:before="360" w:after="120"/>
        <w:jc w:val="both"/>
        <w:rPr>
          <w:rFonts w:asciiTheme="minorHAnsi" w:hAnsiTheme="minorHAnsi" w:cstheme="minorHAnsi"/>
        </w:rPr>
      </w:pPr>
      <w:r w:rsidRPr="00091A6F">
        <w:rPr>
          <w:rFonts w:asciiTheme="minorHAnsi" w:hAnsiTheme="minorHAnsi" w:cstheme="minorHAnsi"/>
        </w:rPr>
        <w:t xml:space="preserve">Given the </w:t>
      </w:r>
      <w:r w:rsidR="008A7BE3" w:rsidRPr="00091A6F">
        <w:rPr>
          <w:rFonts w:asciiTheme="minorHAnsi" w:hAnsiTheme="minorHAnsi" w:cstheme="minorHAnsi"/>
        </w:rPr>
        <w:t>facts put forward</w:t>
      </w:r>
      <w:r w:rsidRPr="00091A6F">
        <w:rPr>
          <w:rFonts w:asciiTheme="minorHAnsi" w:hAnsiTheme="minorHAnsi" w:cstheme="minorHAnsi"/>
        </w:rPr>
        <w:t xml:space="preserve">, the UAE supports the following steps </w:t>
      </w:r>
      <w:r w:rsidR="00C00393" w:rsidRPr="00091A6F">
        <w:rPr>
          <w:rFonts w:asciiTheme="minorHAnsi" w:hAnsiTheme="minorHAnsi" w:cstheme="minorHAnsi"/>
        </w:rPr>
        <w:t xml:space="preserve">as a mechanism </w:t>
      </w:r>
      <w:r w:rsidRPr="00091A6F">
        <w:rPr>
          <w:rFonts w:asciiTheme="minorHAnsi" w:hAnsiTheme="minorHAnsi" w:cstheme="minorHAnsi"/>
        </w:rPr>
        <w:t xml:space="preserve">to assist in </w:t>
      </w:r>
      <w:r w:rsidR="00C00393" w:rsidRPr="00091A6F">
        <w:rPr>
          <w:rFonts w:asciiTheme="minorHAnsi" w:hAnsiTheme="minorHAnsi" w:cstheme="minorHAnsi"/>
        </w:rPr>
        <w:t xml:space="preserve">limiting </w:t>
      </w:r>
      <w:r w:rsidRPr="00091A6F">
        <w:rPr>
          <w:rFonts w:asciiTheme="minorHAnsi" w:hAnsiTheme="minorHAnsi" w:cstheme="minorHAnsi"/>
        </w:rPr>
        <w:t>the submission of GSO filings containing high numbers of units:</w:t>
      </w:r>
    </w:p>
    <w:p w14:paraId="08F1FD79" w14:textId="4910F57C" w:rsidR="00810ED7" w:rsidRPr="00091A6F" w:rsidRDefault="00810ED7" w:rsidP="00091A6F">
      <w:pPr>
        <w:pStyle w:val="Normal1"/>
        <w:numPr>
          <w:ilvl w:val="0"/>
          <w:numId w:val="33"/>
        </w:numPr>
        <w:tabs>
          <w:tab w:val="clear" w:pos="567"/>
          <w:tab w:val="left" w:pos="1418"/>
        </w:tabs>
        <w:snapToGrid w:val="0"/>
        <w:spacing w:after="120"/>
        <w:ind w:left="450" w:hanging="450"/>
        <w:jc w:val="both"/>
        <w:rPr>
          <w:rFonts w:asciiTheme="minorHAnsi" w:hAnsiTheme="minorHAnsi" w:cstheme="minorHAnsi"/>
        </w:rPr>
      </w:pPr>
      <w:r w:rsidRPr="00091A6F">
        <w:rPr>
          <w:rFonts w:asciiTheme="minorHAnsi" w:hAnsiTheme="minorHAnsi" w:cstheme="minorHAnsi"/>
        </w:rPr>
        <w:t xml:space="preserve">Training via the WRS </w:t>
      </w:r>
      <w:r w:rsidR="006C4118" w:rsidRPr="00091A6F">
        <w:rPr>
          <w:rFonts w:asciiTheme="minorHAnsi" w:hAnsiTheme="minorHAnsi" w:cstheme="minorHAnsi"/>
        </w:rPr>
        <w:t xml:space="preserve">or RRS </w:t>
      </w:r>
      <w:r w:rsidRPr="00091A6F">
        <w:rPr>
          <w:rFonts w:asciiTheme="minorHAnsi" w:hAnsiTheme="minorHAnsi" w:cstheme="minorHAnsi"/>
        </w:rPr>
        <w:t xml:space="preserve">on the </w:t>
      </w:r>
      <w:r w:rsidR="00303388" w:rsidRPr="00091A6F">
        <w:rPr>
          <w:rFonts w:asciiTheme="minorHAnsi" w:hAnsiTheme="minorHAnsi" w:cstheme="minorHAnsi"/>
        </w:rPr>
        <w:t xml:space="preserve">efficient </w:t>
      </w:r>
      <w:r w:rsidRPr="00091A6F">
        <w:rPr>
          <w:rFonts w:asciiTheme="minorHAnsi" w:hAnsiTheme="minorHAnsi" w:cstheme="minorHAnsi"/>
        </w:rPr>
        <w:t xml:space="preserve">design of </w:t>
      </w:r>
      <w:r w:rsidR="00C00393" w:rsidRPr="00091A6F">
        <w:rPr>
          <w:rFonts w:asciiTheme="minorHAnsi" w:hAnsiTheme="minorHAnsi" w:cstheme="minorHAnsi"/>
        </w:rPr>
        <w:t xml:space="preserve">GSO network </w:t>
      </w:r>
      <w:r w:rsidRPr="00091A6F">
        <w:rPr>
          <w:rFonts w:asciiTheme="minorHAnsi" w:hAnsiTheme="minorHAnsi" w:cstheme="minorHAnsi"/>
        </w:rPr>
        <w:t>filings that minimize the number of units</w:t>
      </w:r>
      <w:r w:rsidR="00E60068" w:rsidRPr="00091A6F">
        <w:rPr>
          <w:rFonts w:asciiTheme="minorHAnsi" w:hAnsiTheme="minorHAnsi" w:cstheme="minorHAnsi"/>
        </w:rPr>
        <w:t xml:space="preserve"> while appropriately capturing a satellite network design</w:t>
      </w:r>
      <w:r w:rsidR="001369A5" w:rsidRPr="00091A6F">
        <w:rPr>
          <w:rFonts w:asciiTheme="minorHAnsi" w:hAnsiTheme="minorHAnsi" w:cstheme="minorHAnsi"/>
        </w:rPr>
        <w:t>.</w:t>
      </w:r>
    </w:p>
    <w:p w14:paraId="13D1BB7A" w14:textId="2AA66BEB" w:rsidR="00810ED7" w:rsidRPr="00091A6F" w:rsidRDefault="00810ED7" w:rsidP="00091A6F">
      <w:pPr>
        <w:pStyle w:val="Normal1"/>
        <w:numPr>
          <w:ilvl w:val="0"/>
          <w:numId w:val="33"/>
        </w:numPr>
        <w:tabs>
          <w:tab w:val="clear" w:pos="567"/>
          <w:tab w:val="left" w:pos="1418"/>
        </w:tabs>
        <w:snapToGrid w:val="0"/>
        <w:spacing w:after="120"/>
        <w:ind w:left="450" w:hanging="450"/>
        <w:jc w:val="both"/>
        <w:rPr>
          <w:rFonts w:asciiTheme="minorHAnsi" w:hAnsiTheme="minorHAnsi" w:cstheme="minorHAnsi"/>
        </w:rPr>
      </w:pPr>
      <w:r w:rsidRPr="00091A6F">
        <w:rPr>
          <w:rFonts w:asciiTheme="minorHAnsi" w:hAnsiTheme="minorHAnsi" w:cstheme="minorHAnsi"/>
        </w:rPr>
        <w:t xml:space="preserve">A software modification to the ITU’s Space Validation software that </w:t>
      </w:r>
      <w:r w:rsidR="005C7568" w:rsidRPr="00091A6F">
        <w:rPr>
          <w:rFonts w:asciiTheme="minorHAnsi" w:hAnsiTheme="minorHAnsi" w:cstheme="minorHAnsi"/>
        </w:rPr>
        <w:t xml:space="preserve">provides a caution message for </w:t>
      </w:r>
      <w:r w:rsidRPr="00091A6F">
        <w:rPr>
          <w:rFonts w:asciiTheme="minorHAnsi" w:hAnsiTheme="minorHAnsi" w:cstheme="minorHAnsi"/>
        </w:rPr>
        <w:t>GSO fil</w:t>
      </w:r>
      <w:r w:rsidR="00E60068" w:rsidRPr="00091A6F">
        <w:rPr>
          <w:rFonts w:asciiTheme="minorHAnsi" w:hAnsiTheme="minorHAnsi" w:cstheme="minorHAnsi"/>
        </w:rPr>
        <w:t>i</w:t>
      </w:r>
      <w:r w:rsidRPr="00091A6F">
        <w:rPr>
          <w:rFonts w:asciiTheme="minorHAnsi" w:hAnsiTheme="minorHAnsi" w:cstheme="minorHAnsi"/>
        </w:rPr>
        <w:t>ngs with exceptionally high numbers of un</w:t>
      </w:r>
      <w:r w:rsidR="00E60068" w:rsidRPr="00091A6F">
        <w:rPr>
          <w:rFonts w:asciiTheme="minorHAnsi" w:hAnsiTheme="minorHAnsi" w:cstheme="minorHAnsi"/>
        </w:rPr>
        <w:t>it</w:t>
      </w:r>
      <w:r w:rsidRPr="00091A6F">
        <w:rPr>
          <w:rFonts w:asciiTheme="minorHAnsi" w:hAnsiTheme="minorHAnsi" w:cstheme="minorHAnsi"/>
        </w:rPr>
        <w:t>s</w:t>
      </w:r>
      <w:r w:rsidR="001369A5" w:rsidRPr="00091A6F">
        <w:rPr>
          <w:rFonts w:asciiTheme="minorHAnsi" w:hAnsiTheme="minorHAnsi" w:cstheme="minorHAnsi"/>
        </w:rPr>
        <w:t>.</w:t>
      </w:r>
    </w:p>
    <w:p w14:paraId="3FDCC246" w14:textId="2DEAF58B" w:rsidR="00203445" w:rsidRPr="00091A6F" w:rsidRDefault="00810ED7" w:rsidP="0065149D">
      <w:pPr>
        <w:pStyle w:val="Normal1"/>
        <w:numPr>
          <w:ilvl w:val="0"/>
          <w:numId w:val="33"/>
        </w:numPr>
        <w:tabs>
          <w:tab w:val="clear" w:pos="567"/>
          <w:tab w:val="left" w:pos="1418"/>
        </w:tabs>
        <w:snapToGrid w:val="0"/>
        <w:spacing w:after="120"/>
        <w:ind w:left="450" w:hanging="450"/>
        <w:jc w:val="both"/>
        <w:rPr>
          <w:rFonts w:asciiTheme="minorHAnsi" w:hAnsiTheme="minorHAnsi" w:cstheme="minorHAnsi"/>
        </w:rPr>
      </w:pPr>
      <w:r w:rsidRPr="00091A6F">
        <w:rPr>
          <w:rFonts w:asciiTheme="minorHAnsi" w:hAnsiTheme="minorHAnsi" w:cstheme="minorHAnsi"/>
        </w:rPr>
        <w:t xml:space="preserve">An invitation by the BR via correspondence to </w:t>
      </w:r>
      <w:r w:rsidR="00303388" w:rsidRPr="00091A6F">
        <w:rPr>
          <w:rFonts w:asciiTheme="minorHAnsi" w:hAnsiTheme="minorHAnsi" w:cstheme="minorHAnsi"/>
        </w:rPr>
        <w:t>any</w:t>
      </w:r>
      <w:r w:rsidRPr="00091A6F">
        <w:rPr>
          <w:rFonts w:asciiTheme="minorHAnsi" w:hAnsiTheme="minorHAnsi" w:cstheme="minorHAnsi"/>
        </w:rPr>
        <w:t xml:space="preserve"> Administration submitting a GSO filing with an exceptional number of units to </w:t>
      </w:r>
      <w:r w:rsidR="005C7568" w:rsidRPr="00091A6F">
        <w:rPr>
          <w:rFonts w:asciiTheme="minorHAnsi" w:hAnsiTheme="minorHAnsi" w:cstheme="minorHAnsi"/>
        </w:rPr>
        <w:t xml:space="preserve">voluntarily </w:t>
      </w:r>
      <w:r w:rsidRPr="00091A6F">
        <w:rPr>
          <w:rFonts w:asciiTheme="minorHAnsi" w:hAnsiTheme="minorHAnsi" w:cstheme="minorHAnsi"/>
        </w:rPr>
        <w:t>revise its filing.</w:t>
      </w:r>
      <w:r w:rsidR="00303388" w:rsidRPr="00091A6F">
        <w:rPr>
          <w:rFonts w:asciiTheme="minorHAnsi" w:hAnsiTheme="minorHAnsi" w:cstheme="minorHAnsi"/>
        </w:rPr>
        <w:t xml:space="preserve"> (Doing so should not compromise the original date of receipt.)</w:t>
      </w:r>
    </w:p>
    <w:p w14:paraId="2E6A0C79" w14:textId="29DAA5AC" w:rsidR="008A7BE3" w:rsidRPr="00091A6F" w:rsidRDefault="006E6E07" w:rsidP="0065149D">
      <w:pPr>
        <w:pStyle w:val="Normal1"/>
        <w:numPr>
          <w:ilvl w:val="0"/>
          <w:numId w:val="33"/>
        </w:numPr>
        <w:tabs>
          <w:tab w:val="clear" w:pos="567"/>
          <w:tab w:val="left" w:pos="1418"/>
        </w:tabs>
        <w:snapToGrid w:val="0"/>
        <w:spacing w:after="120"/>
        <w:ind w:left="450" w:hanging="450"/>
        <w:jc w:val="both"/>
        <w:rPr>
          <w:rFonts w:asciiTheme="minorHAnsi" w:hAnsiTheme="minorHAnsi" w:cstheme="minorHAnsi"/>
        </w:rPr>
      </w:pPr>
      <w:r w:rsidRPr="00091A6F">
        <w:rPr>
          <w:rFonts w:asciiTheme="minorHAnsi" w:hAnsiTheme="minorHAnsi" w:cstheme="minorHAnsi"/>
        </w:rPr>
        <w:t xml:space="preserve">If the above </w:t>
      </w:r>
      <w:r w:rsidR="00303388" w:rsidRPr="00091A6F">
        <w:rPr>
          <w:rFonts w:asciiTheme="minorHAnsi" w:hAnsiTheme="minorHAnsi" w:cstheme="minorHAnsi"/>
        </w:rPr>
        <w:t xml:space="preserve">steps </w:t>
      </w:r>
      <w:r w:rsidRPr="00091A6F">
        <w:rPr>
          <w:rFonts w:asciiTheme="minorHAnsi" w:hAnsiTheme="minorHAnsi" w:cstheme="minorHAnsi"/>
        </w:rPr>
        <w:t xml:space="preserve">are unsuccessful, </w:t>
      </w:r>
      <w:r w:rsidR="00303388" w:rsidRPr="00091A6F">
        <w:rPr>
          <w:rFonts w:asciiTheme="minorHAnsi" w:hAnsiTheme="minorHAnsi" w:cstheme="minorHAnsi"/>
        </w:rPr>
        <w:t xml:space="preserve">the BR could consider placing </w:t>
      </w:r>
      <w:r w:rsidRPr="00091A6F">
        <w:rPr>
          <w:rFonts w:asciiTheme="minorHAnsi" w:hAnsiTheme="minorHAnsi" w:cstheme="minorHAnsi"/>
        </w:rPr>
        <w:t>a</w:t>
      </w:r>
      <w:r w:rsidR="008A7BE3" w:rsidRPr="00091A6F">
        <w:rPr>
          <w:rFonts w:asciiTheme="minorHAnsi" w:hAnsiTheme="minorHAnsi" w:cstheme="minorHAnsi"/>
        </w:rPr>
        <w:t xml:space="preserve"> cap </w:t>
      </w:r>
      <w:r w:rsidRPr="00091A6F">
        <w:rPr>
          <w:rFonts w:asciiTheme="minorHAnsi" w:hAnsiTheme="minorHAnsi" w:cstheme="minorHAnsi"/>
        </w:rPr>
        <w:t xml:space="preserve">limiting </w:t>
      </w:r>
      <w:r w:rsidR="008A7BE3" w:rsidRPr="00091A6F">
        <w:rPr>
          <w:rFonts w:asciiTheme="minorHAnsi" w:hAnsiTheme="minorHAnsi" w:cstheme="minorHAnsi"/>
        </w:rPr>
        <w:t>the number of units that can be included in a single filing. (This would be no different than limits on test points in AP30/30A/30B or the number of contour points in GXT files).</w:t>
      </w:r>
    </w:p>
    <w:p w14:paraId="5DED98C8" w14:textId="77777777" w:rsidR="008A7BE3" w:rsidRPr="00091A6F" w:rsidRDefault="008A7BE3" w:rsidP="00091A6F">
      <w:pPr>
        <w:pStyle w:val="Normal1"/>
        <w:tabs>
          <w:tab w:val="left" w:pos="1418"/>
        </w:tabs>
        <w:snapToGrid w:val="0"/>
        <w:spacing w:before="600" w:after="120"/>
        <w:jc w:val="both"/>
        <w:rPr>
          <w:rFonts w:asciiTheme="minorHAnsi" w:hAnsiTheme="minorHAnsi" w:cstheme="minorHAnsi"/>
          <w:b/>
        </w:rPr>
      </w:pPr>
      <w:r w:rsidRPr="00091A6F">
        <w:rPr>
          <w:rFonts w:asciiTheme="minorHAnsi" w:hAnsiTheme="minorHAnsi" w:cstheme="minorHAnsi"/>
          <w:b/>
        </w:rPr>
        <w:t>Summary</w:t>
      </w:r>
    </w:p>
    <w:p w14:paraId="167865D2" w14:textId="13A95981" w:rsidR="00D95145" w:rsidRDefault="008A7BE3" w:rsidP="0065149D">
      <w:pPr>
        <w:pStyle w:val="Normal1"/>
        <w:tabs>
          <w:tab w:val="left" w:pos="1418"/>
        </w:tabs>
        <w:snapToGrid w:val="0"/>
        <w:spacing w:after="120"/>
        <w:jc w:val="both"/>
        <w:rPr>
          <w:rFonts w:asciiTheme="minorHAnsi" w:hAnsiTheme="minorHAnsi" w:cstheme="minorHAnsi"/>
          <w:i/>
        </w:rPr>
      </w:pPr>
      <w:r w:rsidRPr="00091A6F">
        <w:rPr>
          <w:rFonts w:asciiTheme="minorHAnsi" w:hAnsiTheme="minorHAnsi" w:cstheme="minorHAnsi"/>
          <w:i/>
        </w:rPr>
        <w:t>The UAE is of the view that GSO</w:t>
      </w:r>
      <w:r w:rsidR="00C32CFC" w:rsidRPr="00091A6F">
        <w:rPr>
          <w:rFonts w:asciiTheme="minorHAnsi" w:hAnsiTheme="minorHAnsi" w:cstheme="minorHAnsi"/>
          <w:i/>
        </w:rPr>
        <w:t xml:space="preserve"> networks can be reasonably </w:t>
      </w:r>
      <w:r w:rsidR="00303388" w:rsidRPr="00091A6F">
        <w:rPr>
          <w:rFonts w:asciiTheme="minorHAnsi" w:hAnsiTheme="minorHAnsi" w:cstheme="minorHAnsi"/>
          <w:i/>
        </w:rPr>
        <w:t xml:space="preserve">described </w:t>
      </w:r>
      <w:r w:rsidR="00C32CFC" w:rsidRPr="00091A6F">
        <w:rPr>
          <w:rFonts w:asciiTheme="minorHAnsi" w:hAnsiTheme="minorHAnsi" w:cstheme="minorHAnsi"/>
          <w:i/>
        </w:rPr>
        <w:t xml:space="preserve">with a moderate number of units and that </w:t>
      </w:r>
      <w:r w:rsidRPr="00091A6F">
        <w:rPr>
          <w:rFonts w:asciiTheme="minorHAnsi" w:hAnsiTheme="minorHAnsi" w:cstheme="minorHAnsi"/>
          <w:i/>
        </w:rPr>
        <w:t xml:space="preserve">filings with large numbers of units </w:t>
      </w:r>
      <w:r w:rsidR="00303388" w:rsidRPr="00091A6F">
        <w:rPr>
          <w:rFonts w:asciiTheme="minorHAnsi" w:hAnsiTheme="minorHAnsi" w:cstheme="minorHAnsi"/>
          <w:i/>
        </w:rPr>
        <w:t>suggest a poorly designed filing</w:t>
      </w:r>
      <w:r w:rsidR="00C32CFC" w:rsidRPr="00091A6F">
        <w:rPr>
          <w:rFonts w:asciiTheme="minorHAnsi" w:hAnsiTheme="minorHAnsi" w:cstheme="minorHAnsi"/>
          <w:i/>
        </w:rPr>
        <w:t xml:space="preserve">.  Imposing a new breakpoint will not remedy the </w:t>
      </w:r>
      <w:r w:rsidR="00F92832" w:rsidRPr="00091A6F">
        <w:rPr>
          <w:rFonts w:asciiTheme="minorHAnsi" w:hAnsiTheme="minorHAnsi" w:cstheme="minorHAnsi"/>
          <w:i/>
        </w:rPr>
        <w:t>problem</w:t>
      </w:r>
      <w:r w:rsidR="00C32CFC" w:rsidRPr="00091A6F">
        <w:rPr>
          <w:rFonts w:asciiTheme="minorHAnsi" w:hAnsiTheme="minorHAnsi" w:cstheme="minorHAnsi"/>
          <w:i/>
        </w:rPr>
        <w:t xml:space="preserve">, as the authors </w:t>
      </w:r>
      <w:r w:rsidR="009E2FB6" w:rsidRPr="00091A6F">
        <w:rPr>
          <w:rFonts w:asciiTheme="minorHAnsi" w:hAnsiTheme="minorHAnsi" w:cstheme="minorHAnsi"/>
          <w:i/>
        </w:rPr>
        <w:t xml:space="preserve">of the filing </w:t>
      </w:r>
      <w:r w:rsidR="00C32CFC" w:rsidRPr="00091A6F">
        <w:rPr>
          <w:rFonts w:asciiTheme="minorHAnsi" w:hAnsiTheme="minorHAnsi" w:cstheme="minorHAnsi"/>
          <w:i/>
        </w:rPr>
        <w:t>will not be aware of the issue until they receive a substantially higher bill from the ITU than expected</w:t>
      </w:r>
      <w:r w:rsidR="009E2FB6" w:rsidRPr="00091A6F">
        <w:rPr>
          <w:rFonts w:asciiTheme="minorHAnsi" w:hAnsiTheme="minorHAnsi" w:cstheme="minorHAnsi"/>
          <w:i/>
        </w:rPr>
        <w:t>.</w:t>
      </w:r>
      <w:r w:rsidR="00C32CFC" w:rsidRPr="00091A6F">
        <w:rPr>
          <w:rFonts w:asciiTheme="minorHAnsi" w:hAnsiTheme="minorHAnsi" w:cstheme="minorHAnsi"/>
          <w:i/>
        </w:rPr>
        <w:t xml:space="preserve">  Instead</w:t>
      </w:r>
      <w:r w:rsidR="009E2FB6" w:rsidRPr="00091A6F">
        <w:rPr>
          <w:rFonts w:asciiTheme="minorHAnsi" w:hAnsiTheme="minorHAnsi" w:cstheme="minorHAnsi"/>
          <w:i/>
        </w:rPr>
        <w:t xml:space="preserve"> of an additional breakpoint</w:t>
      </w:r>
      <w:r w:rsidR="00C32CFC" w:rsidRPr="00091A6F">
        <w:rPr>
          <w:rFonts w:asciiTheme="minorHAnsi" w:hAnsiTheme="minorHAnsi" w:cstheme="minorHAnsi"/>
          <w:i/>
        </w:rPr>
        <w:t xml:space="preserve">, the UAE supports </w:t>
      </w:r>
      <w:r w:rsidR="009E2FB6" w:rsidRPr="00091A6F">
        <w:rPr>
          <w:rFonts w:asciiTheme="minorHAnsi" w:hAnsiTheme="minorHAnsi" w:cstheme="minorHAnsi"/>
          <w:i/>
        </w:rPr>
        <w:t xml:space="preserve">increasing </w:t>
      </w:r>
      <w:r w:rsidR="00C32CFC" w:rsidRPr="00091A6F">
        <w:rPr>
          <w:rFonts w:asciiTheme="minorHAnsi" w:hAnsiTheme="minorHAnsi" w:cstheme="minorHAnsi"/>
          <w:i/>
        </w:rPr>
        <w:t>awareness</w:t>
      </w:r>
      <w:r w:rsidR="00F92832" w:rsidRPr="00091A6F">
        <w:rPr>
          <w:rFonts w:asciiTheme="minorHAnsi" w:hAnsiTheme="minorHAnsi" w:cstheme="minorHAnsi"/>
          <w:i/>
        </w:rPr>
        <w:t xml:space="preserve"> of deficient filings</w:t>
      </w:r>
      <w:r w:rsidR="00C32CFC" w:rsidRPr="00091A6F">
        <w:rPr>
          <w:rFonts w:asciiTheme="minorHAnsi" w:hAnsiTheme="minorHAnsi" w:cstheme="minorHAnsi"/>
          <w:i/>
        </w:rPr>
        <w:t xml:space="preserve"> </w:t>
      </w:r>
      <w:r w:rsidR="009E2FB6" w:rsidRPr="00091A6F">
        <w:rPr>
          <w:rFonts w:asciiTheme="minorHAnsi" w:hAnsiTheme="minorHAnsi" w:cstheme="minorHAnsi"/>
          <w:i/>
        </w:rPr>
        <w:t xml:space="preserve">by </w:t>
      </w:r>
      <w:r w:rsidR="00F92832" w:rsidRPr="00091A6F">
        <w:rPr>
          <w:rFonts w:asciiTheme="minorHAnsi" w:hAnsiTheme="minorHAnsi" w:cstheme="minorHAnsi"/>
          <w:i/>
        </w:rPr>
        <w:t xml:space="preserve">means </w:t>
      </w:r>
      <w:r w:rsidR="00F92832" w:rsidRPr="00091A6F">
        <w:rPr>
          <w:rFonts w:asciiTheme="minorHAnsi" w:hAnsiTheme="minorHAnsi" w:cstheme="minorHAnsi"/>
          <w:i/>
        </w:rPr>
        <w:lastRenderedPageBreak/>
        <w:t xml:space="preserve">such as </w:t>
      </w:r>
      <w:r w:rsidR="009E2FB6" w:rsidRPr="00091A6F">
        <w:rPr>
          <w:rFonts w:asciiTheme="minorHAnsi" w:hAnsiTheme="minorHAnsi" w:cstheme="minorHAnsi"/>
          <w:i/>
        </w:rPr>
        <w:t xml:space="preserve">error messages in </w:t>
      </w:r>
      <w:proofErr w:type="spellStart"/>
      <w:r w:rsidR="00C32CFC" w:rsidRPr="00091A6F">
        <w:rPr>
          <w:rFonts w:asciiTheme="minorHAnsi" w:hAnsiTheme="minorHAnsi" w:cstheme="minorHAnsi"/>
          <w:i/>
        </w:rPr>
        <w:t>SpaceVal</w:t>
      </w:r>
      <w:proofErr w:type="spellEnd"/>
      <w:r w:rsidR="00C32CFC" w:rsidRPr="00091A6F">
        <w:rPr>
          <w:rFonts w:asciiTheme="minorHAnsi" w:hAnsiTheme="minorHAnsi" w:cstheme="minorHAnsi"/>
          <w:i/>
        </w:rPr>
        <w:t xml:space="preserve"> </w:t>
      </w:r>
      <w:r w:rsidR="00F92832" w:rsidRPr="00091A6F">
        <w:rPr>
          <w:rFonts w:asciiTheme="minorHAnsi" w:hAnsiTheme="minorHAnsi" w:cstheme="minorHAnsi"/>
          <w:i/>
        </w:rPr>
        <w:t xml:space="preserve">or through heightened education at the </w:t>
      </w:r>
      <w:r w:rsidR="00C32CFC" w:rsidRPr="00091A6F">
        <w:rPr>
          <w:rFonts w:asciiTheme="minorHAnsi" w:hAnsiTheme="minorHAnsi" w:cstheme="minorHAnsi"/>
          <w:i/>
        </w:rPr>
        <w:t>WRS</w:t>
      </w:r>
      <w:r w:rsidR="00F92832" w:rsidRPr="00091A6F">
        <w:rPr>
          <w:rFonts w:asciiTheme="minorHAnsi" w:hAnsiTheme="minorHAnsi" w:cstheme="minorHAnsi"/>
          <w:i/>
        </w:rPr>
        <w:t xml:space="preserve"> or RRS</w:t>
      </w:r>
      <w:r w:rsidR="00C32CFC" w:rsidRPr="00091A6F">
        <w:rPr>
          <w:rFonts w:asciiTheme="minorHAnsi" w:hAnsiTheme="minorHAnsi" w:cstheme="minorHAnsi"/>
          <w:i/>
        </w:rPr>
        <w:t xml:space="preserve">.  The BR should also be encouraged and empowered to communicate directly with </w:t>
      </w:r>
      <w:r w:rsidR="009E2FB6" w:rsidRPr="00091A6F">
        <w:rPr>
          <w:rFonts w:asciiTheme="minorHAnsi" w:hAnsiTheme="minorHAnsi" w:cstheme="minorHAnsi"/>
          <w:i/>
        </w:rPr>
        <w:t>Administrations submitting</w:t>
      </w:r>
      <w:r w:rsidR="00F92832" w:rsidRPr="00091A6F">
        <w:rPr>
          <w:rFonts w:asciiTheme="minorHAnsi" w:hAnsiTheme="minorHAnsi" w:cstheme="minorHAnsi"/>
          <w:i/>
        </w:rPr>
        <w:t xml:space="preserve"> poorly crafted filings </w:t>
      </w:r>
      <w:r w:rsidR="009E2FB6" w:rsidRPr="00091A6F">
        <w:rPr>
          <w:rFonts w:asciiTheme="minorHAnsi" w:hAnsiTheme="minorHAnsi" w:cstheme="minorHAnsi"/>
          <w:i/>
        </w:rPr>
        <w:t xml:space="preserve">in order to advise them on how to more efficiently </w:t>
      </w:r>
      <w:r w:rsidR="00F92832" w:rsidRPr="00091A6F">
        <w:rPr>
          <w:rFonts w:asciiTheme="minorHAnsi" w:hAnsiTheme="minorHAnsi" w:cstheme="minorHAnsi"/>
          <w:i/>
        </w:rPr>
        <w:t>capture the necessary technical details of the</w:t>
      </w:r>
      <w:r w:rsidR="009E2FB6" w:rsidRPr="00091A6F">
        <w:rPr>
          <w:rFonts w:asciiTheme="minorHAnsi" w:hAnsiTheme="minorHAnsi" w:cstheme="minorHAnsi"/>
          <w:i/>
        </w:rPr>
        <w:t>ir satellite filings.</w:t>
      </w:r>
    </w:p>
    <w:p w14:paraId="7A902AB3" w14:textId="07C316A8" w:rsidR="00091A6F" w:rsidRPr="00091A6F" w:rsidRDefault="00091A6F" w:rsidP="00091A6F">
      <w:pPr>
        <w:pStyle w:val="Normal1"/>
        <w:tabs>
          <w:tab w:val="left" w:pos="1418"/>
        </w:tabs>
        <w:spacing w:before="840" w:line="276" w:lineRule="auto"/>
        <w:jc w:val="center"/>
        <w:rPr>
          <w:rFonts w:asciiTheme="minorHAnsi" w:hAnsiTheme="minorHAnsi" w:cstheme="minorHAnsi"/>
          <w:iCs/>
        </w:rPr>
      </w:pPr>
      <w:r w:rsidRPr="00091A6F">
        <w:rPr>
          <w:rFonts w:asciiTheme="minorHAnsi" w:hAnsiTheme="minorHAnsi" w:cstheme="minorHAnsi"/>
          <w:iCs/>
        </w:rPr>
        <w:t>_____________</w:t>
      </w:r>
    </w:p>
    <w:sectPr w:rsidR="00091A6F" w:rsidRPr="00091A6F" w:rsidSect="00870E6E">
      <w:headerReference w:type="default" r:id="rId9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A126E" w14:textId="77777777" w:rsidR="001E031E" w:rsidRDefault="001E031E" w:rsidP="002E7BF9">
      <w:pPr>
        <w:spacing w:before="0"/>
      </w:pPr>
      <w:r>
        <w:separator/>
      </w:r>
    </w:p>
  </w:endnote>
  <w:endnote w:type="continuationSeparator" w:id="0">
    <w:p w14:paraId="7FA4D0B1" w14:textId="77777777" w:rsidR="001E031E" w:rsidRDefault="001E031E" w:rsidP="002E7BF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9CBB7" w14:textId="77777777" w:rsidR="001E031E" w:rsidRDefault="001E031E" w:rsidP="002E7BF9">
      <w:pPr>
        <w:spacing w:before="0"/>
      </w:pPr>
      <w:r>
        <w:separator/>
      </w:r>
    </w:p>
  </w:footnote>
  <w:footnote w:type="continuationSeparator" w:id="0">
    <w:p w14:paraId="754ECC75" w14:textId="77777777" w:rsidR="001E031E" w:rsidRDefault="001E031E" w:rsidP="002E7BF9">
      <w:pPr>
        <w:spacing w:before="0"/>
      </w:pPr>
      <w:r>
        <w:continuationSeparator/>
      </w:r>
    </w:p>
  </w:footnote>
  <w:footnote w:id="1">
    <w:p w14:paraId="39F87F6B" w14:textId="143788B3" w:rsidR="00932601" w:rsidRPr="00932601" w:rsidRDefault="00932601" w:rsidP="0065149D">
      <w:pPr>
        <w:pStyle w:val="FootnoteText"/>
        <w:tabs>
          <w:tab w:val="left" w:pos="284"/>
        </w:tabs>
        <w:spacing w:before="80"/>
        <w:ind w:left="284" w:hanging="284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65149D">
        <w:tab/>
      </w:r>
      <w:r>
        <w:t xml:space="preserve">See </w:t>
      </w:r>
      <w:r>
        <w:rPr>
          <w:lang w:val="en-US"/>
        </w:rPr>
        <w:t>Document EG-D482-2/7 titled, “D</w:t>
      </w:r>
      <w:r>
        <w:rPr>
          <w:rFonts w:asciiTheme="minorHAnsi" w:hAnsiTheme="minorHAnsi"/>
          <w:szCs w:val="28"/>
        </w:rPr>
        <w:t xml:space="preserve">raft </w:t>
      </w:r>
      <w:r w:rsidRPr="003B4EB9">
        <w:rPr>
          <w:rFonts w:asciiTheme="minorHAnsi" w:hAnsiTheme="minorHAnsi"/>
          <w:szCs w:val="28"/>
        </w:rPr>
        <w:t>R</w:t>
      </w:r>
      <w:r>
        <w:rPr>
          <w:rFonts w:asciiTheme="minorHAnsi" w:hAnsiTheme="minorHAnsi"/>
          <w:szCs w:val="28"/>
        </w:rPr>
        <w:t>eport of the Second</w:t>
      </w:r>
      <w:r w:rsidRPr="003B4EB9">
        <w:rPr>
          <w:rFonts w:asciiTheme="minorHAnsi" w:hAnsiTheme="minorHAnsi"/>
          <w:szCs w:val="28"/>
        </w:rPr>
        <w:t xml:space="preserve"> M</w:t>
      </w:r>
      <w:r>
        <w:rPr>
          <w:rFonts w:asciiTheme="minorHAnsi" w:hAnsiTheme="minorHAnsi"/>
          <w:szCs w:val="28"/>
        </w:rPr>
        <w:t>eeting</w:t>
      </w:r>
      <w:r w:rsidRPr="003B4EB9">
        <w:rPr>
          <w:rFonts w:asciiTheme="minorHAnsi" w:hAnsiTheme="minorHAnsi"/>
          <w:szCs w:val="28"/>
        </w:rPr>
        <w:t xml:space="preserve"> of the</w:t>
      </w:r>
      <w:r>
        <w:rPr>
          <w:rFonts w:asciiTheme="minorHAnsi" w:hAnsiTheme="minorHAnsi"/>
          <w:szCs w:val="28"/>
        </w:rPr>
        <w:t xml:space="preserve"> </w:t>
      </w:r>
      <w:r w:rsidRPr="008619F9">
        <w:rPr>
          <w:rFonts w:asciiTheme="minorHAnsi" w:hAnsiTheme="minorHAnsi"/>
          <w:szCs w:val="28"/>
          <w:lang w:val="en-AU"/>
        </w:rPr>
        <w:t>Council Expert Group on Council Decision 482</w:t>
      </w:r>
      <w:r>
        <w:rPr>
          <w:rFonts w:asciiTheme="minorHAnsi" w:hAnsiTheme="minorHAnsi"/>
          <w:szCs w:val="28"/>
          <w:lang w:val="en-AU"/>
        </w:rPr>
        <w:t xml:space="preserve">”, authored by the EG Chairman, </w:t>
      </w:r>
      <w:r>
        <w:rPr>
          <w:lang w:val="en-US"/>
        </w:rPr>
        <w:t>dated 19 March 2018; Section 6.</w:t>
      </w:r>
    </w:p>
  </w:footnote>
  <w:footnote w:id="2">
    <w:p w14:paraId="606411AB" w14:textId="3183F8EB" w:rsidR="00EA4FF4" w:rsidRPr="00326A4D" w:rsidRDefault="00EA4FF4" w:rsidP="0065149D">
      <w:pPr>
        <w:tabs>
          <w:tab w:val="left" w:pos="284"/>
          <w:tab w:val="left" w:pos="1418"/>
        </w:tabs>
        <w:spacing w:before="80"/>
        <w:ind w:left="284" w:hanging="284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65149D">
        <w:tab/>
      </w:r>
      <w:r w:rsidR="00932601" w:rsidRPr="00091A6F">
        <w:rPr>
          <w:sz w:val="20"/>
          <w:szCs w:val="20"/>
        </w:rPr>
        <w:t xml:space="preserve">See </w:t>
      </w:r>
      <w:r w:rsidRPr="00091A6F">
        <w:rPr>
          <w:sz w:val="20"/>
          <w:szCs w:val="20"/>
        </w:rPr>
        <w:t xml:space="preserve">Document EG-D482-1/6-E </w:t>
      </w:r>
      <w:r w:rsidR="004A2BA7" w:rsidRPr="00091A6F">
        <w:rPr>
          <w:sz w:val="20"/>
          <w:szCs w:val="20"/>
        </w:rPr>
        <w:t>titled “</w:t>
      </w:r>
      <w:r w:rsidR="004A2BA7" w:rsidRPr="00091A6F">
        <w:rPr>
          <w:rFonts w:eastAsia="Times New Roman"/>
          <w:bCs/>
          <w:sz w:val="20"/>
          <w:szCs w:val="20"/>
        </w:rPr>
        <w:t xml:space="preserve">Information about Exceptionally Complex GSO Satellite </w:t>
      </w:r>
      <w:proofErr w:type="spellStart"/>
      <w:r w:rsidR="004A2BA7" w:rsidRPr="00091A6F">
        <w:rPr>
          <w:rFonts w:eastAsia="Times New Roman"/>
          <w:bCs/>
          <w:sz w:val="20"/>
          <w:szCs w:val="20"/>
        </w:rPr>
        <w:t>Filings</w:t>
      </w:r>
      <w:r w:rsidR="004A2BA7" w:rsidRPr="00091A6F">
        <w:rPr>
          <w:sz w:val="20"/>
          <w:szCs w:val="20"/>
        </w:rPr>
        <w:t>”</w:t>
      </w:r>
      <w:r w:rsidR="00932601" w:rsidRPr="00091A6F">
        <w:rPr>
          <w:sz w:val="20"/>
          <w:szCs w:val="20"/>
        </w:rPr>
        <w:t>from</w:t>
      </w:r>
      <w:proofErr w:type="spellEnd"/>
      <w:r w:rsidR="00932601" w:rsidRPr="00091A6F">
        <w:rPr>
          <w:sz w:val="20"/>
          <w:szCs w:val="20"/>
        </w:rPr>
        <w:t xml:space="preserve"> the </w:t>
      </w:r>
      <w:proofErr w:type="spellStart"/>
      <w:r w:rsidR="00932601" w:rsidRPr="00091A6F">
        <w:rPr>
          <w:sz w:val="20"/>
          <w:szCs w:val="20"/>
        </w:rPr>
        <w:t>Radiocommunications</w:t>
      </w:r>
      <w:proofErr w:type="spellEnd"/>
      <w:r w:rsidR="00932601" w:rsidRPr="00091A6F">
        <w:rPr>
          <w:sz w:val="20"/>
          <w:szCs w:val="20"/>
        </w:rPr>
        <w:t xml:space="preserve"> Bureau </w:t>
      </w:r>
      <w:r w:rsidRPr="00091A6F">
        <w:rPr>
          <w:sz w:val="20"/>
          <w:szCs w:val="20"/>
        </w:rPr>
        <w:t>dated 25 Sept 2018, Section 2.  “</w:t>
      </w:r>
      <w:r w:rsidRPr="00091A6F">
        <w:rPr>
          <w:rFonts w:eastAsia="Times New Roman"/>
          <w:sz w:val="20"/>
          <w:szCs w:val="20"/>
        </w:rPr>
        <w:t>These satellite networks remain rare and therefore the word “exceptional” is accurate to characterize them. However, from a processing point of view, they have a disproportionate impact on the overall examination and publication process</w:t>
      </w:r>
      <w:r w:rsidRPr="00091A6F">
        <w:rPr>
          <w:rFonts w:asciiTheme="minorHAnsi" w:eastAsia="Times New Roman" w:hAnsiTheme="minorHAnsi"/>
          <w:sz w:val="20"/>
          <w:szCs w:val="20"/>
        </w:rPr>
        <w:t xml:space="preserve">, because they require additional computing resources, increased human analysis and sometimes even software updates (design, implementation, tests, </w:t>
      </w:r>
      <w:proofErr w:type="gramStart"/>
      <w:r w:rsidRPr="00091A6F">
        <w:rPr>
          <w:rFonts w:asciiTheme="minorHAnsi" w:eastAsia="Times New Roman" w:hAnsiTheme="minorHAnsi"/>
          <w:sz w:val="20"/>
          <w:szCs w:val="20"/>
        </w:rPr>
        <w:t>deployment</w:t>
      </w:r>
      <w:proofErr w:type="gramEnd"/>
      <w:r w:rsidRPr="00091A6F">
        <w:rPr>
          <w:rFonts w:asciiTheme="minorHAnsi" w:eastAsia="Times New Roman" w:hAnsiTheme="minorHAnsi"/>
          <w:sz w:val="20"/>
          <w:szCs w:val="20"/>
        </w:rPr>
        <w:t>). “</w:t>
      </w:r>
    </w:p>
  </w:footnote>
  <w:footnote w:id="3">
    <w:p w14:paraId="69529132" w14:textId="2EF12A8F" w:rsidR="00932601" w:rsidRPr="00091A6F" w:rsidRDefault="00932601" w:rsidP="0065149D">
      <w:pPr>
        <w:tabs>
          <w:tab w:val="left" w:pos="284"/>
          <w:tab w:val="left" w:pos="1418"/>
        </w:tabs>
        <w:spacing w:before="80"/>
        <w:ind w:left="284" w:hanging="284"/>
        <w:jc w:val="both"/>
        <w:rPr>
          <w:sz w:val="20"/>
          <w:szCs w:val="20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65149D">
        <w:tab/>
      </w:r>
      <w:r w:rsidRPr="00091A6F">
        <w:rPr>
          <w:sz w:val="20"/>
          <w:szCs w:val="20"/>
        </w:rPr>
        <w:t>See embedded table in Document EG-D482-1/6-E titled</w:t>
      </w:r>
      <w:r w:rsidR="004A2BA7" w:rsidRPr="00091A6F">
        <w:rPr>
          <w:sz w:val="20"/>
          <w:szCs w:val="20"/>
        </w:rPr>
        <w:t xml:space="preserve"> “</w:t>
      </w:r>
      <w:r w:rsidR="004A2BA7" w:rsidRPr="00091A6F">
        <w:rPr>
          <w:rFonts w:eastAsia="Times New Roman"/>
          <w:bCs/>
          <w:sz w:val="20"/>
          <w:szCs w:val="20"/>
        </w:rPr>
        <w:t>Information about Exceptionally Complex GSO Satellite Filings</w:t>
      </w:r>
      <w:r w:rsidR="004A2BA7" w:rsidRPr="00091A6F">
        <w:rPr>
          <w:sz w:val="20"/>
          <w:szCs w:val="20"/>
        </w:rPr>
        <w:t xml:space="preserve">”, </w:t>
      </w:r>
      <w:r w:rsidRPr="00091A6F">
        <w:rPr>
          <w:sz w:val="20"/>
          <w:szCs w:val="20"/>
        </w:rPr>
        <w:t xml:space="preserve">from the </w:t>
      </w:r>
      <w:proofErr w:type="spellStart"/>
      <w:r w:rsidRPr="00091A6F">
        <w:rPr>
          <w:sz w:val="20"/>
          <w:szCs w:val="20"/>
        </w:rPr>
        <w:t>Radiocommunications</w:t>
      </w:r>
      <w:proofErr w:type="spellEnd"/>
      <w:r w:rsidRPr="00091A6F">
        <w:rPr>
          <w:sz w:val="20"/>
          <w:szCs w:val="20"/>
        </w:rPr>
        <w:t xml:space="preserve"> Bureau dated 25 Sept 2018.</w:t>
      </w:r>
      <w:r w:rsidR="00091A6F" w:rsidRPr="00091A6F">
        <w:rPr>
          <w:sz w:val="20"/>
          <w:szCs w:val="20"/>
        </w:rPr>
        <w:t xml:space="preserve"> </w:t>
      </w:r>
    </w:p>
  </w:footnote>
  <w:footnote w:id="4">
    <w:p w14:paraId="307B680C" w14:textId="74FA8BF5" w:rsidR="0035587E" w:rsidRPr="0035587E" w:rsidRDefault="0035587E" w:rsidP="0065149D">
      <w:pPr>
        <w:pStyle w:val="FootnoteText"/>
        <w:tabs>
          <w:tab w:val="left" w:pos="284"/>
        </w:tabs>
        <w:spacing w:before="80"/>
        <w:ind w:left="284" w:hanging="284"/>
        <w:rPr>
          <w:lang w:val="en-US"/>
        </w:rPr>
      </w:pPr>
      <w:r w:rsidRPr="00091A6F">
        <w:rPr>
          <w:rStyle w:val="FootnoteReference"/>
          <w:sz w:val="24"/>
          <w:szCs w:val="24"/>
        </w:rPr>
        <w:footnoteRef/>
      </w:r>
      <w:r w:rsidRPr="00091A6F">
        <w:t xml:space="preserve"> </w:t>
      </w:r>
      <w:r w:rsidR="0065149D">
        <w:tab/>
      </w:r>
      <w:r w:rsidRPr="00091A6F">
        <w:rPr>
          <w:lang w:val="en-US"/>
        </w:rPr>
        <w:t>Six such filings were received by the BR.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D33B9" w14:textId="4EC56781" w:rsidR="0065149D" w:rsidRPr="0065149D" w:rsidRDefault="0065149D" w:rsidP="0065149D">
    <w:pPr>
      <w:pStyle w:val="Header"/>
      <w:spacing w:after="120"/>
      <w:jc w:val="center"/>
      <w:rPr>
        <w:sz w:val="22"/>
        <w:szCs w:val="22"/>
      </w:rPr>
    </w:pPr>
    <w:r w:rsidRPr="0065149D">
      <w:rPr>
        <w:sz w:val="22"/>
        <w:szCs w:val="22"/>
      </w:rPr>
      <w:fldChar w:fldCharType="begin"/>
    </w:r>
    <w:r w:rsidRPr="0065149D">
      <w:rPr>
        <w:sz w:val="22"/>
        <w:szCs w:val="22"/>
      </w:rPr>
      <w:instrText xml:space="preserve"> PAGE  \* Arabic  \* MERGEFORMAT </w:instrText>
    </w:r>
    <w:r w:rsidRPr="0065149D">
      <w:rPr>
        <w:sz w:val="22"/>
        <w:szCs w:val="22"/>
      </w:rPr>
      <w:fldChar w:fldCharType="separate"/>
    </w:r>
    <w:r>
      <w:rPr>
        <w:noProof/>
        <w:sz w:val="22"/>
        <w:szCs w:val="22"/>
      </w:rPr>
      <w:t>2</w:t>
    </w:r>
    <w:r w:rsidRPr="0065149D">
      <w:rPr>
        <w:sz w:val="22"/>
        <w:szCs w:val="22"/>
      </w:rPr>
      <w:fldChar w:fldCharType="end"/>
    </w:r>
    <w:r w:rsidRPr="0065149D">
      <w:rPr>
        <w:sz w:val="22"/>
        <w:szCs w:val="22"/>
      </w:rPr>
      <w:t>/</w:t>
    </w:r>
    <w:r w:rsidRPr="0065149D">
      <w:rPr>
        <w:sz w:val="22"/>
        <w:szCs w:val="22"/>
      </w:rPr>
      <w:fldChar w:fldCharType="begin"/>
    </w:r>
    <w:r w:rsidRPr="0065149D">
      <w:rPr>
        <w:sz w:val="22"/>
        <w:szCs w:val="22"/>
      </w:rPr>
      <w:instrText xml:space="preserve"> NUMPAGES   \* MERGEFORMAT </w:instrText>
    </w:r>
    <w:r w:rsidRPr="0065149D">
      <w:rPr>
        <w:sz w:val="22"/>
        <w:szCs w:val="22"/>
      </w:rPr>
      <w:fldChar w:fldCharType="separate"/>
    </w:r>
    <w:r>
      <w:rPr>
        <w:noProof/>
        <w:sz w:val="22"/>
        <w:szCs w:val="22"/>
      </w:rPr>
      <w:t>3</w:t>
    </w:r>
    <w:r w:rsidRPr="0065149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ADEF2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926B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6885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9EB2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9400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5038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449C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D6E0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C270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9EB1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95AAF"/>
    <w:multiLevelType w:val="hybridMultilevel"/>
    <w:tmpl w:val="645A3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180A8C"/>
    <w:multiLevelType w:val="hybridMultilevel"/>
    <w:tmpl w:val="8AEE4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932529"/>
    <w:multiLevelType w:val="hybridMultilevel"/>
    <w:tmpl w:val="24621D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98400D"/>
    <w:multiLevelType w:val="hybridMultilevel"/>
    <w:tmpl w:val="087E4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15491A"/>
    <w:multiLevelType w:val="hybridMultilevel"/>
    <w:tmpl w:val="5718A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CA1796"/>
    <w:multiLevelType w:val="hybridMultilevel"/>
    <w:tmpl w:val="0BEE1B5E"/>
    <w:lvl w:ilvl="0" w:tplc="AF0E2004">
      <w:start w:val="6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DF4E19"/>
    <w:multiLevelType w:val="hybridMultilevel"/>
    <w:tmpl w:val="D264BC7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180633C"/>
    <w:multiLevelType w:val="hybridMultilevel"/>
    <w:tmpl w:val="CDBAF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E66A6A"/>
    <w:multiLevelType w:val="hybridMultilevel"/>
    <w:tmpl w:val="556C79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ED3FFD"/>
    <w:multiLevelType w:val="hybridMultilevel"/>
    <w:tmpl w:val="4142F286"/>
    <w:lvl w:ilvl="0" w:tplc="536EF888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8BC7DF4"/>
    <w:multiLevelType w:val="hybridMultilevel"/>
    <w:tmpl w:val="8A52E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6A44E6"/>
    <w:multiLevelType w:val="hybridMultilevel"/>
    <w:tmpl w:val="53F0A37A"/>
    <w:lvl w:ilvl="0" w:tplc="4A1C7A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701CBF"/>
    <w:multiLevelType w:val="hybridMultilevel"/>
    <w:tmpl w:val="EC703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5F4750"/>
    <w:multiLevelType w:val="hybridMultilevel"/>
    <w:tmpl w:val="AAF8A0F2"/>
    <w:lvl w:ilvl="0" w:tplc="E4926E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E734CE"/>
    <w:multiLevelType w:val="hybridMultilevel"/>
    <w:tmpl w:val="E35E3D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79562EA"/>
    <w:multiLevelType w:val="hybridMultilevel"/>
    <w:tmpl w:val="835E4F1C"/>
    <w:lvl w:ilvl="0" w:tplc="3DD470F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27" w15:restartNumberingAfterBreak="0">
    <w:nsid w:val="61F414D9"/>
    <w:multiLevelType w:val="hybridMultilevel"/>
    <w:tmpl w:val="16E2501C"/>
    <w:lvl w:ilvl="0" w:tplc="4A1C7AC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49E4A35"/>
    <w:multiLevelType w:val="hybridMultilevel"/>
    <w:tmpl w:val="0980D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844CD"/>
    <w:multiLevelType w:val="hybridMultilevel"/>
    <w:tmpl w:val="46D4A3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C3D363E"/>
    <w:multiLevelType w:val="hybridMultilevel"/>
    <w:tmpl w:val="5E08D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2F6607"/>
    <w:multiLevelType w:val="hybridMultilevel"/>
    <w:tmpl w:val="AC886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182186"/>
    <w:multiLevelType w:val="hybridMultilevel"/>
    <w:tmpl w:val="88CC9B12"/>
    <w:lvl w:ilvl="0" w:tplc="AF0E2004">
      <w:start w:val="6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3D5C26"/>
    <w:multiLevelType w:val="hybridMultilevel"/>
    <w:tmpl w:val="72FED506"/>
    <w:lvl w:ilvl="0" w:tplc="570240F6">
      <w:start w:val="1"/>
      <w:numFmt w:val="decimal"/>
      <w:lvlText w:val="%1."/>
      <w:lvlJc w:val="left"/>
      <w:pPr>
        <w:ind w:left="1149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9" w:hanging="360"/>
      </w:pPr>
    </w:lvl>
    <w:lvl w:ilvl="2" w:tplc="0409001B" w:tentative="1">
      <w:start w:val="1"/>
      <w:numFmt w:val="lowerRoman"/>
      <w:lvlText w:val="%3."/>
      <w:lvlJc w:val="right"/>
      <w:pPr>
        <w:ind w:left="2379" w:hanging="180"/>
      </w:pPr>
    </w:lvl>
    <w:lvl w:ilvl="3" w:tplc="0409000F" w:tentative="1">
      <w:start w:val="1"/>
      <w:numFmt w:val="decimal"/>
      <w:lvlText w:val="%4."/>
      <w:lvlJc w:val="left"/>
      <w:pPr>
        <w:ind w:left="3099" w:hanging="360"/>
      </w:pPr>
    </w:lvl>
    <w:lvl w:ilvl="4" w:tplc="04090019" w:tentative="1">
      <w:start w:val="1"/>
      <w:numFmt w:val="lowerLetter"/>
      <w:lvlText w:val="%5."/>
      <w:lvlJc w:val="left"/>
      <w:pPr>
        <w:ind w:left="3819" w:hanging="360"/>
      </w:pPr>
    </w:lvl>
    <w:lvl w:ilvl="5" w:tplc="0409001B" w:tentative="1">
      <w:start w:val="1"/>
      <w:numFmt w:val="lowerRoman"/>
      <w:lvlText w:val="%6."/>
      <w:lvlJc w:val="right"/>
      <w:pPr>
        <w:ind w:left="4539" w:hanging="180"/>
      </w:pPr>
    </w:lvl>
    <w:lvl w:ilvl="6" w:tplc="0409000F" w:tentative="1">
      <w:start w:val="1"/>
      <w:numFmt w:val="decimal"/>
      <w:lvlText w:val="%7."/>
      <w:lvlJc w:val="left"/>
      <w:pPr>
        <w:ind w:left="5259" w:hanging="360"/>
      </w:pPr>
    </w:lvl>
    <w:lvl w:ilvl="7" w:tplc="04090019" w:tentative="1">
      <w:start w:val="1"/>
      <w:numFmt w:val="lowerLetter"/>
      <w:lvlText w:val="%8."/>
      <w:lvlJc w:val="left"/>
      <w:pPr>
        <w:ind w:left="5979" w:hanging="360"/>
      </w:pPr>
    </w:lvl>
    <w:lvl w:ilvl="8" w:tplc="0409001B" w:tentative="1">
      <w:start w:val="1"/>
      <w:numFmt w:val="lowerRoman"/>
      <w:lvlText w:val="%9."/>
      <w:lvlJc w:val="right"/>
      <w:pPr>
        <w:ind w:left="6699" w:hanging="180"/>
      </w:pPr>
    </w:lvl>
  </w:abstractNum>
  <w:num w:numId="1">
    <w:abstractNumId w:val="26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3"/>
  </w:num>
  <w:num w:numId="13">
    <w:abstractNumId w:val="19"/>
  </w:num>
  <w:num w:numId="14">
    <w:abstractNumId w:val="17"/>
  </w:num>
  <w:num w:numId="15">
    <w:abstractNumId w:val="33"/>
  </w:num>
  <w:num w:numId="16">
    <w:abstractNumId w:val="25"/>
  </w:num>
  <w:num w:numId="17">
    <w:abstractNumId w:val="32"/>
  </w:num>
  <w:num w:numId="18">
    <w:abstractNumId w:val="15"/>
  </w:num>
  <w:num w:numId="19">
    <w:abstractNumId w:val="10"/>
  </w:num>
  <w:num w:numId="20">
    <w:abstractNumId w:val="31"/>
  </w:num>
  <w:num w:numId="21">
    <w:abstractNumId w:val="28"/>
  </w:num>
  <w:num w:numId="22">
    <w:abstractNumId w:val="11"/>
  </w:num>
  <w:num w:numId="23">
    <w:abstractNumId w:val="13"/>
  </w:num>
  <w:num w:numId="24">
    <w:abstractNumId w:val="20"/>
  </w:num>
  <w:num w:numId="25">
    <w:abstractNumId w:val="24"/>
  </w:num>
  <w:num w:numId="26">
    <w:abstractNumId w:val="30"/>
  </w:num>
  <w:num w:numId="27">
    <w:abstractNumId w:val="21"/>
  </w:num>
  <w:num w:numId="28">
    <w:abstractNumId w:val="29"/>
  </w:num>
  <w:num w:numId="29">
    <w:abstractNumId w:val="16"/>
  </w:num>
  <w:num w:numId="30">
    <w:abstractNumId w:val="18"/>
  </w:num>
  <w:num w:numId="31">
    <w:abstractNumId w:val="27"/>
  </w:num>
  <w:num w:numId="32">
    <w:abstractNumId w:val="22"/>
  </w:num>
  <w:num w:numId="33">
    <w:abstractNumId w:val="14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30"/>
    <w:rsid w:val="00004CD5"/>
    <w:rsid w:val="0001144E"/>
    <w:rsid w:val="00012220"/>
    <w:rsid w:val="000165ED"/>
    <w:rsid w:val="00021676"/>
    <w:rsid w:val="00026DA9"/>
    <w:rsid w:val="000343B4"/>
    <w:rsid w:val="000365C8"/>
    <w:rsid w:val="00046A88"/>
    <w:rsid w:val="00046F8F"/>
    <w:rsid w:val="0005724D"/>
    <w:rsid w:val="00071A59"/>
    <w:rsid w:val="00075303"/>
    <w:rsid w:val="00076C2A"/>
    <w:rsid w:val="00085BAB"/>
    <w:rsid w:val="00087353"/>
    <w:rsid w:val="00090259"/>
    <w:rsid w:val="00090314"/>
    <w:rsid w:val="00091A6F"/>
    <w:rsid w:val="000935F2"/>
    <w:rsid w:val="00095EAF"/>
    <w:rsid w:val="00097862"/>
    <w:rsid w:val="000A01E6"/>
    <w:rsid w:val="000A351D"/>
    <w:rsid w:val="000B54EF"/>
    <w:rsid w:val="000C1052"/>
    <w:rsid w:val="000C6904"/>
    <w:rsid w:val="000C6FBE"/>
    <w:rsid w:val="000E18D6"/>
    <w:rsid w:val="000F199E"/>
    <w:rsid w:val="00104F26"/>
    <w:rsid w:val="00126780"/>
    <w:rsid w:val="001369A5"/>
    <w:rsid w:val="001426EB"/>
    <w:rsid w:val="001429FC"/>
    <w:rsid w:val="001447FF"/>
    <w:rsid w:val="00145EFE"/>
    <w:rsid w:val="00150345"/>
    <w:rsid w:val="00150CDC"/>
    <w:rsid w:val="00151E1B"/>
    <w:rsid w:val="00153C62"/>
    <w:rsid w:val="001636AA"/>
    <w:rsid w:val="00166192"/>
    <w:rsid w:val="001712DE"/>
    <w:rsid w:val="00175EE5"/>
    <w:rsid w:val="00177245"/>
    <w:rsid w:val="0018000B"/>
    <w:rsid w:val="00183AFD"/>
    <w:rsid w:val="00193431"/>
    <w:rsid w:val="00196100"/>
    <w:rsid w:val="001A4292"/>
    <w:rsid w:val="001B26D7"/>
    <w:rsid w:val="001B369B"/>
    <w:rsid w:val="001B50FD"/>
    <w:rsid w:val="001C0870"/>
    <w:rsid w:val="001C697C"/>
    <w:rsid w:val="001D249F"/>
    <w:rsid w:val="001D5BD6"/>
    <w:rsid w:val="001E031E"/>
    <w:rsid w:val="001E51A9"/>
    <w:rsid w:val="001E78FC"/>
    <w:rsid w:val="001E7E19"/>
    <w:rsid w:val="001F1FFD"/>
    <w:rsid w:val="001F26D2"/>
    <w:rsid w:val="001F5A2F"/>
    <w:rsid w:val="001F5E63"/>
    <w:rsid w:val="00203445"/>
    <w:rsid w:val="002034A3"/>
    <w:rsid w:val="002108E5"/>
    <w:rsid w:val="002159F6"/>
    <w:rsid w:val="002212FC"/>
    <w:rsid w:val="002234B3"/>
    <w:rsid w:val="00226D51"/>
    <w:rsid w:val="00235650"/>
    <w:rsid w:val="00241D13"/>
    <w:rsid w:val="002432E6"/>
    <w:rsid w:val="00251DFB"/>
    <w:rsid w:val="00260C93"/>
    <w:rsid w:val="0026372B"/>
    <w:rsid w:val="0026443C"/>
    <w:rsid w:val="002727CE"/>
    <w:rsid w:val="00274508"/>
    <w:rsid w:val="00281266"/>
    <w:rsid w:val="00281B54"/>
    <w:rsid w:val="00282208"/>
    <w:rsid w:val="0028669B"/>
    <w:rsid w:val="002915D5"/>
    <w:rsid w:val="002A1F3C"/>
    <w:rsid w:val="002A3D21"/>
    <w:rsid w:val="002A5AAE"/>
    <w:rsid w:val="002D2547"/>
    <w:rsid w:val="002D4875"/>
    <w:rsid w:val="002D6A19"/>
    <w:rsid w:val="002E0C86"/>
    <w:rsid w:val="002E3047"/>
    <w:rsid w:val="002E33EE"/>
    <w:rsid w:val="002E5B62"/>
    <w:rsid w:val="002E76D0"/>
    <w:rsid w:val="002E7BF9"/>
    <w:rsid w:val="002F4112"/>
    <w:rsid w:val="002F638B"/>
    <w:rsid w:val="002F7797"/>
    <w:rsid w:val="003021A2"/>
    <w:rsid w:val="00303388"/>
    <w:rsid w:val="00304A83"/>
    <w:rsid w:val="00320BF5"/>
    <w:rsid w:val="00323341"/>
    <w:rsid w:val="003248C3"/>
    <w:rsid w:val="00326A4D"/>
    <w:rsid w:val="0033373E"/>
    <w:rsid w:val="0035064E"/>
    <w:rsid w:val="00354C2F"/>
    <w:rsid w:val="0035587E"/>
    <w:rsid w:val="00363D51"/>
    <w:rsid w:val="00367B12"/>
    <w:rsid w:val="0037002D"/>
    <w:rsid w:val="00377111"/>
    <w:rsid w:val="003778AA"/>
    <w:rsid w:val="003827FC"/>
    <w:rsid w:val="00387F1B"/>
    <w:rsid w:val="0039031D"/>
    <w:rsid w:val="003A5503"/>
    <w:rsid w:val="003B0B13"/>
    <w:rsid w:val="003B28C7"/>
    <w:rsid w:val="003B3671"/>
    <w:rsid w:val="003F1739"/>
    <w:rsid w:val="003F6823"/>
    <w:rsid w:val="00403FCD"/>
    <w:rsid w:val="00417814"/>
    <w:rsid w:val="00425836"/>
    <w:rsid w:val="00425F91"/>
    <w:rsid w:val="00451E58"/>
    <w:rsid w:val="00455F45"/>
    <w:rsid w:val="00463D80"/>
    <w:rsid w:val="00466AC2"/>
    <w:rsid w:val="00471045"/>
    <w:rsid w:val="0047650C"/>
    <w:rsid w:val="00481076"/>
    <w:rsid w:val="004924EF"/>
    <w:rsid w:val="004947BD"/>
    <w:rsid w:val="004952AE"/>
    <w:rsid w:val="004A1B89"/>
    <w:rsid w:val="004A2BA7"/>
    <w:rsid w:val="004C0111"/>
    <w:rsid w:val="004C19D6"/>
    <w:rsid w:val="004C3141"/>
    <w:rsid w:val="004D3ACD"/>
    <w:rsid w:val="004D4367"/>
    <w:rsid w:val="004E1DA2"/>
    <w:rsid w:val="004E3A54"/>
    <w:rsid w:val="005046E5"/>
    <w:rsid w:val="005078F8"/>
    <w:rsid w:val="00522DF8"/>
    <w:rsid w:val="00525036"/>
    <w:rsid w:val="00525D28"/>
    <w:rsid w:val="00530F81"/>
    <w:rsid w:val="00542BF2"/>
    <w:rsid w:val="00551FEB"/>
    <w:rsid w:val="0055559F"/>
    <w:rsid w:val="00561DFC"/>
    <w:rsid w:val="0056260D"/>
    <w:rsid w:val="00567B32"/>
    <w:rsid w:val="00570A13"/>
    <w:rsid w:val="00570AA9"/>
    <w:rsid w:val="005730B7"/>
    <w:rsid w:val="00584A24"/>
    <w:rsid w:val="005955ED"/>
    <w:rsid w:val="00595BF9"/>
    <w:rsid w:val="005A07F0"/>
    <w:rsid w:val="005A1120"/>
    <w:rsid w:val="005A57F4"/>
    <w:rsid w:val="005B1499"/>
    <w:rsid w:val="005B155E"/>
    <w:rsid w:val="005B27EC"/>
    <w:rsid w:val="005C14AA"/>
    <w:rsid w:val="005C31F8"/>
    <w:rsid w:val="005C3397"/>
    <w:rsid w:val="005C578E"/>
    <w:rsid w:val="005C7568"/>
    <w:rsid w:val="005D0D7D"/>
    <w:rsid w:val="005D5DC9"/>
    <w:rsid w:val="005E5B9D"/>
    <w:rsid w:val="005F0CC5"/>
    <w:rsid w:val="005F219C"/>
    <w:rsid w:val="0060176C"/>
    <w:rsid w:val="0060434D"/>
    <w:rsid w:val="00614D87"/>
    <w:rsid w:val="00621EED"/>
    <w:rsid w:val="006258D5"/>
    <w:rsid w:val="006328DC"/>
    <w:rsid w:val="00641F13"/>
    <w:rsid w:val="0065149D"/>
    <w:rsid w:val="006538DA"/>
    <w:rsid w:val="00657A27"/>
    <w:rsid w:val="00662DCF"/>
    <w:rsid w:val="0066313C"/>
    <w:rsid w:val="00667FFC"/>
    <w:rsid w:val="006900D8"/>
    <w:rsid w:val="006960DF"/>
    <w:rsid w:val="006B5CBD"/>
    <w:rsid w:val="006C0722"/>
    <w:rsid w:val="006C4118"/>
    <w:rsid w:val="006C7EAE"/>
    <w:rsid w:val="006D14A3"/>
    <w:rsid w:val="006D38CF"/>
    <w:rsid w:val="006D4DFB"/>
    <w:rsid w:val="006E6E07"/>
    <w:rsid w:val="006F6243"/>
    <w:rsid w:val="006F6D44"/>
    <w:rsid w:val="006F79B7"/>
    <w:rsid w:val="00701D78"/>
    <w:rsid w:val="0071618B"/>
    <w:rsid w:val="007172D0"/>
    <w:rsid w:val="00725210"/>
    <w:rsid w:val="00725EC9"/>
    <w:rsid w:val="0073275C"/>
    <w:rsid w:val="00741B21"/>
    <w:rsid w:val="007429A4"/>
    <w:rsid w:val="00751ED2"/>
    <w:rsid w:val="00755CA9"/>
    <w:rsid w:val="00761711"/>
    <w:rsid w:val="00762FE0"/>
    <w:rsid w:val="00786597"/>
    <w:rsid w:val="0078701F"/>
    <w:rsid w:val="00796594"/>
    <w:rsid w:val="00796F3B"/>
    <w:rsid w:val="007A244C"/>
    <w:rsid w:val="007A2466"/>
    <w:rsid w:val="007A3D80"/>
    <w:rsid w:val="007A6242"/>
    <w:rsid w:val="007B4350"/>
    <w:rsid w:val="007C5C5F"/>
    <w:rsid w:val="007D341B"/>
    <w:rsid w:val="007F233F"/>
    <w:rsid w:val="007F257F"/>
    <w:rsid w:val="00802B2D"/>
    <w:rsid w:val="00805B7F"/>
    <w:rsid w:val="00810ED7"/>
    <w:rsid w:val="00813CA5"/>
    <w:rsid w:val="008148B1"/>
    <w:rsid w:val="008165D8"/>
    <w:rsid w:val="00817322"/>
    <w:rsid w:val="0083042A"/>
    <w:rsid w:val="00831AA1"/>
    <w:rsid w:val="00841C7C"/>
    <w:rsid w:val="00843EF6"/>
    <w:rsid w:val="00856317"/>
    <w:rsid w:val="008571D7"/>
    <w:rsid w:val="008576E7"/>
    <w:rsid w:val="008626FC"/>
    <w:rsid w:val="0086726D"/>
    <w:rsid w:val="00870E45"/>
    <w:rsid w:val="00870E6E"/>
    <w:rsid w:val="008717A5"/>
    <w:rsid w:val="00877B7E"/>
    <w:rsid w:val="0088573B"/>
    <w:rsid w:val="00893796"/>
    <w:rsid w:val="008A2D8A"/>
    <w:rsid w:val="008A48E6"/>
    <w:rsid w:val="008A687C"/>
    <w:rsid w:val="008A7BE3"/>
    <w:rsid w:val="008B0DDA"/>
    <w:rsid w:val="008B31C4"/>
    <w:rsid w:val="008C507B"/>
    <w:rsid w:val="008D6D21"/>
    <w:rsid w:val="008E4276"/>
    <w:rsid w:val="008F79E1"/>
    <w:rsid w:val="00901B3D"/>
    <w:rsid w:val="009054C3"/>
    <w:rsid w:val="0092081A"/>
    <w:rsid w:val="00921DF8"/>
    <w:rsid w:val="00922013"/>
    <w:rsid w:val="00922651"/>
    <w:rsid w:val="00924CE7"/>
    <w:rsid w:val="009315A5"/>
    <w:rsid w:val="00932601"/>
    <w:rsid w:val="00933C40"/>
    <w:rsid w:val="00936589"/>
    <w:rsid w:val="0093678B"/>
    <w:rsid w:val="009430ED"/>
    <w:rsid w:val="00945AD0"/>
    <w:rsid w:val="0095377E"/>
    <w:rsid w:val="00965775"/>
    <w:rsid w:val="009731A7"/>
    <w:rsid w:val="009833FD"/>
    <w:rsid w:val="00984B80"/>
    <w:rsid w:val="009B1BC4"/>
    <w:rsid w:val="009B1C90"/>
    <w:rsid w:val="009B56AF"/>
    <w:rsid w:val="009C12EF"/>
    <w:rsid w:val="009C58F8"/>
    <w:rsid w:val="009D119D"/>
    <w:rsid w:val="009D7B7C"/>
    <w:rsid w:val="009E2FB6"/>
    <w:rsid w:val="009E5A32"/>
    <w:rsid w:val="009E6B05"/>
    <w:rsid w:val="00A03A1F"/>
    <w:rsid w:val="00A06E33"/>
    <w:rsid w:val="00A12E81"/>
    <w:rsid w:val="00A1314E"/>
    <w:rsid w:val="00A14381"/>
    <w:rsid w:val="00A24A6A"/>
    <w:rsid w:val="00A24D47"/>
    <w:rsid w:val="00A3638E"/>
    <w:rsid w:val="00A3698C"/>
    <w:rsid w:val="00A36E6F"/>
    <w:rsid w:val="00A4487D"/>
    <w:rsid w:val="00A46420"/>
    <w:rsid w:val="00A474D5"/>
    <w:rsid w:val="00A51A38"/>
    <w:rsid w:val="00A6056C"/>
    <w:rsid w:val="00A628A0"/>
    <w:rsid w:val="00A7020E"/>
    <w:rsid w:val="00A73632"/>
    <w:rsid w:val="00A81FDB"/>
    <w:rsid w:val="00A853D0"/>
    <w:rsid w:val="00A8770D"/>
    <w:rsid w:val="00A91CB4"/>
    <w:rsid w:val="00A94885"/>
    <w:rsid w:val="00A95ED5"/>
    <w:rsid w:val="00AA24CD"/>
    <w:rsid w:val="00AA69C5"/>
    <w:rsid w:val="00AB1E92"/>
    <w:rsid w:val="00AB4BD2"/>
    <w:rsid w:val="00AB790C"/>
    <w:rsid w:val="00AC5B4A"/>
    <w:rsid w:val="00AD32E8"/>
    <w:rsid w:val="00AD497C"/>
    <w:rsid w:val="00AD53BC"/>
    <w:rsid w:val="00AD7001"/>
    <w:rsid w:val="00AE5D64"/>
    <w:rsid w:val="00B14182"/>
    <w:rsid w:val="00B24D43"/>
    <w:rsid w:val="00B26FDF"/>
    <w:rsid w:val="00B37F6D"/>
    <w:rsid w:val="00B42628"/>
    <w:rsid w:val="00B47273"/>
    <w:rsid w:val="00B5373A"/>
    <w:rsid w:val="00B572F2"/>
    <w:rsid w:val="00B656F2"/>
    <w:rsid w:val="00B7060F"/>
    <w:rsid w:val="00B73C2C"/>
    <w:rsid w:val="00B754AC"/>
    <w:rsid w:val="00B7560F"/>
    <w:rsid w:val="00B77345"/>
    <w:rsid w:val="00B84E8E"/>
    <w:rsid w:val="00B93274"/>
    <w:rsid w:val="00B93439"/>
    <w:rsid w:val="00B937C1"/>
    <w:rsid w:val="00BA4380"/>
    <w:rsid w:val="00BA6C2C"/>
    <w:rsid w:val="00BB08E2"/>
    <w:rsid w:val="00BB3930"/>
    <w:rsid w:val="00BB52C3"/>
    <w:rsid w:val="00BC0D18"/>
    <w:rsid w:val="00BE08BF"/>
    <w:rsid w:val="00BE36D1"/>
    <w:rsid w:val="00BE3D68"/>
    <w:rsid w:val="00BF2EC4"/>
    <w:rsid w:val="00C00393"/>
    <w:rsid w:val="00C00961"/>
    <w:rsid w:val="00C06359"/>
    <w:rsid w:val="00C108B7"/>
    <w:rsid w:val="00C13B20"/>
    <w:rsid w:val="00C25A02"/>
    <w:rsid w:val="00C32CFC"/>
    <w:rsid w:val="00C3791A"/>
    <w:rsid w:val="00C5078C"/>
    <w:rsid w:val="00C54733"/>
    <w:rsid w:val="00C55BE3"/>
    <w:rsid w:val="00C5690C"/>
    <w:rsid w:val="00C57340"/>
    <w:rsid w:val="00C702DC"/>
    <w:rsid w:val="00C77A3A"/>
    <w:rsid w:val="00C828A0"/>
    <w:rsid w:val="00C93610"/>
    <w:rsid w:val="00C94E5E"/>
    <w:rsid w:val="00C96A2F"/>
    <w:rsid w:val="00CA3A6A"/>
    <w:rsid w:val="00CA71D8"/>
    <w:rsid w:val="00CB12D2"/>
    <w:rsid w:val="00CB4B13"/>
    <w:rsid w:val="00CB73E1"/>
    <w:rsid w:val="00CB7A02"/>
    <w:rsid w:val="00CC2994"/>
    <w:rsid w:val="00CC399F"/>
    <w:rsid w:val="00CD33C6"/>
    <w:rsid w:val="00CD614F"/>
    <w:rsid w:val="00CF2017"/>
    <w:rsid w:val="00CF608F"/>
    <w:rsid w:val="00D02D40"/>
    <w:rsid w:val="00D046BB"/>
    <w:rsid w:val="00D066B5"/>
    <w:rsid w:val="00D206EA"/>
    <w:rsid w:val="00D2307C"/>
    <w:rsid w:val="00D23CD0"/>
    <w:rsid w:val="00D267BA"/>
    <w:rsid w:val="00D269DB"/>
    <w:rsid w:val="00D2781B"/>
    <w:rsid w:val="00D30227"/>
    <w:rsid w:val="00D32550"/>
    <w:rsid w:val="00D365C4"/>
    <w:rsid w:val="00D40F3B"/>
    <w:rsid w:val="00D45EA1"/>
    <w:rsid w:val="00D50E7A"/>
    <w:rsid w:val="00D52B7F"/>
    <w:rsid w:val="00D55F09"/>
    <w:rsid w:val="00D673D1"/>
    <w:rsid w:val="00D7162E"/>
    <w:rsid w:val="00D806A6"/>
    <w:rsid w:val="00D80BAC"/>
    <w:rsid w:val="00D86D0A"/>
    <w:rsid w:val="00D92631"/>
    <w:rsid w:val="00D94CD9"/>
    <w:rsid w:val="00D95145"/>
    <w:rsid w:val="00D95DB2"/>
    <w:rsid w:val="00DA59F2"/>
    <w:rsid w:val="00DA6032"/>
    <w:rsid w:val="00DB4C04"/>
    <w:rsid w:val="00DB5039"/>
    <w:rsid w:val="00DC3792"/>
    <w:rsid w:val="00DC6576"/>
    <w:rsid w:val="00DD1913"/>
    <w:rsid w:val="00DD3D0C"/>
    <w:rsid w:val="00DD3D4D"/>
    <w:rsid w:val="00DD6E6D"/>
    <w:rsid w:val="00DE0410"/>
    <w:rsid w:val="00DE27AD"/>
    <w:rsid w:val="00DE36F9"/>
    <w:rsid w:val="00DE5669"/>
    <w:rsid w:val="00DE7738"/>
    <w:rsid w:val="00DF0D1C"/>
    <w:rsid w:val="00DF13EF"/>
    <w:rsid w:val="00E2264B"/>
    <w:rsid w:val="00E22AE1"/>
    <w:rsid w:val="00E24FD0"/>
    <w:rsid w:val="00E32BAD"/>
    <w:rsid w:val="00E41D01"/>
    <w:rsid w:val="00E44CD9"/>
    <w:rsid w:val="00E54A11"/>
    <w:rsid w:val="00E60068"/>
    <w:rsid w:val="00E76D1E"/>
    <w:rsid w:val="00E806B5"/>
    <w:rsid w:val="00E86AFD"/>
    <w:rsid w:val="00EA4FF4"/>
    <w:rsid w:val="00EC1DBE"/>
    <w:rsid w:val="00EC55AF"/>
    <w:rsid w:val="00EC58F3"/>
    <w:rsid w:val="00ED2F02"/>
    <w:rsid w:val="00ED782D"/>
    <w:rsid w:val="00EE61DA"/>
    <w:rsid w:val="00EE7129"/>
    <w:rsid w:val="00EE79D6"/>
    <w:rsid w:val="00EF3DE3"/>
    <w:rsid w:val="00EF5662"/>
    <w:rsid w:val="00F04771"/>
    <w:rsid w:val="00F054D4"/>
    <w:rsid w:val="00F13D90"/>
    <w:rsid w:val="00F22365"/>
    <w:rsid w:val="00F25B16"/>
    <w:rsid w:val="00F25CAA"/>
    <w:rsid w:val="00F30B49"/>
    <w:rsid w:val="00F33D15"/>
    <w:rsid w:val="00F37879"/>
    <w:rsid w:val="00F4191E"/>
    <w:rsid w:val="00F43ADC"/>
    <w:rsid w:val="00F44092"/>
    <w:rsid w:val="00F4432E"/>
    <w:rsid w:val="00F45C25"/>
    <w:rsid w:val="00F536E0"/>
    <w:rsid w:val="00F53946"/>
    <w:rsid w:val="00F53E89"/>
    <w:rsid w:val="00F55F9D"/>
    <w:rsid w:val="00F6587A"/>
    <w:rsid w:val="00F7005E"/>
    <w:rsid w:val="00F70C7B"/>
    <w:rsid w:val="00F76F09"/>
    <w:rsid w:val="00F77431"/>
    <w:rsid w:val="00F8248B"/>
    <w:rsid w:val="00F86104"/>
    <w:rsid w:val="00F900D7"/>
    <w:rsid w:val="00F92832"/>
    <w:rsid w:val="00F92B02"/>
    <w:rsid w:val="00FA01E0"/>
    <w:rsid w:val="00FA2578"/>
    <w:rsid w:val="00FB04B7"/>
    <w:rsid w:val="00FB09AB"/>
    <w:rsid w:val="00FC77F6"/>
    <w:rsid w:val="00FD0921"/>
    <w:rsid w:val="00FD6C86"/>
    <w:rsid w:val="00FE6037"/>
    <w:rsid w:val="00FE7683"/>
    <w:rsid w:val="00FE781A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A7A62"/>
  <w15:docId w15:val="{70C567EE-71E7-4AA0-A0D2-F52A1F52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930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 w:after="0" w:line="240" w:lineRule="auto"/>
    </w:pPr>
    <w:rPr>
      <w:rFonts w:ascii="Calibri" w:eastAsia="Calibri" w:hAnsi="Calibri" w:cs="Calibri"/>
      <w:color w:val="000000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191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2D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6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B3930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 w:after="0" w:line="240" w:lineRule="auto"/>
    </w:pPr>
    <w:rPr>
      <w:rFonts w:ascii="Calibri" w:eastAsia="Calibri" w:hAnsi="Calibri" w:cs="Calibri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B39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9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930"/>
    <w:rPr>
      <w:rFonts w:ascii="Calibri" w:eastAsia="Calibri" w:hAnsi="Calibri" w:cs="Calibri"/>
      <w:color w:val="000000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93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930"/>
    <w:rPr>
      <w:rFonts w:ascii="Segoe UI" w:eastAsia="Calibri" w:hAnsi="Segoe UI" w:cs="Segoe UI"/>
      <w:color w:val="000000"/>
      <w:sz w:val="18"/>
      <w:szCs w:val="18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7BF9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7BF9"/>
    <w:rPr>
      <w:rFonts w:ascii="Calibri" w:eastAsia="Calibri" w:hAnsi="Calibri" w:cs="Calibri"/>
      <w:color w:val="000000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E7BF9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0DF"/>
    <w:rPr>
      <w:rFonts w:ascii="Calibri" w:eastAsia="Calibri" w:hAnsi="Calibri" w:cs="Calibri"/>
      <w:b/>
      <w:bCs/>
      <w:color w:val="000000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A351D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D191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761711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761711"/>
    <w:rPr>
      <w:rFonts w:ascii="Calibri" w:eastAsia="Calibri" w:hAnsi="Calibri" w:cs="Calibri"/>
      <w:color w:val="000000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61711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61711"/>
    <w:rPr>
      <w:rFonts w:ascii="Calibri" w:eastAsia="Calibri" w:hAnsi="Calibri" w:cs="Calibri"/>
      <w:color w:val="000000"/>
      <w:sz w:val="24"/>
      <w:szCs w:val="24"/>
      <w:lang w:val="en-GB"/>
    </w:rPr>
  </w:style>
  <w:style w:type="paragraph" w:customStyle="1" w:styleId="Title1">
    <w:name w:val="Title 1"/>
    <w:basedOn w:val="Normal1"/>
    <w:rsid w:val="001C0870"/>
    <w:pPr>
      <w:spacing w:before="240"/>
      <w:jc w:val="center"/>
    </w:pPr>
    <w:rPr>
      <w:rFonts w:asciiTheme="minorHAnsi" w:hAnsiTheme="minorHAnsi" w:cs="Times New Roman"/>
      <w:sz w:val="28"/>
      <w:szCs w:val="28"/>
    </w:rPr>
  </w:style>
  <w:style w:type="character" w:styleId="Hyperlink">
    <w:name w:val="Hyperlink"/>
    <w:basedOn w:val="DefaultParagraphFont"/>
    <w:unhideWhenUsed/>
    <w:rsid w:val="001C087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0870"/>
    <w:rPr>
      <w:color w:val="954F72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A48E6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011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  <w:rPr>
      <w:rFonts w:ascii="Consolas" w:eastAsiaTheme="minorHAnsi" w:hAnsi="Consolas" w:cstheme="minorBidi"/>
      <w:color w:val="auto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0111"/>
    <w:rPr>
      <w:rFonts w:ascii="Consolas" w:hAnsi="Consolas"/>
      <w:sz w:val="21"/>
      <w:szCs w:val="21"/>
    </w:rPr>
  </w:style>
  <w:style w:type="character" w:customStyle="1" w:styleId="enumlev1Char">
    <w:name w:val="enumlev1 Char"/>
    <w:basedOn w:val="DefaultParagraphFont"/>
    <w:link w:val="enumlev1"/>
    <w:locked/>
    <w:rsid w:val="008A2D8A"/>
    <w:rPr>
      <w:rFonts w:ascii="Times New Roman" w:hAnsi="Times New Roman" w:cs="Times New Roman"/>
      <w:sz w:val="24"/>
      <w:lang w:val="en-GB"/>
    </w:rPr>
  </w:style>
  <w:style w:type="paragraph" w:customStyle="1" w:styleId="enumlev1">
    <w:name w:val="enumlev1"/>
    <w:basedOn w:val="Normal"/>
    <w:link w:val="enumlev1Char"/>
    <w:qFormat/>
    <w:rsid w:val="008A2D8A"/>
    <w:pPr>
      <w:tabs>
        <w:tab w:val="clear" w:pos="567"/>
        <w:tab w:val="clear" w:pos="1701"/>
        <w:tab w:val="clear" w:pos="2268"/>
        <w:tab w:val="clear" w:pos="2835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</w:pPr>
    <w:rPr>
      <w:rFonts w:ascii="Times New Roman" w:eastAsiaTheme="minorHAnsi" w:hAnsi="Times New Roman" w:cs="Times New Roman"/>
      <w:color w:val="auto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2D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customStyle="1" w:styleId="Figure">
    <w:name w:val="Figure"/>
    <w:basedOn w:val="Normal"/>
    <w:next w:val="Figuretitle"/>
    <w:rsid w:val="00A24A6A"/>
    <w:pPr>
      <w:keepNext/>
      <w:keepLines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Times New Roman" w:cs="Times New Roman"/>
      <w:color w:val="auto"/>
      <w:szCs w:val="20"/>
    </w:rPr>
  </w:style>
  <w:style w:type="paragraph" w:customStyle="1" w:styleId="Figuretitle">
    <w:name w:val="Figure_title"/>
    <w:basedOn w:val="Normal"/>
    <w:next w:val="Normal"/>
    <w:rsid w:val="00A24A6A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eastAsia="Times New Roman" w:cs="Times New Roman"/>
      <w:b/>
      <w:color w:val="auto"/>
      <w:szCs w:val="20"/>
    </w:rPr>
  </w:style>
  <w:style w:type="paragraph" w:customStyle="1" w:styleId="FigureNo">
    <w:name w:val="Figure_No"/>
    <w:basedOn w:val="Normal"/>
    <w:next w:val="Figuretitle"/>
    <w:rsid w:val="00A24A6A"/>
    <w:pPr>
      <w:keepNext/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 w:cs="Times New Roman"/>
      <w:caps/>
      <w:color w:val="auto"/>
      <w:szCs w:val="20"/>
    </w:rPr>
  </w:style>
  <w:style w:type="paragraph" w:styleId="NormalWeb">
    <w:name w:val="Normal (Web)"/>
    <w:basedOn w:val="Normal"/>
    <w:uiPriority w:val="99"/>
    <w:semiHidden/>
    <w:unhideWhenUsed/>
    <w:rsid w:val="00A24A6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val="en-US"/>
    </w:rPr>
  </w:style>
  <w:style w:type="paragraph" w:customStyle="1" w:styleId="AnnexNo">
    <w:name w:val="Annex_No"/>
    <w:basedOn w:val="Normal"/>
    <w:next w:val="Normal"/>
    <w:rsid w:val="00D95DB2"/>
    <w:pPr>
      <w:overflowPunct w:val="0"/>
      <w:autoSpaceDE w:val="0"/>
      <w:autoSpaceDN w:val="0"/>
      <w:adjustRightInd w:val="0"/>
      <w:spacing w:before="720"/>
      <w:jc w:val="center"/>
      <w:textAlignment w:val="baseline"/>
    </w:pPr>
    <w:rPr>
      <w:rFonts w:eastAsia="Times New Roman" w:cs="Times New Roman"/>
      <w:caps/>
      <w:color w:val="auto"/>
      <w:sz w:val="28"/>
      <w:szCs w:val="20"/>
    </w:rPr>
  </w:style>
  <w:style w:type="paragraph" w:customStyle="1" w:styleId="Annextitle">
    <w:name w:val="Annex_title"/>
    <w:basedOn w:val="Normal"/>
    <w:next w:val="Normal"/>
    <w:rsid w:val="00D95DB2"/>
    <w:pPr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eastAsia="Times New Roman" w:cs="Times New Roman"/>
      <w:b/>
      <w:color w:val="auto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E76D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24D47"/>
  </w:style>
  <w:style w:type="paragraph" w:customStyle="1" w:styleId="Default">
    <w:name w:val="Default"/>
    <w:rsid w:val="00D951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E7BBF-F335-496F-BE22-0A23E9920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1093</Words>
  <Characters>6235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China</vt:lpstr>
    </vt:vector>
  </TitlesOfParts>
  <Company/>
  <LinksUpToDate>false</LinksUpToDate>
  <CharactersWithSpaces>7314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UAE: Cost recovery mechanism for satellite filings contained in Decision 482</dc:title>
  <dc:subject>Council working group</dc:subject>
  <dc:creator>user</dc:creator>
  <cp:keywords>EG-DEC-482</cp:keywords>
  <cp:lastModifiedBy>Brouard, Ricarda</cp:lastModifiedBy>
  <cp:revision>2</cp:revision>
  <cp:lastPrinted>2019-05-14T11:26:00Z</cp:lastPrinted>
  <dcterms:created xsi:type="dcterms:W3CDTF">2019-05-21T16:04:00Z</dcterms:created>
  <dcterms:modified xsi:type="dcterms:W3CDTF">2019-05-21T16:04:00Z</dcterms:modified>
</cp:coreProperties>
</file>