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ED6371" w:rsidRPr="00813E5E" w:rsidTr="008C1932">
        <w:trPr>
          <w:cantSplit/>
        </w:trPr>
        <w:tc>
          <w:tcPr>
            <w:tcW w:w="6663" w:type="dxa"/>
          </w:tcPr>
          <w:p w:rsidR="00ED6371" w:rsidRPr="00813E5E" w:rsidRDefault="008C1932" w:rsidP="003517CC">
            <w:pPr>
              <w:spacing w:before="360" w:after="48" w:line="240" w:lineRule="atLeast"/>
              <w:rPr>
                <w:position w:val="6"/>
              </w:rPr>
            </w:pPr>
            <w:r>
              <w:rPr>
                <w:rFonts w:eastAsia="Calibri" w:cs="Calibri"/>
                <w:b/>
                <w:bCs/>
                <w:color w:val="000000"/>
                <w:position w:val="6"/>
                <w:sz w:val="30"/>
                <w:szCs w:val="30"/>
              </w:rPr>
              <w:t>Expert</w:t>
            </w:r>
            <w:r w:rsidRPr="005476DB">
              <w:rPr>
                <w:rFonts w:eastAsia="Calibri" w:cs="Calibri"/>
                <w:b/>
                <w:bCs/>
                <w:color w:val="000000"/>
                <w:position w:val="6"/>
                <w:sz w:val="30"/>
                <w:szCs w:val="30"/>
              </w:rPr>
              <w:t xml:space="preserve"> Group on International </w:t>
            </w:r>
            <w:r>
              <w:rPr>
                <w:rFonts w:eastAsia="Calibri" w:cs="Calibri"/>
                <w:b/>
                <w:bCs/>
                <w:color w:val="000000"/>
                <w:position w:val="6"/>
                <w:sz w:val="30"/>
                <w:szCs w:val="30"/>
              </w:rPr>
              <w:t>Telecommunication Regulations</w:t>
            </w:r>
            <w:r w:rsidRPr="005476DB">
              <w:rPr>
                <w:rFonts w:eastAsia="Calibri" w:cs="Calibri"/>
                <w:b/>
                <w:bCs/>
                <w:color w:val="000000"/>
                <w:position w:val="6"/>
                <w:sz w:val="30"/>
                <w:szCs w:val="30"/>
              </w:rPr>
              <w:t xml:space="preserve"> (</w:t>
            </w:r>
            <w:r>
              <w:rPr>
                <w:rFonts w:eastAsia="Calibri" w:cs="Calibri"/>
                <w:b/>
                <w:bCs/>
                <w:color w:val="000000"/>
                <w:position w:val="6"/>
                <w:sz w:val="30"/>
                <w:szCs w:val="30"/>
              </w:rPr>
              <w:t>EG</w:t>
            </w:r>
            <w:r w:rsidRPr="005476DB">
              <w:rPr>
                <w:rFonts w:eastAsia="Calibri" w:cs="Calibri"/>
                <w:b/>
                <w:bCs/>
                <w:color w:val="000000"/>
                <w:position w:val="6"/>
                <w:sz w:val="30"/>
                <w:szCs w:val="30"/>
              </w:rPr>
              <w:noBreakHyphen/>
              <w:t>I</w:t>
            </w:r>
            <w:r>
              <w:rPr>
                <w:rFonts w:eastAsia="Calibri" w:cs="Calibri"/>
                <w:b/>
                <w:bCs/>
                <w:color w:val="000000"/>
                <w:position w:val="6"/>
                <w:sz w:val="30"/>
                <w:szCs w:val="30"/>
              </w:rPr>
              <w:t>TRs</w:t>
            </w:r>
            <w:r w:rsidRPr="005476DB">
              <w:rPr>
                <w:rFonts w:eastAsia="Calibri" w:cs="Calibri"/>
                <w:b/>
                <w:bCs/>
                <w:color w:val="000000"/>
                <w:position w:val="6"/>
                <w:sz w:val="30"/>
                <w:szCs w:val="30"/>
              </w:rPr>
              <w:t>)</w:t>
            </w:r>
          </w:p>
        </w:tc>
        <w:tc>
          <w:tcPr>
            <w:tcW w:w="3368" w:type="dxa"/>
          </w:tcPr>
          <w:p w:rsidR="00ED6371" w:rsidRPr="00813E5E" w:rsidRDefault="00ED6371" w:rsidP="008C1932">
            <w:pPr>
              <w:spacing w:before="0" w:line="240" w:lineRule="atLeast"/>
            </w:pPr>
            <w:bookmarkStart w:id="0" w:name="ditulogo"/>
            <w:bookmarkEnd w:id="0"/>
            <w:r w:rsidRPr="00F21593">
              <w:rPr>
                <w:rFonts w:ascii="Verdana" w:hAnsi="Verdana"/>
                <w:noProof/>
                <w:color w:val="FFFFFF"/>
                <w:sz w:val="26"/>
                <w:szCs w:val="26"/>
                <w:lang w:val="en-US" w:eastAsia="zh-CN"/>
              </w:rPr>
              <w:drawing>
                <wp:inline distT="0" distB="0" distL="0" distR="0" wp14:anchorId="36BBE682" wp14:editId="6186CE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D6371" w:rsidRPr="00813E5E" w:rsidTr="008C1932">
        <w:trPr>
          <w:cantSplit/>
        </w:trPr>
        <w:tc>
          <w:tcPr>
            <w:tcW w:w="6663" w:type="dxa"/>
            <w:tcBorders>
              <w:bottom w:val="single" w:sz="12" w:space="0" w:color="auto"/>
            </w:tcBorders>
          </w:tcPr>
          <w:p w:rsidR="00ED6371" w:rsidRPr="00813E5E" w:rsidRDefault="008C1932" w:rsidP="003517CC">
            <w:pPr>
              <w:spacing w:before="0" w:after="48" w:line="240" w:lineRule="atLeast"/>
              <w:rPr>
                <w:b/>
                <w:smallCaps/>
                <w:szCs w:val="24"/>
              </w:rPr>
            </w:pPr>
            <w:r>
              <w:rPr>
                <w:rFonts w:eastAsia="Calibri" w:cs="Calibri"/>
                <w:b/>
                <w:color w:val="000000"/>
                <w:szCs w:val="24"/>
              </w:rPr>
              <w:t>Fourth</w:t>
            </w:r>
            <w:r w:rsidRPr="005476DB">
              <w:rPr>
                <w:rFonts w:eastAsia="Calibri" w:cs="Calibri"/>
                <w:b/>
                <w:color w:val="000000"/>
                <w:szCs w:val="24"/>
              </w:rPr>
              <w:t xml:space="preserve"> meeting – Geneva, </w:t>
            </w:r>
            <w:r>
              <w:rPr>
                <w:rFonts w:eastAsia="Calibri" w:cs="Calibri"/>
                <w:b/>
                <w:color w:val="000000"/>
                <w:szCs w:val="24"/>
              </w:rPr>
              <w:t>12-13</w:t>
            </w:r>
            <w:r w:rsidRPr="005476DB">
              <w:rPr>
                <w:rFonts w:eastAsia="Calibri" w:cs="Calibri"/>
                <w:b/>
                <w:color w:val="000000"/>
                <w:szCs w:val="24"/>
              </w:rPr>
              <w:t xml:space="preserve"> </w:t>
            </w:r>
            <w:r>
              <w:rPr>
                <w:rFonts w:eastAsia="Calibri" w:cs="Calibri"/>
                <w:b/>
                <w:color w:val="000000"/>
                <w:szCs w:val="24"/>
              </w:rPr>
              <w:t>April 2018</w:t>
            </w:r>
          </w:p>
        </w:tc>
        <w:tc>
          <w:tcPr>
            <w:tcW w:w="3368" w:type="dxa"/>
            <w:tcBorders>
              <w:bottom w:val="single" w:sz="12" w:space="0" w:color="auto"/>
            </w:tcBorders>
          </w:tcPr>
          <w:p w:rsidR="00ED6371" w:rsidRPr="00813E5E" w:rsidRDefault="00ED6371" w:rsidP="003517CC">
            <w:pPr>
              <w:spacing w:before="0" w:line="240" w:lineRule="atLeast"/>
              <w:rPr>
                <w:szCs w:val="24"/>
              </w:rPr>
            </w:pPr>
          </w:p>
        </w:tc>
      </w:tr>
      <w:tr w:rsidR="00ED6371" w:rsidRPr="00813E5E" w:rsidTr="008C1932">
        <w:trPr>
          <w:cantSplit/>
        </w:trPr>
        <w:tc>
          <w:tcPr>
            <w:tcW w:w="6663" w:type="dxa"/>
            <w:tcBorders>
              <w:top w:val="single" w:sz="12" w:space="0" w:color="auto"/>
            </w:tcBorders>
          </w:tcPr>
          <w:p w:rsidR="00ED6371" w:rsidRPr="00813E5E" w:rsidRDefault="00ED6371" w:rsidP="003517CC">
            <w:pPr>
              <w:spacing w:before="0" w:after="48" w:line="240" w:lineRule="atLeast"/>
              <w:rPr>
                <w:b/>
                <w:smallCaps/>
                <w:szCs w:val="24"/>
              </w:rPr>
            </w:pPr>
          </w:p>
        </w:tc>
        <w:tc>
          <w:tcPr>
            <w:tcW w:w="3368" w:type="dxa"/>
            <w:tcBorders>
              <w:top w:val="single" w:sz="12" w:space="0" w:color="auto"/>
            </w:tcBorders>
          </w:tcPr>
          <w:p w:rsidR="00ED6371" w:rsidRPr="00813E5E" w:rsidRDefault="00ED6371" w:rsidP="003517CC">
            <w:pPr>
              <w:spacing w:before="0" w:line="240" w:lineRule="atLeast"/>
              <w:rPr>
                <w:szCs w:val="24"/>
              </w:rPr>
            </w:pPr>
          </w:p>
        </w:tc>
      </w:tr>
      <w:tr w:rsidR="00ED6371" w:rsidRPr="00813E5E" w:rsidTr="008C1932">
        <w:trPr>
          <w:cantSplit/>
          <w:trHeight w:val="23"/>
        </w:trPr>
        <w:tc>
          <w:tcPr>
            <w:tcW w:w="6663" w:type="dxa"/>
            <w:vMerge w:val="restart"/>
          </w:tcPr>
          <w:p w:rsidR="00ED6371" w:rsidRPr="00E85629" w:rsidRDefault="00ED6371" w:rsidP="003517CC">
            <w:pPr>
              <w:tabs>
                <w:tab w:val="left" w:pos="851"/>
              </w:tabs>
              <w:spacing w:before="0" w:line="240" w:lineRule="atLeast"/>
              <w:rPr>
                <w:b/>
              </w:rPr>
            </w:pPr>
            <w:bookmarkStart w:id="1" w:name="dmeeting" w:colFirst="0" w:colLast="0"/>
            <w:bookmarkStart w:id="2" w:name="dnum" w:colFirst="1" w:colLast="1"/>
          </w:p>
        </w:tc>
        <w:tc>
          <w:tcPr>
            <w:tcW w:w="3368" w:type="dxa"/>
          </w:tcPr>
          <w:p w:rsidR="00ED6371" w:rsidRPr="00E85629" w:rsidRDefault="008C1932" w:rsidP="008C1932">
            <w:pPr>
              <w:tabs>
                <w:tab w:val="left" w:pos="851"/>
              </w:tabs>
              <w:spacing w:before="0" w:line="240" w:lineRule="atLeast"/>
              <w:rPr>
                <w:b/>
              </w:rPr>
            </w:pPr>
            <w:r>
              <w:rPr>
                <w:b/>
              </w:rPr>
              <w:t xml:space="preserve">Document </w:t>
            </w:r>
            <w:r w:rsidRPr="008A4A16">
              <w:rPr>
                <w:rFonts w:eastAsia="Calibri" w:cs="Calibri"/>
                <w:b/>
                <w:color w:val="000000"/>
                <w:szCs w:val="24"/>
                <w:lang w:val="de-CH"/>
              </w:rPr>
              <w:t xml:space="preserve"> EG-ITRs-4/INF/</w:t>
            </w:r>
            <w:r>
              <w:rPr>
                <w:rFonts w:eastAsia="Calibri" w:cs="Calibri"/>
                <w:b/>
                <w:color w:val="000000"/>
                <w:szCs w:val="24"/>
                <w:lang w:val="de-CH"/>
              </w:rPr>
              <w:t>2</w:t>
            </w:r>
            <w:r w:rsidRPr="008A4A16">
              <w:rPr>
                <w:rFonts w:eastAsia="Calibri" w:cs="Calibri"/>
                <w:b/>
                <w:color w:val="000000"/>
                <w:szCs w:val="24"/>
                <w:lang w:val="de-CH"/>
              </w:rPr>
              <w:t>-E</w:t>
            </w:r>
          </w:p>
        </w:tc>
      </w:tr>
      <w:tr w:rsidR="00ED6371" w:rsidRPr="00813E5E" w:rsidTr="008C1932">
        <w:trPr>
          <w:cantSplit/>
          <w:trHeight w:val="23"/>
        </w:trPr>
        <w:tc>
          <w:tcPr>
            <w:tcW w:w="6663" w:type="dxa"/>
            <w:vMerge/>
          </w:tcPr>
          <w:p w:rsidR="00ED6371" w:rsidRPr="00813E5E" w:rsidRDefault="00ED6371" w:rsidP="003517CC">
            <w:pPr>
              <w:tabs>
                <w:tab w:val="left" w:pos="851"/>
              </w:tabs>
              <w:spacing w:line="240" w:lineRule="atLeast"/>
              <w:rPr>
                <w:b/>
              </w:rPr>
            </w:pPr>
            <w:bookmarkStart w:id="3" w:name="ddate" w:colFirst="1" w:colLast="1"/>
            <w:bookmarkEnd w:id="1"/>
            <w:bookmarkEnd w:id="2"/>
          </w:p>
        </w:tc>
        <w:tc>
          <w:tcPr>
            <w:tcW w:w="3368" w:type="dxa"/>
          </w:tcPr>
          <w:p w:rsidR="00ED6371" w:rsidRPr="00E85629" w:rsidRDefault="008C1932" w:rsidP="00AD4817">
            <w:pPr>
              <w:tabs>
                <w:tab w:val="left" w:pos="993"/>
              </w:tabs>
              <w:spacing w:before="0"/>
              <w:rPr>
                <w:b/>
              </w:rPr>
            </w:pPr>
            <w:r>
              <w:rPr>
                <w:b/>
              </w:rPr>
              <w:t>10</w:t>
            </w:r>
            <w:r w:rsidR="00ED6371" w:rsidRPr="00ED6371">
              <w:rPr>
                <w:b/>
              </w:rPr>
              <w:t xml:space="preserve"> </w:t>
            </w:r>
            <w:r w:rsidR="00AD4817">
              <w:rPr>
                <w:b/>
              </w:rPr>
              <w:t>April</w:t>
            </w:r>
            <w:r w:rsidR="00ED6371" w:rsidRPr="00ED6371">
              <w:rPr>
                <w:b/>
              </w:rPr>
              <w:t xml:space="preserve"> 2018</w:t>
            </w:r>
          </w:p>
        </w:tc>
      </w:tr>
      <w:tr w:rsidR="00ED6371" w:rsidRPr="00813E5E" w:rsidTr="008C1932">
        <w:trPr>
          <w:cantSplit/>
          <w:trHeight w:val="23"/>
        </w:trPr>
        <w:tc>
          <w:tcPr>
            <w:tcW w:w="6663" w:type="dxa"/>
            <w:vMerge/>
          </w:tcPr>
          <w:p w:rsidR="00ED6371" w:rsidRPr="00813E5E" w:rsidRDefault="00ED6371" w:rsidP="003517CC">
            <w:pPr>
              <w:tabs>
                <w:tab w:val="left" w:pos="851"/>
              </w:tabs>
              <w:spacing w:line="240" w:lineRule="atLeast"/>
              <w:rPr>
                <w:b/>
              </w:rPr>
            </w:pPr>
            <w:bookmarkStart w:id="4" w:name="dorlang" w:colFirst="1" w:colLast="1"/>
            <w:bookmarkEnd w:id="3"/>
          </w:p>
        </w:tc>
        <w:tc>
          <w:tcPr>
            <w:tcW w:w="3368" w:type="dxa"/>
          </w:tcPr>
          <w:p w:rsidR="00ED6371" w:rsidRPr="00E85629" w:rsidRDefault="00ED6371" w:rsidP="003517CC">
            <w:pPr>
              <w:tabs>
                <w:tab w:val="left" w:pos="993"/>
              </w:tabs>
              <w:spacing w:before="0"/>
              <w:rPr>
                <w:b/>
              </w:rPr>
            </w:pPr>
            <w:r>
              <w:rPr>
                <w:b/>
              </w:rPr>
              <w:t>English</w:t>
            </w:r>
            <w:r w:rsidR="008C1932">
              <w:rPr>
                <w:b/>
              </w:rPr>
              <w:t xml:space="preserve"> only</w:t>
            </w:r>
          </w:p>
        </w:tc>
      </w:tr>
      <w:tr w:rsidR="00ED6371" w:rsidRPr="00813E5E" w:rsidTr="003517CC">
        <w:trPr>
          <w:cantSplit/>
        </w:trPr>
        <w:tc>
          <w:tcPr>
            <w:tcW w:w="10031" w:type="dxa"/>
            <w:gridSpan w:val="2"/>
          </w:tcPr>
          <w:p w:rsidR="00ED6371" w:rsidRPr="00AD4817" w:rsidRDefault="00AD4817" w:rsidP="00E50BAA">
            <w:pPr>
              <w:pStyle w:val="Title1"/>
              <w:framePr w:hSpace="0" w:wrap="auto" w:hAnchor="text" w:yAlign="inline"/>
              <w:rPr>
                <w:caps w:val="0"/>
                <w:szCs w:val="36"/>
              </w:rPr>
            </w:pPr>
            <w:bookmarkStart w:id="5" w:name="dtitle1" w:colFirst="0" w:colLast="0"/>
            <w:bookmarkEnd w:id="4"/>
            <w:r w:rsidRPr="004625E8">
              <w:rPr>
                <w:szCs w:val="36"/>
              </w:rPr>
              <w:t xml:space="preserve">TSB Director’s input </w:t>
            </w:r>
            <w:bookmarkStart w:id="6" w:name="_GoBack"/>
            <w:bookmarkEnd w:id="6"/>
            <w:r w:rsidRPr="004625E8">
              <w:rPr>
                <w:szCs w:val="36"/>
              </w:rPr>
              <w:t>on the international telecom</w:t>
            </w:r>
            <w:r>
              <w:rPr>
                <w:szCs w:val="36"/>
              </w:rPr>
              <w:t>munication regulations</w:t>
            </w:r>
          </w:p>
        </w:tc>
      </w:tr>
      <w:bookmarkEnd w:id="5"/>
    </w:tbl>
    <w:p w:rsidR="00ED6371" w:rsidRPr="00813E5E" w:rsidRDefault="00ED6371" w:rsidP="00ED637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D6371" w:rsidRPr="00354E24" w:rsidTr="003517CC">
        <w:trPr>
          <w:trHeight w:val="3372"/>
        </w:trPr>
        <w:tc>
          <w:tcPr>
            <w:tcW w:w="8080" w:type="dxa"/>
            <w:tcBorders>
              <w:top w:val="single" w:sz="12" w:space="0" w:color="auto"/>
              <w:left w:val="single" w:sz="12" w:space="0" w:color="auto"/>
              <w:bottom w:val="single" w:sz="12" w:space="0" w:color="auto"/>
              <w:right w:val="single" w:sz="12" w:space="0" w:color="auto"/>
            </w:tcBorders>
          </w:tcPr>
          <w:p w:rsidR="00ED6371" w:rsidRPr="00813E5E" w:rsidRDefault="00ED6371" w:rsidP="003517CC">
            <w:pPr>
              <w:pStyle w:val="Headingb"/>
            </w:pPr>
            <w:r w:rsidRPr="00813E5E">
              <w:t>Summary</w:t>
            </w:r>
          </w:p>
          <w:p w:rsidR="00ED6371" w:rsidRPr="00813E5E" w:rsidRDefault="00A44CE4" w:rsidP="00216ACC">
            <w:pPr>
              <w:jc w:val="both"/>
            </w:pPr>
            <w:r>
              <w:rPr>
                <w:rFonts w:asciiTheme="minorHAnsi" w:hAnsiTheme="minorHAnsi"/>
              </w:rPr>
              <w:t>The TSB Director reported to the 3</w:t>
            </w:r>
            <w:r w:rsidRPr="00A44CE4">
              <w:rPr>
                <w:rFonts w:asciiTheme="minorHAnsi" w:hAnsiTheme="minorHAnsi"/>
                <w:vertAlign w:val="superscript"/>
              </w:rPr>
              <w:t>rd</w:t>
            </w:r>
            <w:r>
              <w:rPr>
                <w:rFonts w:asciiTheme="minorHAnsi" w:hAnsiTheme="minorHAnsi"/>
              </w:rPr>
              <w:t xml:space="preserve"> </w:t>
            </w:r>
            <w:r w:rsidRPr="004625E8">
              <w:rPr>
                <w:rFonts w:asciiTheme="minorHAnsi" w:hAnsiTheme="minorHAnsi"/>
              </w:rPr>
              <w:t xml:space="preserve">meeting of the Expert Group </w:t>
            </w:r>
            <w:r>
              <w:rPr>
                <w:rFonts w:asciiTheme="minorHAnsi" w:hAnsiTheme="minorHAnsi"/>
              </w:rPr>
              <w:t xml:space="preserve">(17-19 January 2018) </w:t>
            </w:r>
            <w:r w:rsidRPr="004625E8">
              <w:rPr>
                <w:rFonts w:asciiTheme="minorHAnsi" w:hAnsiTheme="minorHAnsi"/>
              </w:rPr>
              <w:t>on the</w:t>
            </w:r>
            <w:r>
              <w:rPr>
                <w:rFonts w:asciiTheme="minorHAnsi" w:hAnsiTheme="minorHAnsi"/>
              </w:rPr>
              <w:t xml:space="preserve"> responses received from the ITU-T study groups regarding the</w:t>
            </w:r>
            <w:r w:rsidRPr="004625E8">
              <w:rPr>
                <w:rFonts w:asciiTheme="minorHAnsi" w:hAnsiTheme="minorHAnsi"/>
              </w:rPr>
              <w:t xml:space="preserve"> International Telecommunication Regulations</w:t>
            </w:r>
            <w:r>
              <w:rPr>
                <w:rFonts w:asciiTheme="minorHAnsi" w:hAnsiTheme="minorHAnsi"/>
              </w:rPr>
              <w:t xml:space="preserve">. Further updates </w:t>
            </w:r>
            <w:r w:rsidR="004573C0">
              <w:rPr>
                <w:rFonts w:asciiTheme="minorHAnsi" w:hAnsiTheme="minorHAnsi"/>
              </w:rPr>
              <w:t>by some</w:t>
            </w:r>
            <w:r w:rsidR="00016C17">
              <w:rPr>
                <w:rFonts w:asciiTheme="minorHAnsi" w:hAnsiTheme="minorHAnsi"/>
              </w:rPr>
              <w:t xml:space="preserve"> </w:t>
            </w:r>
            <w:r w:rsidR="004573C0">
              <w:rPr>
                <w:rFonts w:asciiTheme="minorHAnsi" w:hAnsiTheme="minorHAnsi"/>
              </w:rPr>
              <w:t xml:space="preserve">ITU-T </w:t>
            </w:r>
            <w:r w:rsidR="00016C17">
              <w:rPr>
                <w:rFonts w:asciiTheme="minorHAnsi" w:hAnsiTheme="minorHAnsi"/>
              </w:rPr>
              <w:t xml:space="preserve">study groups </w:t>
            </w:r>
            <w:r>
              <w:rPr>
                <w:rFonts w:asciiTheme="minorHAnsi" w:hAnsiTheme="minorHAnsi"/>
              </w:rPr>
              <w:t xml:space="preserve">were presented at TSAG 26 February – 2 March 2018. This document summarizes the responses </w:t>
            </w:r>
            <w:r w:rsidR="004573C0">
              <w:rPr>
                <w:rFonts w:asciiTheme="minorHAnsi" w:hAnsiTheme="minorHAnsi"/>
              </w:rPr>
              <w:t xml:space="preserve">received from </w:t>
            </w:r>
            <w:r>
              <w:rPr>
                <w:rFonts w:asciiTheme="minorHAnsi" w:hAnsiTheme="minorHAnsi"/>
              </w:rPr>
              <w:t>the study groups.</w:t>
            </w:r>
          </w:p>
          <w:p w:rsidR="00ED6371" w:rsidRPr="00813E5E" w:rsidRDefault="00ED6371" w:rsidP="003517CC">
            <w:pPr>
              <w:pStyle w:val="Headingb"/>
            </w:pPr>
            <w:r w:rsidRPr="00813E5E">
              <w:t>Action required</w:t>
            </w:r>
          </w:p>
          <w:p w:rsidR="00ED6371" w:rsidRPr="00A44CE4" w:rsidRDefault="00216ACC">
            <w:pPr>
              <w:spacing w:after="120"/>
            </w:pPr>
            <w:r>
              <w:t>This report is transmitted to EG-ITRs</w:t>
            </w:r>
            <w:r w:rsidR="00512902">
              <w:t xml:space="preserve"> </w:t>
            </w:r>
            <w:r>
              <w:t>for information</w:t>
            </w:r>
            <w:r w:rsidR="00D136B0">
              <w:t>.</w:t>
            </w:r>
          </w:p>
          <w:p w:rsidR="00ED6371" w:rsidRPr="003517CC" w:rsidRDefault="00ED6371" w:rsidP="003517CC">
            <w:pPr>
              <w:pStyle w:val="Headingb"/>
              <w:rPr>
                <w:lang w:val="pt-BR"/>
              </w:rPr>
            </w:pPr>
            <w:r w:rsidRPr="003517CC">
              <w:rPr>
                <w:lang w:val="pt-BR"/>
              </w:rPr>
              <w:t>References</w:t>
            </w:r>
          </w:p>
          <w:p w:rsidR="00ED6371" w:rsidRPr="003517CC" w:rsidRDefault="00E50BAA" w:rsidP="003517CC">
            <w:pPr>
              <w:spacing w:after="120"/>
              <w:rPr>
                <w:i/>
                <w:iCs/>
                <w:lang w:val="pt-BR"/>
              </w:rPr>
            </w:pPr>
            <w:hyperlink r:id="rId8" w:history="1">
              <w:r w:rsidR="00A44CE4">
                <w:rPr>
                  <w:rStyle w:val="Hyperlink"/>
                </w:rPr>
                <w:t>TSB Director's input to the third meeting of the EG-ITRs</w:t>
              </w:r>
            </w:hyperlink>
            <w:r w:rsidR="00A44CE4">
              <w:t xml:space="preserve"> (January 2018); </w:t>
            </w:r>
            <w:hyperlink r:id="rId9" w:history="1">
              <w:r w:rsidR="00A44CE4" w:rsidRPr="00A44CE4">
                <w:rPr>
                  <w:rStyle w:val="Hyperlink"/>
                  <w:rFonts w:asciiTheme="minorHAnsi" w:hAnsiTheme="minorHAnsi"/>
                </w:rPr>
                <w:t>TSAG TD 265</w:t>
              </w:r>
            </w:hyperlink>
            <w:r w:rsidR="00A44CE4">
              <w:rPr>
                <w:rFonts w:asciiTheme="minorHAnsi" w:hAnsiTheme="minorHAnsi"/>
              </w:rPr>
              <w:t xml:space="preserve"> (26 February – 2 March 2018)</w:t>
            </w:r>
          </w:p>
        </w:tc>
      </w:tr>
    </w:tbl>
    <w:p w:rsidR="00AD4817" w:rsidRPr="004625E8" w:rsidRDefault="00A44CE4" w:rsidP="00AD4817">
      <w:pPr>
        <w:spacing w:before="360" w:after="120"/>
        <w:rPr>
          <w:rFonts w:asciiTheme="minorHAnsi" w:hAnsiTheme="minorHAnsi"/>
          <w:b/>
          <w:bCs/>
        </w:rPr>
      </w:pPr>
      <w:bookmarkStart w:id="7" w:name="dstart"/>
      <w:bookmarkStart w:id="8" w:name="dbreak"/>
      <w:bookmarkEnd w:id="7"/>
      <w:bookmarkEnd w:id="8"/>
      <w:r>
        <w:rPr>
          <w:rFonts w:asciiTheme="minorHAnsi" w:hAnsiTheme="minorHAnsi"/>
          <w:b/>
          <w:bCs/>
        </w:rPr>
        <w:t>1</w:t>
      </w:r>
      <w:r w:rsidR="00AD4817" w:rsidRPr="004625E8">
        <w:rPr>
          <w:rFonts w:asciiTheme="minorHAnsi" w:hAnsiTheme="minorHAnsi"/>
          <w:b/>
          <w:bCs/>
        </w:rPr>
        <w:tab/>
        <w:t>Responses from ITU-T Study Groups</w:t>
      </w:r>
    </w:p>
    <w:tbl>
      <w:tblPr>
        <w:tblW w:w="9923" w:type="dxa"/>
        <w:tblInd w:w="-152" w:type="dxa"/>
        <w:tblCellMar>
          <w:left w:w="0" w:type="dxa"/>
          <w:right w:w="0" w:type="dxa"/>
        </w:tblCellMar>
        <w:tblLook w:val="04A0" w:firstRow="1" w:lastRow="0" w:firstColumn="1" w:lastColumn="0" w:noHBand="0" w:noVBand="1"/>
      </w:tblPr>
      <w:tblGrid>
        <w:gridCol w:w="1642"/>
        <w:gridCol w:w="8281"/>
      </w:tblGrid>
      <w:tr w:rsidR="00AD4817" w:rsidRPr="004625E8" w:rsidTr="00D43D5B">
        <w:trPr>
          <w:trHeight w:val="300"/>
          <w:tblHeader/>
        </w:trPr>
        <w:tc>
          <w:tcPr>
            <w:tcW w:w="1642" w:type="dxa"/>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hideMark/>
          </w:tcPr>
          <w:p w:rsidR="00AD4817" w:rsidRPr="004625E8" w:rsidRDefault="00AD4817" w:rsidP="00D43D5B">
            <w:pPr>
              <w:spacing w:after="120"/>
              <w:rPr>
                <w:rFonts w:asciiTheme="minorHAnsi" w:hAnsiTheme="minorHAnsi"/>
                <w:b/>
                <w:i/>
                <w:iCs/>
              </w:rPr>
            </w:pPr>
            <w:r w:rsidRPr="004625E8">
              <w:rPr>
                <w:rFonts w:asciiTheme="minorHAnsi" w:hAnsiTheme="minorHAnsi"/>
                <w:b/>
                <w:i/>
                <w:iCs/>
              </w:rPr>
              <w:t>Study Group</w:t>
            </w:r>
          </w:p>
        </w:tc>
        <w:tc>
          <w:tcPr>
            <w:tcW w:w="8281" w:type="dxa"/>
            <w:tcBorders>
              <w:top w:val="single" w:sz="8" w:space="0" w:color="auto"/>
              <w:left w:val="nil"/>
              <w:bottom w:val="single" w:sz="8" w:space="0" w:color="auto"/>
              <w:right w:val="single" w:sz="8" w:space="0" w:color="auto"/>
            </w:tcBorders>
            <w:shd w:val="clear" w:color="auto" w:fill="ACB9CA"/>
            <w:noWrap/>
            <w:tcMar>
              <w:top w:w="0" w:type="dxa"/>
              <w:left w:w="108" w:type="dxa"/>
              <w:bottom w:w="0" w:type="dxa"/>
              <w:right w:w="108" w:type="dxa"/>
            </w:tcMar>
            <w:hideMark/>
          </w:tcPr>
          <w:p w:rsidR="00AD4817" w:rsidRPr="004625E8" w:rsidRDefault="00AD4817" w:rsidP="00D43D5B">
            <w:pPr>
              <w:spacing w:after="120"/>
              <w:rPr>
                <w:rFonts w:asciiTheme="minorHAnsi" w:hAnsiTheme="minorHAnsi"/>
                <w:b/>
                <w:i/>
                <w:iCs/>
              </w:rPr>
            </w:pPr>
            <w:r w:rsidRPr="004625E8">
              <w:rPr>
                <w:rFonts w:asciiTheme="minorHAnsi" w:hAnsiTheme="minorHAnsi"/>
                <w:b/>
                <w:i/>
                <w:iCs/>
              </w:rPr>
              <w:t xml:space="preserve">Input from the SG </w:t>
            </w:r>
          </w:p>
        </w:tc>
      </w:tr>
      <w:tr w:rsidR="00AD4817" w:rsidRPr="004625E8" w:rsidTr="00D43D5B">
        <w:trPr>
          <w:trHeight w:val="21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573C0">
              <w:rPr>
                <w:rFonts w:asciiTheme="minorHAnsi" w:hAnsiTheme="minorHAnsi"/>
                <w:b/>
              </w:rPr>
              <w:t>ITU-T SG2</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016C17" w:rsidRDefault="00016C17" w:rsidP="0022716A">
            <w:pPr>
              <w:spacing w:after="120"/>
              <w:rPr>
                <w:rFonts w:asciiTheme="minorHAnsi" w:hAnsiTheme="minorHAnsi"/>
              </w:rPr>
            </w:pPr>
            <w:r>
              <w:rPr>
                <w:rFonts w:asciiTheme="minorHAnsi" w:hAnsiTheme="minorHAnsi"/>
              </w:rPr>
              <w:t xml:space="preserve">(source: </w:t>
            </w:r>
            <w:hyperlink r:id="rId10" w:history="1">
              <w:r w:rsidRPr="00A44CE4">
                <w:rPr>
                  <w:rStyle w:val="Hyperlink"/>
                  <w:rFonts w:asciiTheme="minorHAnsi" w:hAnsiTheme="minorHAnsi"/>
                </w:rPr>
                <w:t>TSAG TD 265</w:t>
              </w:r>
            </w:hyperlink>
            <w:r>
              <w:rPr>
                <w:rFonts w:asciiTheme="minorHAnsi" w:hAnsiTheme="minorHAnsi"/>
              </w:rPr>
              <w:t>, 26 February – 2 March 2018):</w:t>
            </w:r>
          </w:p>
          <w:p w:rsidR="0022716A" w:rsidRDefault="0022716A" w:rsidP="0022716A">
            <w:pPr>
              <w:spacing w:after="120"/>
              <w:rPr>
                <w:rFonts w:asciiTheme="minorHAnsi" w:hAnsiTheme="minorHAnsi"/>
              </w:rPr>
            </w:pPr>
            <w:r w:rsidRPr="0022716A">
              <w:rPr>
                <w:rFonts w:asciiTheme="minorHAnsi" w:hAnsiTheme="minorHAnsi"/>
              </w:rPr>
              <w:t xml:space="preserve">“In response to the request made to the Director TSB at the EG-ITR’s meeting (January 2018) seeking specific information on ITU-T Recommendations that could be relevant to the articles of 2012 ITR’s, SG2 undertook a review by correspondence.  In addition to the Recommendations that were already identified in TSB Circular 55 (September 2013), some additional Recommendations were identified that were thought to be relevant to specific articles of the ITR’s and were added to the list of those SG2 Recommendations listed in Circular 55, where it was also noted that implementation of standards are voluntary in nature and should not be considered for "Incorporation By Reference" due to the Treaty </w:t>
            </w:r>
            <w:r w:rsidRPr="0022716A">
              <w:rPr>
                <w:rFonts w:asciiTheme="minorHAnsi" w:hAnsiTheme="minorHAnsi"/>
              </w:rPr>
              <w:lastRenderedPageBreak/>
              <w:t>nature of the ITRs. The list of referenced Recommendations (based on responses from the</w:t>
            </w:r>
            <w:r>
              <w:rPr>
                <w:rFonts w:asciiTheme="minorHAnsi" w:hAnsiTheme="minorHAnsi"/>
              </w:rPr>
              <w:t xml:space="preserve"> SG2 membership) is attached.”</w:t>
            </w:r>
          </w:p>
          <w:p w:rsidR="0022716A" w:rsidRPr="00584A11" w:rsidRDefault="0022716A" w:rsidP="0022716A">
            <w:pPr>
              <w:spacing w:before="280"/>
              <w:jc w:val="both"/>
              <w:rPr>
                <w:rFonts w:eastAsia="Batang"/>
              </w:rPr>
            </w:pPr>
            <w:r>
              <w:t>Article 3.5: “</w:t>
            </w:r>
            <w:r w:rsidRPr="00584A11">
              <w:rPr>
                <w:rFonts w:eastAsia="Batang"/>
              </w:rPr>
              <w:t>ITU-T E-series Recommendation: Overall network operation, telephone service, service operation and human factor, in particular:</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E.101:</w:t>
            </w:r>
            <w:r w:rsidRPr="00584A11">
              <w:rPr>
                <w:rFonts w:eastAsia="Batang"/>
              </w:rPr>
              <w:tab/>
              <w:t>Definitions of terms used for identifiers (names, numbers, addresses and other identifiers) for public telecommunication services and networks in the E-series Recommendations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E.118</w:t>
            </w:r>
            <w:r w:rsidRPr="00584A11">
              <w:rPr>
                <w:rFonts w:eastAsia="Batang"/>
              </w:rPr>
              <w:tab/>
              <w:t>The international telecommunication charge card</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E.156</w:t>
            </w:r>
            <w:r w:rsidRPr="00584A11">
              <w:rPr>
                <w:rFonts w:eastAsia="Batang"/>
              </w:rPr>
              <w:tab/>
              <w:t>Guidelines for ITU-T action on reported misuse of E.164 number resources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E.164:</w:t>
            </w:r>
            <w:r w:rsidRPr="00584A11">
              <w:rPr>
                <w:rFonts w:eastAsia="Batang"/>
              </w:rPr>
              <w:tab/>
              <w:t xml:space="preserve">The international public telecommunication numbering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E.164.1</w:t>
            </w:r>
            <w:r w:rsidRPr="00584A11">
              <w:rPr>
                <w:rFonts w:eastAsia="Batang"/>
              </w:rPr>
              <w:tab/>
              <w:t>Criteria and procedures for the reservation, assignment and reclamation of E.164 country codes and associated identification codes (ICs)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E.164.2</w:t>
            </w:r>
            <w:r w:rsidRPr="00584A11">
              <w:rPr>
                <w:rFonts w:eastAsia="Batang"/>
              </w:rPr>
              <w:tab/>
              <w:t>E.164 numbering resources for trials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E.164.3</w:t>
            </w:r>
            <w:r w:rsidRPr="00584A11">
              <w:rPr>
                <w:rFonts w:eastAsia="Batang"/>
              </w:rPr>
              <w:tab/>
              <w:t>Principles, criteria and procedures for the assignment and reclamation of E.164 country codes and associated identification codes for groups of countries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E.168:</w:t>
            </w:r>
            <w:r w:rsidRPr="00584A11">
              <w:rPr>
                <w:rFonts w:eastAsia="Batang"/>
              </w:rPr>
              <w:tab/>
              <w:t>Application of E.164 numbering plan for UPT</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E.168.1</w:t>
            </w:r>
            <w:r w:rsidRPr="00584A11">
              <w:rPr>
                <w:rFonts w:eastAsia="Batang"/>
              </w:rPr>
              <w:tab/>
              <w:t>Assignment procedures for universal personal telecommunications (UPT) numbers in the provisioning of the international UPT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E.169:</w:t>
            </w:r>
            <w:r w:rsidRPr="00584A11">
              <w:rPr>
                <w:rFonts w:eastAsia="Batang"/>
              </w:rPr>
              <w:tab/>
              <w:t>Application of E.164 numbering plan for universal international numbers for international telecommunications services using country codes for global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E.169.1:</w:t>
            </w:r>
            <w:r w:rsidRPr="00584A11">
              <w:rPr>
                <w:rFonts w:eastAsia="Batang"/>
              </w:rPr>
              <w:tab/>
              <w:t xml:space="preserve">Application of Recommendation E.164 numbering plan for universal international </w:t>
            </w:r>
            <w:proofErr w:type="spellStart"/>
            <w:r w:rsidRPr="00584A11">
              <w:rPr>
                <w:rFonts w:eastAsia="Batang"/>
              </w:rPr>
              <w:t>freephone</w:t>
            </w:r>
            <w:proofErr w:type="spellEnd"/>
            <w:r w:rsidRPr="00584A11">
              <w:rPr>
                <w:rFonts w:eastAsia="Batang"/>
              </w:rPr>
              <w:t xml:space="preserve"> numbers for international </w:t>
            </w:r>
            <w:proofErr w:type="spellStart"/>
            <w:r w:rsidRPr="00584A11">
              <w:rPr>
                <w:rFonts w:eastAsia="Batang"/>
              </w:rPr>
              <w:t>freephone</w:t>
            </w:r>
            <w:proofErr w:type="spellEnd"/>
            <w:r w:rsidRPr="00584A11">
              <w:rPr>
                <w:rFonts w:eastAsia="Batang"/>
              </w:rPr>
              <w:t xml:space="preserve">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E.169.2:</w:t>
            </w:r>
            <w:r w:rsidRPr="00584A11">
              <w:rPr>
                <w:rFonts w:eastAsia="Batang"/>
              </w:rPr>
              <w:tab/>
              <w:t>Application of Recommendation E.164 numbering plan for universal international premium rate numbers for the international premium rate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E.169.3:</w:t>
            </w:r>
            <w:r w:rsidRPr="00584A11">
              <w:rPr>
                <w:rFonts w:eastAsia="Batang"/>
              </w:rPr>
              <w:tab/>
              <w:t>Application of Recommendation E.164 numbering plan for universal international shared cost numbers for the international shared cost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E.190:</w:t>
            </w:r>
            <w:r w:rsidRPr="00584A11">
              <w:rPr>
                <w:rFonts w:eastAsia="Batang"/>
              </w:rPr>
              <w:tab/>
              <w:t>Principles and responsibilities for the management, assignment and reclamation of E-Series international numbering resources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E.191:</w:t>
            </w:r>
            <w:r w:rsidRPr="00584A11">
              <w:rPr>
                <w:rFonts w:eastAsia="Batang"/>
              </w:rPr>
              <w:tab/>
              <w:t>B-ISDN addressing</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E.191.1:</w:t>
            </w:r>
            <w:r w:rsidRPr="00584A11">
              <w:rPr>
                <w:rFonts w:eastAsia="Batang"/>
              </w:rPr>
              <w:tab/>
              <w:t>Criteria and procedures for the allocation of the ITU-T International Network Designator addresses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E.193:</w:t>
            </w:r>
            <w:r w:rsidRPr="00584A11">
              <w:rPr>
                <w:rFonts w:eastAsia="Batang"/>
              </w:rPr>
              <w:tab/>
              <w:t>E.164 country code expansion</w:t>
            </w:r>
          </w:p>
          <w:p w:rsid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E.212:</w:t>
            </w:r>
            <w:r w:rsidRPr="00584A11">
              <w:rPr>
                <w:rFonts w:eastAsia="Batang"/>
              </w:rPr>
              <w:tab/>
              <w:t xml:space="preserve">Network operational principles for future public mobile systems and services </w:t>
            </w:r>
          </w:p>
          <w:p w:rsid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Pr>
                <w:rFonts w:eastAsia="Batang"/>
              </w:rPr>
              <w:t>E.213 T</w:t>
            </w:r>
            <w:r>
              <w:t>elephone and ISDN numbering plan for land mobile stations in public land mobile networks (PLMN)</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Pr>
                <w:rFonts w:eastAsia="Batang"/>
              </w:rPr>
              <w:t>E</w:t>
            </w:r>
            <w:r w:rsidRPr="00D43D5B">
              <w:rPr>
                <w:rFonts w:asciiTheme="minorHAnsi" w:eastAsiaTheme="minorHAnsi" w:hAnsiTheme="minorHAnsi"/>
              </w:rPr>
              <w:t xml:space="preserve">.214 Structure of the land mobile global title for the signalling connection </w:t>
            </w:r>
            <w:r w:rsidRPr="00D43D5B">
              <w:rPr>
                <w:rFonts w:asciiTheme="minorHAnsi" w:hAnsiTheme="minorHAnsi" w:cstheme="minorBidi"/>
              </w:rPr>
              <w:t>control part (SCCP),</w:t>
            </w:r>
          </w:p>
          <w:p w:rsid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E.1100: Specification of an international numbering resource for use in the provisioning of international help lines </w:t>
            </w:r>
          </w:p>
          <w:p w:rsid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22716A">
              <w:rPr>
                <w:rFonts w:eastAsia="Batang"/>
              </w:rPr>
              <w:t>E.1110: Allocation and assignment of ITU-T E.164 country code 888</w:t>
            </w:r>
            <w:r>
              <w:rPr>
                <w:rFonts w:eastAsia="Batang"/>
              </w:rPr>
              <w:t>”</w:t>
            </w:r>
          </w:p>
          <w:p w:rsidR="0022716A" w:rsidRDefault="0022716A" w:rsidP="0022716A">
            <w:pPr>
              <w:tabs>
                <w:tab w:val="clear" w:pos="567"/>
                <w:tab w:val="clear" w:pos="1701"/>
                <w:tab w:val="clear" w:pos="2835"/>
                <w:tab w:val="left" w:pos="1871"/>
                <w:tab w:val="left" w:pos="2041"/>
              </w:tabs>
              <w:overflowPunct/>
              <w:autoSpaceDE/>
              <w:autoSpaceDN/>
              <w:adjustRightInd/>
              <w:spacing w:before="100" w:beforeAutospacing="1" w:after="100" w:afterAutospacing="1"/>
              <w:ind w:left="34"/>
              <w:jc w:val="both"/>
              <w:textAlignment w:val="auto"/>
              <w:rPr>
                <w:rFonts w:eastAsia="Batang"/>
              </w:rPr>
            </w:pPr>
            <w:r>
              <w:rPr>
                <w:rFonts w:eastAsia="Batang"/>
              </w:rPr>
              <w:t xml:space="preserve">Article 3.6: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240" w:after="100" w:afterAutospacing="1"/>
              <w:ind w:left="318" w:hanging="284"/>
              <w:jc w:val="both"/>
              <w:textAlignment w:val="auto"/>
              <w:rPr>
                <w:rFonts w:eastAsia="Batang"/>
              </w:rPr>
            </w:pPr>
            <w:r w:rsidRPr="00584A11">
              <w:rPr>
                <w:rFonts w:eastAsia="Batang"/>
              </w:rPr>
              <w:t xml:space="preserve">E.157  </w:t>
            </w:r>
            <w:r w:rsidRPr="00956186">
              <w:rPr>
                <w:rFonts w:eastAsia="Batang"/>
              </w:rPr>
              <w:t>International</w:t>
            </w:r>
            <w:r w:rsidRPr="00584A11">
              <w:rPr>
                <w:rFonts w:eastAsia="Batang"/>
              </w:rPr>
              <w:t xml:space="preserve"> calling party number delivery</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proofErr w:type="gramStart"/>
            <w:r w:rsidRPr="00584A11">
              <w:rPr>
                <w:rFonts w:eastAsia="Batang"/>
              </w:rPr>
              <w:t>I.251.3  Calling</w:t>
            </w:r>
            <w:proofErr w:type="gramEnd"/>
            <w:r w:rsidRPr="00584A11">
              <w:rPr>
                <w:rFonts w:eastAsia="Batang"/>
              </w:rPr>
              <w:t xml:space="preserve"> Line Identification Presentation.</w:t>
            </w:r>
          </w:p>
          <w:p w:rsid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proofErr w:type="gramStart"/>
            <w:r w:rsidRPr="00584A11">
              <w:rPr>
                <w:rFonts w:eastAsia="Batang"/>
              </w:rPr>
              <w:t>I.251.4  Calling</w:t>
            </w:r>
            <w:proofErr w:type="gramEnd"/>
            <w:r w:rsidRPr="00584A11">
              <w:rPr>
                <w:rFonts w:eastAsia="Batang"/>
              </w:rPr>
              <w:t xml:space="preserve"> Line Identification Restriction.</w:t>
            </w:r>
          </w:p>
          <w:p w:rsidR="0022716A" w:rsidRP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proofErr w:type="gramStart"/>
            <w:r w:rsidRPr="0022716A">
              <w:rPr>
                <w:rFonts w:eastAsia="Batang"/>
              </w:rPr>
              <w:t>I.251.7  Malicious</w:t>
            </w:r>
            <w:proofErr w:type="gramEnd"/>
            <w:r w:rsidRPr="0022716A">
              <w:rPr>
                <w:rFonts w:eastAsia="Batang"/>
              </w:rPr>
              <w:t xml:space="preserve"> Call Identification.</w:t>
            </w:r>
          </w:p>
          <w:p w:rsidR="0022716A" w:rsidRDefault="0022716A" w:rsidP="0022716A">
            <w:pPr>
              <w:spacing w:after="120"/>
            </w:pPr>
            <w:r>
              <w:t>Article 4.2:</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E.104: International telephone directory assistance service and public access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E.105: International telephone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E.116: International telecommunication charge card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E.140: Operator-assisted telephone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E.151: Telephone conference calls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E.152: International </w:t>
            </w:r>
            <w:proofErr w:type="spellStart"/>
            <w:r w:rsidRPr="00584A11">
              <w:rPr>
                <w:rFonts w:eastAsia="Batang"/>
              </w:rPr>
              <w:t>freephone</w:t>
            </w:r>
            <w:proofErr w:type="spellEnd"/>
            <w:r w:rsidRPr="00584A11">
              <w:rPr>
                <w:rFonts w:eastAsia="Batang"/>
              </w:rPr>
              <w:t xml:space="preserve"> service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E.153: Home country direct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E.154: International Shared Cost Service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E.155: International Premium Rate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E.202: Network operational principles for future public mobile systems and services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F series: Non-telephone telecommunication services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F.1-F.109: Telegraph service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F.110-F.159: Mobile service </w:t>
            </w:r>
          </w:p>
          <w:p w:rsidR="0022716A" w:rsidRPr="00C30720"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F.160-F.399: </w:t>
            </w:r>
            <w:proofErr w:type="spellStart"/>
            <w:r w:rsidRPr="00584A11">
              <w:rPr>
                <w:rFonts w:eastAsia="Batang"/>
              </w:rPr>
              <w:t>Telematic</w:t>
            </w:r>
            <w:proofErr w:type="spellEnd"/>
            <w:r w:rsidRPr="00584A11">
              <w:rPr>
                <w:rFonts w:eastAsia="Batang"/>
              </w:rPr>
              <w:t xml:space="preserve"> services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F.550-F.599: Document communication </w:t>
            </w:r>
          </w:p>
          <w:p w:rsid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F.800-F.849: ISDN services </w:t>
            </w:r>
          </w:p>
          <w:p w:rsidR="0022716A" w:rsidRPr="0022716A"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22716A">
              <w:rPr>
                <w:rFonts w:eastAsia="Batang"/>
              </w:rPr>
              <w:t>F.850-F.899: Universal personal telecommunication</w:t>
            </w:r>
          </w:p>
          <w:p w:rsidR="0022716A" w:rsidRDefault="0022716A" w:rsidP="0022716A">
            <w:pPr>
              <w:spacing w:after="120"/>
            </w:pPr>
            <w:r>
              <w:t>Article 4.3:</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E.420-</w:t>
            </w:r>
            <w:r>
              <w:rPr>
                <w:rFonts w:eastAsia="Batang"/>
              </w:rPr>
              <w:t xml:space="preserve"> </w:t>
            </w:r>
            <w:r w:rsidRPr="00584A11">
              <w:rPr>
                <w:rFonts w:eastAsia="Batang"/>
              </w:rPr>
              <w:t>E.4</w:t>
            </w:r>
            <w:r>
              <w:rPr>
                <w:rFonts w:eastAsia="Batang"/>
              </w:rPr>
              <w:t>7</w:t>
            </w:r>
            <w:r w:rsidRPr="00584A11">
              <w:rPr>
                <w:rFonts w:eastAsia="Batang"/>
              </w:rPr>
              <w:t>9: Checking the quality of the international telephone service</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E.800- E.859</w:t>
            </w:r>
          </w:p>
          <w:p w:rsidR="0022716A" w:rsidRDefault="0022716A" w:rsidP="0022716A">
            <w:pPr>
              <w:spacing w:after="120"/>
            </w:pPr>
            <w:r>
              <w:t>Article 5.1:</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E.106</w:t>
            </w:r>
            <w:r>
              <w:rPr>
                <w:rFonts w:eastAsia="Batang"/>
              </w:rPr>
              <w:t>:</w:t>
            </w:r>
            <w:r w:rsidRPr="00584A11">
              <w:rPr>
                <w:rFonts w:eastAsia="Batang"/>
              </w:rPr>
              <w:tab/>
              <w:t>International Emergency Preference Scheme (IEPS) for disaster relief operations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E.107</w:t>
            </w:r>
            <w:r>
              <w:rPr>
                <w:rFonts w:eastAsia="Batang"/>
              </w:rPr>
              <w:t>:</w:t>
            </w:r>
            <w:r w:rsidRPr="00584A11">
              <w:rPr>
                <w:rFonts w:eastAsia="Batang"/>
              </w:rPr>
              <w:tab/>
              <w:t>Emergency Telecommunications Service (ETS) and interconnection framework for national implementations of ETS</w:t>
            </w:r>
          </w:p>
          <w:p w:rsidR="0022716A" w:rsidRDefault="0022716A" w:rsidP="0022716A">
            <w:pPr>
              <w:spacing w:after="120"/>
            </w:pPr>
            <w:r>
              <w:t xml:space="preserve">Article 5.2: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E.106</w:t>
            </w:r>
            <w:r>
              <w:rPr>
                <w:rFonts w:eastAsia="Batang"/>
              </w:rPr>
              <w:t>:</w:t>
            </w:r>
            <w:r w:rsidRPr="00584A11">
              <w:rPr>
                <w:rFonts w:eastAsia="Batang"/>
              </w:rPr>
              <w:tab/>
              <w:t>International Emergency Preference Scheme (IEPS) for disaster relief operations</w:t>
            </w:r>
          </w:p>
          <w:p w:rsidR="0022716A" w:rsidRPr="00584A11" w:rsidRDefault="0022716A" w:rsidP="00A44CE4">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ind w:left="318" w:hanging="284"/>
              <w:jc w:val="both"/>
              <w:textAlignment w:val="auto"/>
              <w:rPr>
                <w:rFonts w:eastAsia="Batang"/>
              </w:rPr>
            </w:pPr>
            <w:r w:rsidRPr="00584A11">
              <w:rPr>
                <w:rFonts w:eastAsia="Batang"/>
              </w:rPr>
              <w:t>E.107</w:t>
            </w:r>
            <w:r>
              <w:rPr>
                <w:rFonts w:eastAsia="Batang"/>
              </w:rPr>
              <w:t>:</w:t>
            </w:r>
            <w:r w:rsidRPr="00584A11">
              <w:rPr>
                <w:rFonts w:eastAsia="Batang"/>
              </w:rPr>
              <w:tab/>
              <w:t>Emergency Telecommunications Service (ETS) and interconnection framework for national implementations of ETS</w:t>
            </w:r>
          </w:p>
          <w:p w:rsidR="0022716A" w:rsidRDefault="0022716A" w:rsidP="00A44CE4">
            <w:pPr>
              <w:spacing w:before="0" w:after="120"/>
            </w:pPr>
            <w:r w:rsidRPr="00584A11">
              <w:rPr>
                <w:rFonts w:eastAsia="Batang"/>
              </w:rPr>
              <w:t>Same as for Article §5.1, see above.</w:t>
            </w:r>
          </w:p>
          <w:p w:rsidR="0022716A" w:rsidRDefault="0022716A" w:rsidP="0022716A">
            <w:pPr>
              <w:spacing w:after="120"/>
            </w:pPr>
            <w:r>
              <w:t xml:space="preserve">Article 5.3: </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E.106</w:t>
            </w:r>
            <w:r>
              <w:rPr>
                <w:rFonts w:eastAsia="Batang"/>
              </w:rPr>
              <w:t>:</w:t>
            </w:r>
            <w:r w:rsidRPr="00584A11">
              <w:rPr>
                <w:rFonts w:eastAsia="Batang"/>
              </w:rPr>
              <w:tab/>
              <w:t>International Emergency Preference Scheme (IEPS) for disaster relief operations</w:t>
            </w:r>
          </w:p>
          <w:p w:rsidR="0022716A" w:rsidRPr="00584A11" w:rsidRDefault="0022716A" w:rsidP="0022716A">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E.107</w:t>
            </w:r>
            <w:r>
              <w:rPr>
                <w:rFonts w:eastAsia="Batang"/>
              </w:rPr>
              <w:t>:</w:t>
            </w:r>
            <w:r w:rsidRPr="00584A11">
              <w:rPr>
                <w:rFonts w:eastAsia="Batang"/>
              </w:rPr>
              <w:tab/>
              <w:t>Emergency Telecommunications Service (ETS) and interconnection framework for national implementations of ETS</w:t>
            </w:r>
          </w:p>
          <w:p w:rsidR="0022716A" w:rsidRDefault="004125F7" w:rsidP="0022716A">
            <w:pPr>
              <w:spacing w:after="120"/>
            </w:pPr>
            <w:r>
              <w:t xml:space="preserve">Article 5.4: </w:t>
            </w:r>
          </w:p>
          <w:p w:rsidR="004125F7"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Pr>
                <w:rFonts w:eastAsia="Batang"/>
              </w:rPr>
              <w:t xml:space="preserve">E.161. 1 </w:t>
            </w:r>
            <w:r w:rsidRPr="004125F7">
              <w:rPr>
                <w:rFonts w:eastAsia="Batang"/>
              </w:rPr>
              <w:t>Guidelines to select Emergency Number for public telecommunications networks  </w:t>
            </w:r>
          </w:p>
          <w:p w:rsidR="004125F7" w:rsidRDefault="004125F7" w:rsidP="004125F7">
            <w:pPr>
              <w:tabs>
                <w:tab w:val="clear" w:pos="567"/>
                <w:tab w:val="clear" w:pos="1701"/>
                <w:tab w:val="clear" w:pos="2835"/>
                <w:tab w:val="left" w:pos="1871"/>
                <w:tab w:val="left" w:pos="2041"/>
              </w:tabs>
              <w:overflowPunct/>
              <w:autoSpaceDE/>
              <w:autoSpaceDN/>
              <w:adjustRightInd/>
              <w:spacing w:before="100" w:beforeAutospacing="1" w:after="100" w:afterAutospacing="1"/>
              <w:ind w:left="34"/>
              <w:jc w:val="both"/>
              <w:textAlignment w:val="auto"/>
              <w:rPr>
                <w:rFonts w:eastAsia="Batang"/>
              </w:rPr>
            </w:pPr>
            <w:r>
              <w:rPr>
                <w:rFonts w:eastAsia="Batang"/>
              </w:rPr>
              <w:t>Article 10.1:</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E.118: The international telecommunication charge card</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E.129: Presentation of national numbering plans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E.156: Guidelines for ITU-T action on reported misuse of E.164 number resources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E.164: The international public telecommunication numbering plan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E.164.1: Criteria and procedures for the reservation, assignment and reclamation of E.164 country codes and associated identification codes (ICs)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E.164.2: E.164 numbering resources for trials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E.164.3: Principles, criteria and procedures for the assignment and reclamation of E.164 country codes and associated identification codes for groups of countries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E.168: Application of E.164 numbering plan for UPT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E.168.1: Assignment procedures for universal personal telecommunications (UPT) numbers in the provisioning of the international UPT service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E.169: Application of Recommendation E.164 numbering plan for universal international numbers for international telecommunications services using country codes for global services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E.169.1: Application of Recommendation E.164 numbering plan for universal international </w:t>
            </w:r>
            <w:proofErr w:type="spellStart"/>
            <w:r w:rsidRPr="00584A11">
              <w:rPr>
                <w:rFonts w:eastAsia="Batang"/>
              </w:rPr>
              <w:t>freephone</w:t>
            </w:r>
            <w:proofErr w:type="spellEnd"/>
            <w:r w:rsidRPr="00584A11">
              <w:rPr>
                <w:rFonts w:eastAsia="Batang"/>
              </w:rPr>
              <w:t xml:space="preserve"> numbers for international </w:t>
            </w:r>
            <w:proofErr w:type="spellStart"/>
            <w:r w:rsidRPr="00584A11">
              <w:rPr>
                <w:rFonts w:eastAsia="Batang"/>
              </w:rPr>
              <w:t>freephone</w:t>
            </w:r>
            <w:proofErr w:type="spellEnd"/>
            <w:r w:rsidRPr="00584A11">
              <w:rPr>
                <w:rFonts w:eastAsia="Batang"/>
              </w:rPr>
              <w:t xml:space="preserve"> service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E.169.2: Application of Recommendation E.164 numbering plan for universal international premium rate numbers for the international premium rate service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E.169.3: Application of Recommendation E.164 numbering plan for universal international shared cost numbers for international shared cost service</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E.180/Q.35: Technical characteristics of tones for the telephone service</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E.191.1: Criteria and procedures for the allocation of ITU-T International Network Designator addresses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E.212: The international identification plan for public networks and subscriptions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E.218: Management of the allocation of terrestrial trunk radio Mobile Country Codes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Q.708: Assignment procedures for international signalling point codes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X.121: International numbering plan for public data networks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X.125: Procedure for the notification of the assignment of international network identification codes for public frame relay data networks and ATM networks numbered under the E.164 numbering plan</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M.1400: Designations for interconnections among operators' networks </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F.400/X.400: Message handling system and service overview</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F.32: Telegram destination indicators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F.68: Establishment of the automatic intercontinental telex network</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F.69: The international telex service – Service and operational provisions of telex destination codes and telex network identification codes</w:t>
            </w:r>
          </w:p>
          <w:p w:rsidR="004125F7"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F.1: Operational provisions for the international public telegram service</w:t>
            </w:r>
          </w:p>
          <w:p w:rsidR="004125F7" w:rsidRPr="004125F7"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4125F7">
              <w:rPr>
                <w:rFonts w:eastAsia="Batang"/>
              </w:rPr>
              <w:t>F.170: Operational provisions for the international public facsimile service between public bureaux (</w:t>
            </w:r>
            <w:proofErr w:type="spellStart"/>
            <w:r w:rsidRPr="004125F7">
              <w:rPr>
                <w:rFonts w:eastAsia="Batang"/>
              </w:rPr>
              <w:t>Bureaufax</w:t>
            </w:r>
            <w:proofErr w:type="spellEnd"/>
          </w:p>
          <w:p w:rsidR="004125F7" w:rsidRDefault="004125F7" w:rsidP="0022716A">
            <w:pPr>
              <w:spacing w:after="120"/>
            </w:pPr>
            <w:r>
              <w:t>Article 12.1:</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E.121: Pictograms, symbols and icons to assist users of the telephone and telefax services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E.123: Notation for national and international telephone numbers, e-mail addresses and web addresses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E.135: Human factors aspects of public telecommunication terminals for people with disabilities</w:t>
            </w:r>
          </w:p>
          <w:p w:rsidR="004125F7" w:rsidRPr="00584A11"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E.138: Human factors aspects of public telephones to improve their usability for older people</w:t>
            </w:r>
          </w:p>
          <w:p w:rsidR="004125F7"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E.139: Public Internet access points </w:t>
            </w:r>
          </w:p>
          <w:p w:rsidR="004125F7" w:rsidRPr="004125F7" w:rsidRDefault="004125F7"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4125F7">
              <w:rPr>
                <w:rFonts w:eastAsia="Batang"/>
              </w:rPr>
              <w:t>F.790: Telecommunications accessibility guidelines for older persons and persons with disabilities</w:t>
            </w:r>
          </w:p>
          <w:p w:rsidR="004125F7" w:rsidRDefault="004125F7" w:rsidP="0022716A">
            <w:pPr>
              <w:spacing w:after="120"/>
            </w:pPr>
            <w:r>
              <w:t>Article 13.2:</w:t>
            </w:r>
          </w:p>
          <w:p w:rsidR="0022716A" w:rsidRPr="004125F7" w:rsidRDefault="00E50BAA" w:rsidP="004125F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hyperlink r:id="rId11" w:tooltip="Arrangements to be made for controlling the telephone services between two countries" w:history="1">
              <w:r w:rsidR="004125F7" w:rsidRPr="00584A11">
                <w:rPr>
                  <w:rFonts w:eastAsia="Batang"/>
                </w:rPr>
                <w:t>E.112: Arrangements to be made for controlling the telephone services between two countries</w:t>
              </w:r>
            </w:hyperlink>
          </w:p>
        </w:tc>
      </w:tr>
      <w:tr w:rsidR="00AD4817" w:rsidRPr="00512902" w:rsidTr="00D43D5B">
        <w:trPr>
          <w:trHeight w:val="9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573C0">
              <w:rPr>
                <w:rFonts w:asciiTheme="minorHAnsi" w:hAnsiTheme="minorHAnsi"/>
                <w:b/>
              </w:rPr>
              <w:lastRenderedPageBreak/>
              <w:t>ITU-T SG3</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016C17" w:rsidRPr="00016C17" w:rsidRDefault="00016C17" w:rsidP="005327D1">
            <w:pPr>
              <w:spacing w:after="120"/>
              <w:rPr>
                <w:rFonts w:asciiTheme="minorHAnsi" w:hAnsiTheme="minorHAnsi"/>
                <w:lang w:val="en-US"/>
              </w:rPr>
            </w:pPr>
            <w:r>
              <w:rPr>
                <w:rFonts w:asciiTheme="minorHAnsi" w:hAnsiTheme="minorHAnsi"/>
              </w:rPr>
              <w:t xml:space="preserve">(source: </w:t>
            </w:r>
            <w:hyperlink r:id="rId12" w:history="1">
              <w:r w:rsidRPr="00A44CE4">
                <w:rPr>
                  <w:rStyle w:val="Hyperlink"/>
                  <w:rFonts w:asciiTheme="minorHAnsi" w:hAnsiTheme="minorHAnsi"/>
                </w:rPr>
                <w:t>TSAG TD 265</w:t>
              </w:r>
            </w:hyperlink>
            <w:r>
              <w:rPr>
                <w:rFonts w:asciiTheme="minorHAnsi" w:hAnsiTheme="minorHAnsi"/>
              </w:rPr>
              <w:t>, 26 February – 2 March 2018):</w:t>
            </w:r>
          </w:p>
          <w:p w:rsidR="00AD4817" w:rsidRPr="005327D1" w:rsidRDefault="005327D1" w:rsidP="005327D1">
            <w:pPr>
              <w:spacing w:after="120"/>
              <w:rPr>
                <w:rFonts w:asciiTheme="minorHAnsi" w:hAnsiTheme="minorHAnsi"/>
                <w:lang w:val="fr-CH"/>
              </w:rPr>
            </w:pPr>
            <w:proofErr w:type="spellStart"/>
            <w:r w:rsidRPr="005327D1">
              <w:rPr>
                <w:rFonts w:asciiTheme="minorHAnsi" w:hAnsiTheme="minorHAnsi"/>
                <w:lang w:val="fr-CH"/>
              </w:rPr>
              <w:t>Related</w:t>
            </w:r>
            <w:proofErr w:type="spellEnd"/>
            <w:r w:rsidRPr="005327D1">
              <w:rPr>
                <w:rFonts w:asciiTheme="minorHAnsi" w:hAnsiTheme="minorHAnsi"/>
                <w:lang w:val="fr-CH"/>
              </w:rPr>
              <w:t xml:space="preserve"> ITU-T SG3 </w:t>
            </w:r>
            <w:proofErr w:type="spellStart"/>
            <w:r w:rsidRPr="005327D1">
              <w:rPr>
                <w:rFonts w:asciiTheme="minorHAnsi" w:hAnsiTheme="minorHAnsi"/>
                <w:lang w:val="fr-CH"/>
              </w:rPr>
              <w:t>Recommendations</w:t>
            </w:r>
            <w:proofErr w:type="spellEnd"/>
            <w:r w:rsidRPr="005327D1">
              <w:rPr>
                <w:rFonts w:asciiTheme="minorHAnsi" w:hAnsiTheme="minorHAnsi"/>
                <w:lang w:val="fr-CH"/>
              </w:rPr>
              <w:t>:</w:t>
            </w:r>
          </w:p>
          <w:p w:rsidR="005327D1" w:rsidRPr="005327D1" w:rsidRDefault="0022716A" w:rsidP="005327D1">
            <w:pPr>
              <w:spacing w:after="120"/>
              <w:rPr>
                <w:rFonts w:asciiTheme="minorHAnsi" w:hAnsiTheme="minorHAnsi"/>
                <w:lang w:val="fr-CH"/>
              </w:rPr>
            </w:pPr>
            <w:r>
              <w:rPr>
                <w:rFonts w:asciiTheme="minorHAnsi" w:hAnsiTheme="minorHAnsi"/>
                <w:lang w:val="fr-CH"/>
              </w:rPr>
              <w:t xml:space="preserve">- </w:t>
            </w:r>
            <w:r w:rsidR="005327D1" w:rsidRPr="005327D1">
              <w:rPr>
                <w:rFonts w:asciiTheme="minorHAnsi" w:hAnsiTheme="minorHAnsi"/>
                <w:lang w:val="fr-CH"/>
              </w:rPr>
              <w:t>Article 3.7: ITU-T D.52</w:t>
            </w:r>
          </w:p>
          <w:p w:rsidR="005327D1" w:rsidRDefault="0022716A" w:rsidP="00BE3176">
            <w:pPr>
              <w:spacing w:after="120"/>
              <w:rPr>
                <w:rFonts w:asciiTheme="minorHAnsi" w:hAnsiTheme="minorHAnsi"/>
                <w:lang w:val="fr-CH"/>
              </w:rPr>
            </w:pPr>
            <w:r>
              <w:rPr>
                <w:rFonts w:asciiTheme="minorHAnsi" w:hAnsiTheme="minorHAnsi"/>
                <w:lang w:val="fr-CH"/>
              </w:rPr>
              <w:t xml:space="preserve">- </w:t>
            </w:r>
            <w:r w:rsidR="005327D1" w:rsidRPr="005327D1">
              <w:rPr>
                <w:rFonts w:asciiTheme="minorHAnsi" w:hAnsiTheme="minorHAnsi"/>
                <w:lang w:val="fr-CH"/>
              </w:rPr>
              <w:t xml:space="preserve">Article 4.4: ITU-T D.98, </w:t>
            </w:r>
            <w:r w:rsidR="00BE3176" w:rsidRPr="005327D1">
              <w:rPr>
                <w:rFonts w:asciiTheme="minorHAnsi" w:hAnsiTheme="minorHAnsi"/>
                <w:lang w:val="fr-CH"/>
              </w:rPr>
              <w:t>Art</w:t>
            </w:r>
            <w:r w:rsidR="00BE3176">
              <w:rPr>
                <w:rFonts w:asciiTheme="minorHAnsi" w:hAnsiTheme="minorHAnsi"/>
                <w:lang w:val="fr-CH"/>
              </w:rPr>
              <w:t>.</w:t>
            </w:r>
            <w:r w:rsidR="00BE3176" w:rsidRPr="005327D1">
              <w:rPr>
                <w:rFonts w:asciiTheme="minorHAnsi" w:hAnsiTheme="minorHAnsi"/>
                <w:lang w:val="fr-CH"/>
              </w:rPr>
              <w:t xml:space="preserve"> </w:t>
            </w:r>
            <w:r w:rsidR="005327D1" w:rsidRPr="005327D1">
              <w:rPr>
                <w:rFonts w:asciiTheme="minorHAnsi" w:hAnsiTheme="minorHAnsi"/>
                <w:lang w:val="fr-CH"/>
              </w:rPr>
              <w:t>5.1.1, 5.1.2, 5.1.3</w:t>
            </w:r>
          </w:p>
          <w:p w:rsidR="005327D1" w:rsidRDefault="0022716A" w:rsidP="00BE3176">
            <w:pPr>
              <w:spacing w:after="120"/>
              <w:rPr>
                <w:rFonts w:asciiTheme="minorHAnsi" w:hAnsiTheme="minorHAnsi"/>
                <w:lang w:val="fr-CH"/>
              </w:rPr>
            </w:pPr>
            <w:r>
              <w:rPr>
                <w:rFonts w:asciiTheme="minorHAnsi" w:hAnsiTheme="minorHAnsi"/>
                <w:lang w:val="fr-CH"/>
              </w:rPr>
              <w:t xml:space="preserve">- </w:t>
            </w:r>
            <w:r w:rsidR="005327D1">
              <w:rPr>
                <w:rFonts w:asciiTheme="minorHAnsi" w:hAnsiTheme="minorHAnsi"/>
                <w:lang w:val="fr-CH"/>
              </w:rPr>
              <w:t>Article 4.6</w:t>
            </w:r>
            <w:r w:rsidR="005327D1" w:rsidRPr="005327D1">
              <w:rPr>
                <w:rFonts w:asciiTheme="minorHAnsi" w:hAnsiTheme="minorHAnsi"/>
                <w:lang w:val="fr-CH"/>
              </w:rPr>
              <w:t xml:space="preserve">: </w:t>
            </w:r>
            <w:r w:rsidR="005327D1" w:rsidRPr="0022716A">
              <w:rPr>
                <w:rFonts w:asciiTheme="minorHAnsi" w:hAnsiTheme="minorHAnsi"/>
                <w:lang w:val="fr-CH"/>
              </w:rPr>
              <w:t xml:space="preserve">ITU-T D.98, </w:t>
            </w:r>
            <w:r w:rsidR="00BE3176" w:rsidRPr="0022716A">
              <w:rPr>
                <w:rFonts w:asciiTheme="minorHAnsi" w:hAnsiTheme="minorHAnsi"/>
                <w:lang w:val="fr-CH"/>
              </w:rPr>
              <w:t>Art</w:t>
            </w:r>
            <w:r w:rsidR="00BE3176">
              <w:rPr>
                <w:rFonts w:asciiTheme="minorHAnsi" w:hAnsiTheme="minorHAnsi"/>
                <w:lang w:val="fr-CH"/>
              </w:rPr>
              <w:t>.</w:t>
            </w:r>
            <w:r w:rsidR="00BE3176" w:rsidRPr="0022716A">
              <w:rPr>
                <w:rFonts w:asciiTheme="minorHAnsi" w:hAnsiTheme="minorHAnsi"/>
                <w:lang w:val="fr-CH"/>
              </w:rPr>
              <w:t xml:space="preserve"> </w:t>
            </w:r>
            <w:r w:rsidR="005327D1" w:rsidRPr="0022716A">
              <w:rPr>
                <w:rFonts w:asciiTheme="minorHAnsi" w:hAnsiTheme="minorHAnsi"/>
                <w:lang w:val="fr-CH"/>
              </w:rPr>
              <w:t>5.1.5</w:t>
            </w:r>
          </w:p>
          <w:p w:rsidR="005327D1" w:rsidRPr="00BE3176" w:rsidRDefault="0022716A" w:rsidP="0022716A">
            <w:pPr>
              <w:spacing w:after="120"/>
              <w:rPr>
                <w:rFonts w:asciiTheme="minorHAnsi" w:hAnsiTheme="minorHAnsi"/>
                <w:lang w:val="en-US"/>
              </w:rPr>
            </w:pPr>
            <w:r>
              <w:rPr>
                <w:rFonts w:asciiTheme="minorHAnsi" w:hAnsiTheme="minorHAnsi"/>
                <w:lang w:val="fr-CH"/>
              </w:rPr>
              <w:t xml:space="preserve">- </w:t>
            </w:r>
            <w:r w:rsidR="005327D1">
              <w:rPr>
                <w:rFonts w:asciiTheme="minorHAnsi" w:hAnsiTheme="minorHAnsi"/>
                <w:lang w:val="fr-CH"/>
              </w:rPr>
              <w:t>Article 4.7</w:t>
            </w:r>
            <w:r w:rsidR="005327D1" w:rsidRPr="005327D1">
              <w:rPr>
                <w:rFonts w:asciiTheme="minorHAnsi" w:hAnsiTheme="minorHAnsi"/>
                <w:lang w:val="fr-CH"/>
              </w:rPr>
              <w:t>: “</w:t>
            </w:r>
            <w:r w:rsidR="005327D1" w:rsidRPr="0022716A">
              <w:rPr>
                <w:rFonts w:asciiTheme="minorHAnsi" w:hAnsiTheme="minorHAnsi"/>
                <w:lang w:val="fr-CH"/>
              </w:rPr>
              <w:t xml:space="preserve"> ITU-T. D.98. Art.  5.1.6, 5.2, 5.3; ITU-T D.97. </w:t>
            </w:r>
            <w:r w:rsidR="005327D1" w:rsidRPr="00BE3176">
              <w:rPr>
                <w:rFonts w:asciiTheme="minorHAnsi" w:hAnsiTheme="minorHAnsi"/>
                <w:lang w:val="en-US"/>
              </w:rPr>
              <w:t>Art 5.1, 5.2 ; See also ITU-T D.261 more generally</w:t>
            </w:r>
          </w:p>
          <w:p w:rsidR="005327D1" w:rsidRPr="00BE3176" w:rsidRDefault="0022716A" w:rsidP="005327D1">
            <w:pPr>
              <w:spacing w:after="120"/>
              <w:rPr>
                <w:rFonts w:asciiTheme="minorHAnsi" w:hAnsiTheme="minorHAnsi"/>
                <w:lang w:val="en-US"/>
              </w:rPr>
            </w:pPr>
            <w:r w:rsidRPr="00BE3176">
              <w:rPr>
                <w:rFonts w:asciiTheme="minorHAnsi" w:hAnsiTheme="minorHAnsi"/>
                <w:lang w:val="en-US"/>
              </w:rPr>
              <w:t xml:space="preserve">- </w:t>
            </w:r>
            <w:r w:rsidR="005327D1" w:rsidRPr="00BE3176">
              <w:rPr>
                <w:rFonts w:asciiTheme="minorHAnsi" w:hAnsiTheme="minorHAnsi"/>
                <w:lang w:val="en-US"/>
              </w:rPr>
              <w:t xml:space="preserve">Article 8.1.2: ITU-T D.98, Art. 5.2.4 </w:t>
            </w:r>
          </w:p>
          <w:p w:rsidR="005327D1" w:rsidRPr="0022716A" w:rsidRDefault="0022716A" w:rsidP="005327D1">
            <w:pPr>
              <w:spacing w:after="120"/>
              <w:rPr>
                <w:rFonts w:asciiTheme="minorHAnsi" w:hAnsiTheme="minorHAnsi"/>
                <w:lang w:val="fr-CH"/>
              </w:rPr>
            </w:pPr>
            <w:r>
              <w:rPr>
                <w:rFonts w:asciiTheme="minorHAnsi" w:hAnsiTheme="minorHAnsi"/>
                <w:lang w:val="fr-CH"/>
              </w:rPr>
              <w:t xml:space="preserve">- </w:t>
            </w:r>
            <w:proofErr w:type="spellStart"/>
            <w:r w:rsidRPr="0022716A">
              <w:rPr>
                <w:rFonts w:asciiTheme="minorHAnsi" w:hAnsiTheme="minorHAnsi"/>
                <w:lang w:val="fr-CH"/>
              </w:rPr>
              <w:t>Appendix</w:t>
            </w:r>
            <w:proofErr w:type="spellEnd"/>
            <w:r w:rsidRPr="0022716A">
              <w:rPr>
                <w:rFonts w:asciiTheme="minorHAnsi" w:hAnsiTheme="minorHAnsi"/>
                <w:lang w:val="fr-CH"/>
              </w:rPr>
              <w:t xml:space="preserve"> 1, 2.2: ITU-T D. 195, </w:t>
            </w:r>
            <w:proofErr w:type="spellStart"/>
            <w:r w:rsidRPr="0022716A">
              <w:rPr>
                <w:rFonts w:asciiTheme="minorHAnsi" w:hAnsiTheme="minorHAnsi"/>
                <w:lang w:val="fr-CH"/>
              </w:rPr>
              <w:t>Recommends</w:t>
            </w:r>
            <w:proofErr w:type="spellEnd"/>
            <w:r w:rsidRPr="0022716A">
              <w:rPr>
                <w:rFonts w:asciiTheme="minorHAnsi" w:hAnsiTheme="minorHAnsi"/>
                <w:lang w:val="fr-CH"/>
              </w:rPr>
              <w:t xml:space="preserve"> a)</w:t>
            </w:r>
          </w:p>
          <w:p w:rsidR="005327D1" w:rsidRPr="0022716A" w:rsidRDefault="0022716A" w:rsidP="00BE3176">
            <w:pPr>
              <w:tabs>
                <w:tab w:val="clear" w:pos="1701"/>
                <w:tab w:val="clear" w:pos="2268"/>
                <w:tab w:val="clear" w:pos="2835"/>
              </w:tabs>
              <w:spacing w:after="120"/>
              <w:rPr>
                <w:rFonts w:asciiTheme="minorHAnsi" w:hAnsiTheme="minorHAnsi"/>
                <w:lang w:val="fr-CH"/>
              </w:rPr>
            </w:pPr>
            <w:r>
              <w:rPr>
                <w:rFonts w:asciiTheme="minorHAnsi" w:hAnsiTheme="minorHAnsi"/>
                <w:lang w:val="fr-CH"/>
              </w:rPr>
              <w:t xml:space="preserve">- </w:t>
            </w:r>
            <w:proofErr w:type="spellStart"/>
            <w:r w:rsidR="00BE3176">
              <w:rPr>
                <w:rFonts w:asciiTheme="minorHAnsi" w:hAnsiTheme="minorHAnsi"/>
                <w:lang w:val="fr-CH"/>
              </w:rPr>
              <w:t>Appendix</w:t>
            </w:r>
            <w:proofErr w:type="spellEnd"/>
            <w:r w:rsidR="00BE3176" w:rsidRPr="0022716A">
              <w:rPr>
                <w:rFonts w:asciiTheme="minorHAnsi" w:hAnsiTheme="minorHAnsi"/>
                <w:lang w:val="fr-CH"/>
              </w:rPr>
              <w:t xml:space="preserve"> </w:t>
            </w:r>
            <w:r w:rsidRPr="0022716A">
              <w:rPr>
                <w:rFonts w:asciiTheme="minorHAnsi" w:hAnsiTheme="minorHAnsi"/>
                <w:lang w:val="fr-CH"/>
              </w:rPr>
              <w:t>1, 3.1.3</w:t>
            </w:r>
            <w:r w:rsidR="005327D1" w:rsidRPr="0022716A">
              <w:rPr>
                <w:rFonts w:asciiTheme="minorHAnsi" w:hAnsiTheme="minorHAnsi"/>
                <w:lang w:val="fr-CH"/>
              </w:rPr>
              <w:t xml:space="preserve">: </w:t>
            </w:r>
            <w:r>
              <w:rPr>
                <w:rFonts w:asciiTheme="minorHAnsi" w:hAnsiTheme="minorHAnsi"/>
                <w:lang w:val="fr-CH"/>
              </w:rPr>
              <w:t xml:space="preserve">ITU-T </w:t>
            </w:r>
            <w:r w:rsidRPr="0022716A">
              <w:rPr>
                <w:rFonts w:asciiTheme="minorHAnsi" w:hAnsiTheme="minorHAnsi"/>
                <w:lang w:val="fr-CH"/>
              </w:rPr>
              <w:t xml:space="preserve">D.170 ; </w:t>
            </w:r>
            <w:r w:rsidR="00016C17">
              <w:rPr>
                <w:rFonts w:asciiTheme="minorHAnsi" w:hAnsiTheme="minorHAnsi"/>
                <w:lang w:val="fr-CH"/>
              </w:rPr>
              <w:t xml:space="preserve">ITU-T </w:t>
            </w:r>
            <w:r w:rsidRPr="0022716A">
              <w:rPr>
                <w:rFonts w:asciiTheme="minorHAnsi" w:hAnsiTheme="minorHAnsi"/>
                <w:lang w:val="fr-CH"/>
              </w:rPr>
              <w:t xml:space="preserve">D.170 </w:t>
            </w:r>
            <w:proofErr w:type="spellStart"/>
            <w:r w:rsidRPr="0022716A">
              <w:rPr>
                <w:rFonts w:asciiTheme="minorHAnsi" w:hAnsiTheme="minorHAnsi"/>
                <w:lang w:val="fr-CH"/>
              </w:rPr>
              <w:t>Supplement</w:t>
            </w:r>
            <w:proofErr w:type="spellEnd"/>
            <w:r w:rsidRPr="0022716A">
              <w:rPr>
                <w:rFonts w:asciiTheme="minorHAnsi" w:hAnsiTheme="minorHAnsi"/>
                <w:lang w:val="fr-CH"/>
              </w:rPr>
              <w:t xml:space="preserve"> 1-4</w:t>
            </w:r>
          </w:p>
          <w:p w:rsidR="005327D1" w:rsidRPr="0022716A" w:rsidRDefault="005327D1" w:rsidP="005327D1">
            <w:pPr>
              <w:widowControl w:val="0"/>
              <w:suppressAutoHyphens/>
              <w:ind w:left="19" w:right="277"/>
              <w:rPr>
                <w:rFonts w:ascii="Arial" w:eastAsia="Arial Unicode MS" w:hAnsi="Arial" w:cs="Arial"/>
                <w:b/>
                <w:bCs/>
                <w:color w:val="2E74B5" w:themeColor="accent1" w:themeShade="BF"/>
                <w:kern w:val="1"/>
                <w:sz w:val="18"/>
                <w:szCs w:val="18"/>
                <w:lang w:val="fr-CH" w:eastAsia="hi-IN" w:bidi="hi-IN"/>
              </w:rPr>
            </w:pPr>
          </w:p>
        </w:tc>
      </w:tr>
      <w:tr w:rsidR="00AD4817" w:rsidRPr="004625E8" w:rsidTr="00D43D5B">
        <w:trPr>
          <w:trHeight w:val="3082"/>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625E8">
              <w:rPr>
                <w:rFonts w:asciiTheme="minorHAnsi" w:hAnsiTheme="minorHAnsi"/>
                <w:b/>
              </w:rPr>
              <w:t>ITU-T SG5</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016C17" w:rsidRDefault="00016C17" w:rsidP="00016C17">
            <w:pPr>
              <w:spacing w:after="120"/>
              <w:rPr>
                <w:rFonts w:asciiTheme="minorHAnsi" w:hAnsiTheme="minorHAnsi"/>
              </w:rPr>
            </w:pPr>
            <w:r>
              <w:t xml:space="preserve">(source: </w:t>
            </w:r>
            <w:hyperlink r:id="rId13" w:history="1">
              <w:r w:rsidRPr="004625E8">
                <w:rPr>
                  <w:rStyle w:val="Hyperlink"/>
                  <w:rFonts w:asciiTheme="minorHAnsi" w:hAnsiTheme="minorHAnsi"/>
                </w:rPr>
                <w:t>https://www.itu.int/ifa/t/2017/ls/sg5/sp16-sg5-oLS-00044.docx</w:t>
              </w:r>
            </w:hyperlink>
            <w:r w:rsidRPr="004625E8">
              <w:rPr>
                <w:rFonts w:asciiTheme="minorHAnsi" w:hAnsiTheme="minorHAnsi"/>
              </w:rPr>
              <w:t xml:space="preserve">  (22 November 2017)</w:t>
            </w:r>
            <w:r>
              <w:rPr>
                <w:rFonts w:asciiTheme="minorHAnsi" w:hAnsiTheme="minorHAnsi"/>
              </w:rPr>
              <w:t>:</w:t>
            </w:r>
          </w:p>
          <w:p w:rsidR="008E5CDF" w:rsidRPr="004625E8" w:rsidRDefault="00AD4817" w:rsidP="00AE14DB">
            <w:pPr>
              <w:spacing w:after="120"/>
              <w:rPr>
                <w:rFonts w:asciiTheme="minorHAnsi" w:hAnsiTheme="minorHAnsi"/>
              </w:rPr>
            </w:pPr>
            <w:r w:rsidRPr="004625E8">
              <w:rPr>
                <w:rFonts w:asciiTheme="minorHAnsi" w:hAnsiTheme="minorHAnsi"/>
              </w:rPr>
              <w:t xml:space="preserve">“ITU-T Study Group 5 would like to thank TSAG for its liaison statement on request for background information on the implementation of the 2012 International Telecommunication Regulations. </w:t>
            </w:r>
            <w:r w:rsidRPr="004625E8">
              <w:rPr>
                <w:rFonts w:asciiTheme="minorHAnsi" w:hAnsiTheme="minorHAnsi"/>
              </w:rPr>
              <w:br/>
              <w:t xml:space="preserve">ITU-T SG5 met in Sophia Antipolis, France, from 13 to 22 November 2017 after the deadline which was set in TSAG - LS 8 -E on Friday 25 August 2017. </w:t>
            </w:r>
            <w:r w:rsidRPr="004625E8">
              <w:rPr>
                <w:rFonts w:asciiTheme="minorHAnsi" w:hAnsiTheme="minorHAnsi"/>
              </w:rPr>
              <w:br/>
              <w:t xml:space="preserve">ITU-T SG5 would like to thank TSAG for this opportunity and welcomes any future opportunities to reply on this matter. </w:t>
            </w:r>
            <w:r w:rsidRPr="004625E8">
              <w:rPr>
                <w:rFonts w:asciiTheme="minorHAnsi" w:hAnsiTheme="minorHAnsi"/>
              </w:rPr>
              <w:br/>
              <w:t>Furthermore, ITU-T SG5 requests TSAG to provide more clarification and guidance to ITU-T Study Groups on this issue and how study groups can identify any challenges that may arise from the implementation of the 2012 ITRs, in accordance with the terms of reference of the Group.”</w:t>
            </w:r>
          </w:p>
        </w:tc>
      </w:tr>
      <w:tr w:rsidR="00AD4817" w:rsidRPr="004625E8" w:rsidTr="00D43D5B">
        <w:trPr>
          <w:trHeight w:val="3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D4817" w:rsidRPr="004625E8" w:rsidRDefault="00AD4817" w:rsidP="00D43D5B">
            <w:pPr>
              <w:spacing w:after="120"/>
              <w:rPr>
                <w:rFonts w:asciiTheme="minorHAnsi" w:hAnsiTheme="minorHAnsi"/>
                <w:b/>
              </w:rPr>
            </w:pPr>
            <w:r w:rsidRPr="004573C0">
              <w:rPr>
                <w:rFonts w:asciiTheme="minorHAnsi" w:hAnsiTheme="minorHAnsi"/>
                <w:b/>
              </w:rPr>
              <w:t>ITU-T SG9</w:t>
            </w:r>
          </w:p>
        </w:tc>
        <w:tc>
          <w:tcPr>
            <w:tcW w:w="8281" w:type="dxa"/>
            <w:tcBorders>
              <w:top w:val="nil"/>
              <w:left w:val="nil"/>
              <w:bottom w:val="single" w:sz="8" w:space="0" w:color="auto"/>
              <w:right w:val="single" w:sz="8" w:space="0" w:color="auto"/>
            </w:tcBorders>
            <w:noWrap/>
            <w:tcMar>
              <w:top w:w="0" w:type="dxa"/>
              <w:left w:w="108" w:type="dxa"/>
              <w:bottom w:w="0" w:type="dxa"/>
              <w:right w:w="108" w:type="dxa"/>
            </w:tcMar>
            <w:hideMark/>
          </w:tcPr>
          <w:p w:rsidR="00016C17" w:rsidRPr="004573C0" w:rsidRDefault="004573C0" w:rsidP="004573C0">
            <w:pPr>
              <w:jc w:val="both"/>
              <w:rPr>
                <w:lang w:val="en-US" w:eastAsia="zh-CN"/>
              </w:rPr>
            </w:pPr>
            <w:r>
              <w:rPr>
                <w:rFonts w:asciiTheme="minorHAnsi" w:hAnsiTheme="minorHAnsi"/>
              </w:rPr>
              <w:t xml:space="preserve">(source: ITU-T SG 9 meeting, 30 January 2018, </w:t>
            </w:r>
            <w:hyperlink r:id="rId14" w:history="1">
              <w:r w:rsidRPr="00A44CE4">
                <w:rPr>
                  <w:rStyle w:val="Hyperlink"/>
                  <w:rFonts w:asciiTheme="minorHAnsi" w:hAnsiTheme="minorHAnsi"/>
                </w:rPr>
                <w:t>TSAG TD 265</w:t>
              </w:r>
            </w:hyperlink>
            <w:r>
              <w:rPr>
                <w:rFonts w:asciiTheme="minorHAnsi" w:hAnsiTheme="minorHAnsi"/>
              </w:rPr>
              <w:t>):</w:t>
            </w:r>
          </w:p>
          <w:p w:rsidR="004F0B82" w:rsidRDefault="00016C17" w:rsidP="004F0B82">
            <w:pPr>
              <w:jc w:val="both"/>
              <w:rPr>
                <w:lang w:val="en-US" w:eastAsia="zh-CN"/>
              </w:rPr>
            </w:pPr>
            <w:r>
              <w:rPr>
                <w:lang w:val="en-US" w:eastAsia="zh-CN"/>
              </w:rPr>
              <w:t>“</w:t>
            </w:r>
            <w:r w:rsidR="004F0B82">
              <w:rPr>
                <w:lang w:val="en-US" w:eastAsia="zh-CN"/>
              </w:rPr>
              <w:t>S</w:t>
            </w:r>
            <w:r w:rsidR="004F0B82">
              <w:rPr>
                <w:rFonts w:hint="eastAsia"/>
                <w:lang w:val="en-US" w:eastAsia="zh-CN"/>
              </w:rPr>
              <w:t xml:space="preserve">tudy </w:t>
            </w:r>
            <w:r w:rsidR="004F0B82">
              <w:rPr>
                <w:lang w:val="en-US" w:eastAsia="zh-CN"/>
              </w:rPr>
              <w:t>G</w:t>
            </w:r>
            <w:r w:rsidR="004F0B82">
              <w:rPr>
                <w:rFonts w:hint="eastAsia"/>
                <w:lang w:val="en-US" w:eastAsia="zh-CN"/>
              </w:rPr>
              <w:t>roup 9</w:t>
            </w:r>
            <w:r w:rsidR="004F0B82" w:rsidRPr="00093699">
              <w:rPr>
                <w:lang w:val="en-US" w:eastAsia="zh-CN"/>
              </w:rPr>
              <w:t xml:space="preserve"> would like to thank TSAG for incoming Liaison Statement </w:t>
            </w:r>
            <w:hyperlink r:id="rId15" w:history="1">
              <w:r w:rsidR="004F0B82" w:rsidRPr="00093699">
                <w:rPr>
                  <w:rStyle w:val="Hyperlink"/>
                  <w:rFonts w:ascii="Times New Roman" w:hAnsi="Times New Roman"/>
                  <w:lang w:val="en-US" w:eastAsia="zh-CN"/>
                </w:rPr>
                <w:t>TSAG - LS8</w:t>
              </w:r>
            </w:hyperlink>
            <w:r w:rsidR="004F0B82" w:rsidRPr="00093699">
              <w:rPr>
                <w:lang w:val="en-US" w:eastAsia="zh-CN"/>
              </w:rPr>
              <w:t>.</w:t>
            </w:r>
          </w:p>
          <w:p w:rsidR="004F0B82" w:rsidRDefault="004F0B82" w:rsidP="004F0B82">
            <w:pPr>
              <w:rPr>
                <w:lang w:val="en-US" w:eastAsia="zh-CN"/>
              </w:rPr>
            </w:pPr>
            <w:r>
              <w:rPr>
                <w:lang w:val="en-US" w:eastAsia="zh-CN"/>
              </w:rPr>
              <w:t>The SG</w:t>
            </w:r>
            <w:r>
              <w:rPr>
                <w:rFonts w:hint="eastAsia"/>
                <w:lang w:val="en-US" w:eastAsia="zh-CN"/>
              </w:rPr>
              <w:t>9</w:t>
            </w:r>
            <w:r w:rsidRPr="009036FC">
              <w:rPr>
                <w:lang w:val="en-US" w:eastAsia="zh-CN"/>
              </w:rPr>
              <w:t xml:space="preserve"> Chairman has already provided a quick feedback</w:t>
            </w:r>
            <w:r>
              <w:rPr>
                <w:lang w:val="en-US" w:eastAsia="zh-CN"/>
              </w:rPr>
              <w:t xml:space="preserve"> (via email sent through the Secretariat)</w:t>
            </w:r>
            <w:r>
              <w:rPr>
                <w:rFonts w:hint="eastAsia"/>
                <w:lang w:val="en-US" w:eastAsia="zh-CN"/>
              </w:rPr>
              <w:t xml:space="preserve"> to</w:t>
            </w:r>
            <w:r w:rsidRPr="009036FC">
              <w:rPr>
                <w:lang w:val="en-US" w:eastAsia="zh-CN"/>
              </w:rPr>
              <w:t xml:space="preserve"> TSAG</w:t>
            </w:r>
            <w:r w:rsidRPr="009036FC">
              <w:rPr>
                <w:color w:val="FF0000"/>
                <w:lang w:val="en-US" w:eastAsia="zh-CN"/>
              </w:rPr>
              <w:t xml:space="preserve"> </w:t>
            </w:r>
            <w:r w:rsidRPr="00A76F5D">
              <w:rPr>
                <w:lang w:val="en-US" w:eastAsia="zh-CN"/>
              </w:rPr>
              <w:t xml:space="preserve">in </w:t>
            </w:r>
            <w:r w:rsidRPr="00A76F5D">
              <w:rPr>
                <w:rFonts w:hint="eastAsia"/>
                <w:lang w:val="en-US" w:eastAsia="zh-CN"/>
              </w:rPr>
              <w:t>September</w:t>
            </w:r>
            <w:r w:rsidRPr="00A76F5D">
              <w:rPr>
                <w:lang w:val="en-US" w:eastAsia="zh-CN"/>
              </w:rPr>
              <w:t xml:space="preserve"> 2017</w:t>
            </w:r>
            <w:r w:rsidRPr="009036FC">
              <w:rPr>
                <w:lang w:val="en-US" w:eastAsia="zh-CN"/>
              </w:rPr>
              <w:t>. After furt</w:t>
            </w:r>
            <w:r>
              <w:rPr>
                <w:lang w:val="en-US" w:eastAsia="zh-CN"/>
              </w:rPr>
              <w:t>h</w:t>
            </w:r>
            <w:r>
              <w:rPr>
                <w:rFonts w:hint="eastAsia"/>
                <w:lang w:val="en-US" w:eastAsia="zh-CN"/>
              </w:rPr>
              <w:t>e</w:t>
            </w:r>
            <w:r>
              <w:rPr>
                <w:lang w:val="en-US" w:eastAsia="zh-CN"/>
              </w:rPr>
              <w:t xml:space="preserve">r discussion </w:t>
            </w:r>
            <w:r>
              <w:rPr>
                <w:rFonts w:hint="eastAsia"/>
                <w:lang w:val="en-US" w:eastAsia="zh-CN"/>
              </w:rPr>
              <w:t>at</w:t>
            </w:r>
            <w:r>
              <w:rPr>
                <w:lang w:val="en-US" w:eastAsia="zh-CN"/>
              </w:rPr>
              <w:t xml:space="preserve"> the ITU-T SG</w:t>
            </w:r>
            <w:r>
              <w:rPr>
                <w:rFonts w:hint="eastAsia"/>
                <w:lang w:val="en-US" w:eastAsia="zh-CN"/>
              </w:rPr>
              <w:t>9</w:t>
            </w:r>
            <w:r>
              <w:rPr>
                <w:lang w:val="en-US" w:eastAsia="zh-CN"/>
              </w:rPr>
              <w:t xml:space="preserve"> meeting</w:t>
            </w:r>
            <w:r>
              <w:rPr>
                <w:rFonts w:hint="eastAsia"/>
                <w:lang w:val="en-US" w:eastAsia="zh-CN"/>
              </w:rPr>
              <w:t xml:space="preserve"> </w:t>
            </w:r>
            <w:r>
              <w:rPr>
                <w:lang w:val="en-US" w:eastAsia="zh-CN"/>
              </w:rPr>
              <w:t>(</w:t>
            </w:r>
            <w:r>
              <w:rPr>
                <w:rFonts w:hint="eastAsia"/>
                <w:lang w:val="en-US" w:eastAsia="zh-CN"/>
              </w:rPr>
              <w:t>22</w:t>
            </w:r>
            <w:r>
              <w:rPr>
                <w:lang w:val="en-US" w:eastAsia="zh-CN"/>
              </w:rPr>
              <w:t>-</w:t>
            </w:r>
            <w:r>
              <w:rPr>
                <w:rFonts w:hint="eastAsia"/>
                <w:lang w:val="en-US" w:eastAsia="zh-CN"/>
              </w:rPr>
              <w:t>30</w:t>
            </w:r>
            <w:r>
              <w:rPr>
                <w:lang w:val="en-US" w:eastAsia="zh-CN"/>
              </w:rPr>
              <w:t xml:space="preserve"> </w:t>
            </w:r>
            <w:r>
              <w:rPr>
                <w:rFonts w:hint="eastAsia"/>
                <w:lang w:val="en-US" w:eastAsia="zh-CN"/>
              </w:rPr>
              <w:t>January</w:t>
            </w:r>
            <w:r>
              <w:rPr>
                <w:lang w:val="en-US" w:eastAsia="zh-CN"/>
              </w:rPr>
              <w:t xml:space="preserve"> 201</w:t>
            </w:r>
            <w:r>
              <w:rPr>
                <w:rFonts w:hint="eastAsia"/>
                <w:lang w:val="en-US" w:eastAsia="zh-CN"/>
              </w:rPr>
              <w:t>8</w:t>
            </w:r>
            <w:r>
              <w:rPr>
                <w:lang w:val="en-US" w:eastAsia="zh-CN"/>
              </w:rPr>
              <w:t>)</w:t>
            </w:r>
            <w:r>
              <w:rPr>
                <w:rFonts w:hint="eastAsia"/>
                <w:lang w:val="en-US" w:eastAsia="zh-CN"/>
              </w:rPr>
              <w:t>,</w:t>
            </w:r>
            <w:r>
              <w:rPr>
                <w:lang w:val="en-US" w:eastAsia="zh-CN"/>
              </w:rPr>
              <w:t xml:space="preserve"> </w:t>
            </w:r>
            <w:r>
              <w:rPr>
                <w:rFonts w:hint="eastAsia"/>
                <w:lang w:val="en-US" w:eastAsia="zh-CN"/>
              </w:rPr>
              <w:t>c</w:t>
            </w:r>
            <w:r w:rsidRPr="009036FC">
              <w:rPr>
                <w:lang w:val="en-US" w:eastAsia="zh-CN"/>
              </w:rPr>
              <w:t>oncerning the relevant ITU</w:t>
            </w:r>
            <w:r w:rsidRPr="009036FC">
              <w:rPr>
                <w:lang w:val="en-US" w:eastAsia="zh-CN"/>
              </w:rPr>
              <w:noBreakHyphen/>
              <w:t>T Reco</w:t>
            </w:r>
            <w:r>
              <w:rPr>
                <w:lang w:val="en-US" w:eastAsia="zh-CN"/>
              </w:rPr>
              <w:t xml:space="preserve">mmendations </w:t>
            </w:r>
            <w:r w:rsidRPr="009036FC">
              <w:rPr>
                <w:lang w:val="en-US" w:eastAsia="zh-CN"/>
              </w:rPr>
              <w:t>in implementing the 2012 ITRs,</w:t>
            </w:r>
            <w:r>
              <w:rPr>
                <w:lang w:val="en-US" w:eastAsia="zh-CN"/>
              </w:rPr>
              <w:t xml:space="preserve"> </w:t>
            </w:r>
            <w:r>
              <w:rPr>
                <w:rFonts w:hint="eastAsia"/>
                <w:lang w:val="en-US" w:eastAsia="zh-CN"/>
              </w:rPr>
              <w:t>SG9</w:t>
            </w:r>
            <w:r w:rsidRPr="00093699">
              <w:rPr>
                <w:lang w:val="en-US" w:eastAsia="zh-CN"/>
              </w:rPr>
              <w:t xml:space="preserve"> wo</w:t>
            </w:r>
            <w:r>
              <w:rPr>
                <w:lang w:val="en-US" w:eastAsia="zh-CN"/>
              </w:rPr>
              <w:t xml:space="preserve">uld like to inform you that </w:t>
            </w:r>
            <w:r>
              <w:rPr>
                <w:rFonts w:hint="eastAsia"/>
                <w:lang w:val="en-US" w:eastAsia="zh-CN"/>
              </w:rPr>
              <w:t xml:space="preserve">the following  </w:t>
            </w:r>
            <w:r w:rsidRPr="00093699">
              <w:rPr>
                <w:lang w:val="en-US" w:eastAsia="zh-CN"/>
              </w:rPr>
              <w:t>ITU-T R</w:t>
            </w:r>
            <w:r>
              <w:rPr>
                <w:lang w:val="en-US" w:eastAsia="zh-CN"/>
              </w:rPr>
              <w:t>ecommendations developed by SG</w:t>
            </w:r>
            <w:r>
              <w:rPr>
                <w:rFonts w:hint="eastAsia"/>
                <w:lang w:val="en-US" w:eastAsia="zh-CN"/>
              </w:rPr>
              <w:t>9</w:t>
            </w:r>
            <w:r w:rsidRPr="00093699">
              <w:rPr>
                <w:lang w:val="en-US" w:eastAsia="zh-CN"/>
              </w:rPr>
              <w:t xml:space="preserve"> are related to the provision of preferential telecommunications on the cable TV networks which is mentioned in arti</w:t>
            </w:r>
            <w:r>
              <w:rPr>
                <w:lang w:val="en-US" w:eastAsia="zh-CN"/>
              </w:rPr>
              <w:t xml:space="preserve">cle </w:t>
            </w:r>
            <w:r>
              <w:rPr>
                <w:rFonts w:hint="eastAsia"/>
                <w:lang w:val="en-US" w:eastAsia="zh-CN"/>
              </w:rPr>
              <w:t>5</w:t>
            </w:r>
            <w:r>
              <w:rPr>
                <w:lang w:val="en-US" w:eastAsia="zh-CN"/>
              </w:rPr>
              <w:t>.</w:t>
            </w:r>
            <w:r>
              <w:rPr>
                <w:rFonts w:hint="eastAsia"/>
                <w:lang w:val="en-US" w:eastAsia="zh-CN"/>
              </w:rPr>
              <w:t>3</w:t>
            </w:r>
            <w:r>
              <w:rPr>
                <w:lang w:val="en-US" w:eastAsia="zh-CN"/>
              </w:rPr>
              <w:t xml:space="preserve"> of the ITRs (2012)</w:t>
            </w:r>
            <w:r>
              <w:rPr>
                <w:rFonts w:hint="eastAsia"/>
                <w:lang w:val="en-US" w:eastAsia="zh-CN"/>
              </w:rPr>
              <w:t>.</w:t>
            </w:r>
          </w:p>
          <w:p w:rsidR="004F0B82" w:rsidRDefault="00E50BAA" w:rsidP="004F0B82">
            <w:pPr>
              <w:jc w:val="both"/>
              <w:rPr>
                <w:lang w:val="en-US" w:eastAsia="zh-CN"/>
              </w:rPr>
            </w:pPr>
            <w:hyperlink r:id="rId16" w:history="1">
              <w:r w:rsidR="004F0B82" w:rsidRPr="00093699">
                <w:rPr>
                  <w:rStyle w:val="Hyperlink"/>
                  <w:rFonts w:ascii="Times New Roman" w:hAnsi="Times New Roman" w:hint="eastAsia"/>
                  <w:lang w:val="en-US" w:eastAsia="zh-CN"/>
                </w:rPr>
                <w:t>ITU-T J.260</w:t>
              </w:r>
            </w:hyperlink>
            <w:r w:rsidR="004F0B82">
              <w:rPr>
                <w:rFonts w:hint="eastAsia"/>
                <w:lang w:val="en-US" w:eastAsia="zh-CN"/>
              </w:rPr>
              <w:t xml:space="preserve">: </w:t>
            </w:r>
            <w:r w:rsidR="004F0B82" w:rsidRPr="0071694F">
              <w:rPr>
                <w:lang w:val="en-US" w:eastAsia="zh-CN"/>
              </w:rPr>
              <w:t xml:space="preserve">Requirements for preferential telecommunications over </w:t>
            </w:r>
            <w:proofErr w:type="spellStart"/>
            <w:r w:rsidR="004F0B82" w:rsidRPr="0071694F">
              <w:rPr>
                <w:lang w:val="en-US" w:eastAsia="zh-CN"/>
              </w:rPr>
              <w:t>IPCablecom</w:t>
            </w:r>
            <w:proofErr w:type="spellEnd"/>
            <w:r w:rsidR="004F0B82" w:rsidRPr="0071694F">
              <w:rPr>
                <w:lang w:val="en-US" w:eastAsia="zh-CN"/>
              </w:rPr>
              <w:t xml:space="preserve"> networks</w:t>
            </w:r>
            <w:r w:rsidR="004F0B82">
              <w:rPr>
                <w:rFonts w:hint="eastAsia"/>
                <w:lang w:val="en-US" w:eastAsia="zh-CN"/>
              </w:rPr>
              <w:t xml:space="preserve">: Clause 5 - </w:t>
            </w:r>
            <w:r w:rsidR="004F0B82" w:rsidRPr="00DA05D7">
              <w:rPr>
                <w:lang w:val="en-US" w:eastAsia="zh-CN"/>
              </w:rPr>
              <w:t xml:space="preserve">Architectural cases for preferential telecommunications over </w:t>
            </w:r>
            <w:proofErr w:type="spellStart"/>
            <w:r w:rsidR="004F0B82" w:rsidRPr="00DA05D7">
              <w:rPr>
                <w:lang w:val="en-US" w:eastAsia="zh-CN"/>
              </w:rPr>
              <w:t>IPCablecom</w:t>
            </w:r>
            <w:proofErr w:type="spellEnd"/>
            <w:r w:rsidR="004F0B82" w:rsidRPr="00DA05D7">
              <w:rPr>
                <w:lang w:val="en-US" w:eastAsia="zh-CN"/>
              </w:rPr>
              <w:t xml:space="preserve"> networks</w:t>
            </w:r>
            <w:r w:rsidR="004F0B82">
              <w:rPr>
                <w:rFonts w:hint="eastAsia"/>
                <w:lang w:val="en-US" w:eastAsia="zh-CN"/>
              </w:rPr>
              <w:t xml:space="preserve">, including sub-clause 5.1 - </w:t>
            </w:r>
            <w:proofErr w:type="spellStart"/>
            <w:r w:rsidR="004F0B82" w:rsidRPr="00361D6E">
              <w:rPr>
                <w:lang w:val="en-US" w:eastAsia="zh-CN"/>
              </w:rPr>
              <w:t>IPCablecom</w:t>
            </w:r>
            <w:proofErr w:type="spellEnd"/>
            <w:r w:rsidR="004F0B82" w:rsidRPr="00361D6E">
              <w:rPr>
                <w:lang w:val="en-US" w:eastAsia="zh-CN"/>
              </w:rPr>
              <w:t xml:space="preserve"> to/from PSTN</w:t>
            </w:r>
            <w:r w:rsidR="004F0B82">
              <w:rPr>
                <w:rFonts w:hint="eastAsia"/>
                <w:lang w:val="en-US" w:eastAsia="zh-CN"/>
              </w:rPr>
              <w:t xml:space="preserve"> and sub-clause 5.2 - </w:t>
            </w:r>
            <w:r w:rsidR="004F0B82" w:rsidRPr="00361D6E">
              <w:rPr>
                <w:lang w:val="en-US" w:eastAsia="zh-CN"/>
              </w:rPr>
              <w:t>On-net to on-net</w:t>
            </w:r>
            <w:r w:rsidR="004F0B82">
              <w:rPr>
                <w:rFonts w:hint="eastAsia"/>
                <w:lang w:val="en-US" w:eastAsia="zh-CN"/>
              </w:rPr>
              <w:t xml:space="preserve">; Clause 6 - </w:t>
            </w:r>
            <w:r w:rsidR="004F0B82" w:rsidRPr="00361D6E">
              <w:rPr>
                <w:lang w:val="en-US" w:eastAsia="zh-CN"/>
              </w:rPr>
              <w:t xml:space="preserve">Requirements for preferential telecommunications in </w:t>
            </w:r>
            <w:proofErr w:type="spellStart"/>
            <w:r w:rsidR="004F0B82" w:rsidRPr="00361D6E">
              <w:rPr>
                <w:lang w:val="en-US" w:eastAsia="zh-CN"/>
              </w:rPr>
              <w:t>IPCablecom</w:t>
            </w:r>
            <w:proofErr w:type="spellEnd"/>
            <w:r w:rsidR="004F0B82">
              <w:rPr>
                <w:rFonts w:hint="eastAsia"/>
                <w:lang w:val="en-US" w:eastAsia="zh-CN"/>
              </w:rPr>
              <w:t xml:space="preserve">, including sub-clause 6.1 - </w:t>
            </w:r>
            <w:r w:rsidR="004F0B82" w:rsidRPr="00361D6E">
              <w:rPr>
                <w:lang w:val="en-US" w:eastAsia="zh-CN"/>
              </w:rPr>
              <w:t xml:space="preserve">Requirements for authentication in </w:t>
            </w:r>
            <w:proofErr w:type="spellStart"/>
            <w:r w:rsidR="004F0B82" w:rsidRPr="00361D6E">
              <w:rPr>
                <w:lang w:val="en-US" w:eastAsia="zh-CN"/>
              </w:rPr>
              <w:t>IPCablecom</w:t>
            </w:r>
            <w:proofErr w:type="spellEnd"/>
            <w:r w:rsidR="004F0B82" w:rsidRPr="00361D6E">
              <w:rPr>
                <w:lang w:val="en-US" w:eastAsia="zh-CN"/>
              </w:rPr>
              <w:t xml:space="preserve"> networks</w:t>
            </w:r>
            <w:r w:rsidR="004F0B82">
              <w:rPr>
                <w:rFonts w:hint="eastAsia"/>
                <w:lang w:val="en-US" w:eastAsia="zh-CN"/>
              </w:rPr>
              <w:t xml:space="preserve"> and sub-clause 6.2 - </w:t>
            </w:r>
            <w:r w:rsidR="004F0B82" w:rsidRPr="00361D6E">
              <w:rPr>
                <w:lang w:val="en-US" w:eastAsia="zh-CN"/>
              </w:rPr>
              <w:t xml:space="preserve">Requirements for priority treatment in </w:t>
            </w:r>
            <w:proofErr w:type="spellStart"/>
            <w:r w:rsidR="004F0B82" w:rsidRPr="00361D6E">
              <w:rPr>
                <w:lang w:val="en-US" w:eastAsia="zh-CN"/>
              </w:rPr>
              <w:t>IPCablecom</w:t>
            </w:r>
            <w:proofErr w:type="spellEnd"/>
            <w:r w:rsidR="004F0B82" w:rsidRPr="00361D6E">
              <w:rPr>
                <w:lang w:val="en-US" w:eastAsia="zh-CN"/>
              </w:rPr>
              <w:t xml:space="preserve"> networks</w:t>
            </w:r>
            <w:r w:rsidR="004F0B82">
              <w:rPr>
                <w:rFonts w:hint="eastAsia"/>
                <w:lang w:val="en-US" w:eastAsia="zh-CN"/>
              </w:rPr>
              <w:t>.</w:t>
            </w:r>
          </w:p>
          <w:p w:rsidR="004F0B82" w:rsidRDefault="004F0B82" w:rsidP="004F0B82">
            <w:pPr>
              <w:jc w:val="both"/>
              <w:rPr>
                <w:lang w:val="en-US" w:eastAsia="zh-CN"/>
              </w:rPr>
            </w:pPr>
            <w:r>
              <w:rPr>
                <w:rFonts w:hint="eastAsia"/>
                <w:lang w:val="en-US" w:eastAsia="zh-CN"/>
              </w:rPr>
              <w:t xml:space="preserve">Note: The term </w:t>
            </w:r>
            <w:r>
              <w:rPr>
                <w:lang w:val="en-US" w:eastAsia="zh-CN"/>
              </w:rPr>
              <w:t>“</w:t>
            </w:r>
            <w:proofErr w:type="spellStart"/>
            <w:r>
              <w:rPr>
                <w:rFonts w:hint="eastAsia"/>
                <w:lang w:val="en-US" w:eastAsia="zh-CN"/>
              </w:rPr>
              <w:t>IPCablecom</w:t>
            </w:r>
            <w:proofErr w:type="spellEnd"/>
            <w:r>
              <w:rPr>
                <w:lang w:val="en-US" w:eastAsia="zh-CN"/>
              </w:rPr>
              <w:t>”</w:t>
            </w:r>
            <w:r>
              <w:rPr>
                <w:rFonts w:hint="eastAsia"/>
                <w:lang w:val="en-US" w:eastAsia="zh-CN"/>
              </w:rPr>
              <w:t xml:space="preserve"> is defined in ITU-T J.160 as follows:</w:t>
            </w:r>
          </w:p>
          <w:p w:rsidR="004F0B82" w:rsidRDefault="004F0B82" w:rsidP="004F0B82">
            <w:pPr>
              <w:jc w:val="both"/>
              <w:rPr>
                <w:lang w:val="en-US" w:eastAsia="zh-CN"/>
              </w:rPr>
            </w:pPr>
            <w:proofErr w:type="spellStart"/>
            <w:r>
              <w:rPr>
                <w:lang w:val="en-US" w:eastAsia="zh-CN"/>
              </w:rPr>
              <w:t>IPCablecom</w:t>
            </w:r>
            <w:proofErr w:type="spellEnd"/>
            <w:r w:rsidRPr="00165476">
              <w:rPr>
                <w:lang w:val="en-US" w:eastAsia="zh-CN"/>
              </w:rPr>
              <w:t>: An ITU-T project that includes an architecture and a series of Recommendations that enable the delivery of real-time services over the cable television networks using cable modems.</w:t>
            </w:r>
            <w:r>
              <w:rPr>
                <w:rFonts w:hint="eastAsia"/>
                <w:lang w:val="en-US" w:eastAsia="zh-CN"/>
              </w:rPr>
              <w:t xml:space="preserve"> </w:t>
            </w:r>
          </w:p>
          <w:p w:rsidR="004F0B82" w:rsidRDefault="00E50BAA" w:rsidP="004F0B82">
            <w:pPr>
              <w:jc w:val="both"/>
              <w:rPr>
                <w:lang w:val="en-US" w:eastAsia="zh-CN"/>
              </w:rPr>
            </w:pPr>
            <w:hyperlink r:id="rId17" w:history="1">
              <w:r w:rsidR="004F0B82" w:rsidRPr="0071694F">
                <w:rPr>
                  <w:rStyle w:val="Hyperlink"/>
                  <w:rFonts w:ascii="Times New Roman" w:hAnsi="Times New Roman" w:hint="eastAsia"/>
                  <w:lang w:val="en-US" w:eastAsia="zh-CN"/>
                </w:rPr>
                <w:t>ITU-T J.261</w:t>
              </w:r>
            </w:hyperlink>
            <w:r w:rsidR="004F0B82">
              <w:rPr>
                <w:rFonts w:hint="eastAsia"/>
                <w:lang w:val="en-US" w:eastAsia="zh-CN"/>
              </w:rPr>
              <w:t xml:space="preserve">: </w:t>
            </w:r>
            <w:r w:rsidR="004F0B82" w:rsidRPr="0071694F">
              <w:rPr>
                <w:lang w:val="en-US" w:eastAsia="zh-CN"/>
              </w:rPr>
              <w:t xml:space="preserve">Framework for implementing preferential telecommunications in </w:t>
            </w:r>
            <w:proofErr w:type="spellStart"/>
            <w:r w:rsidR="004F0B82" w:rsidRPr="0071694F">
              <w:rPr>
                <w:lang w:val="en-US" w:eastAsia="zh-CN"/>
              </w:rPr>
              <w:t>IPCablecom</w:t>
            </w:r>
            <w:proofErr w:type="spellEnd"/>
            <w:r w:rsidR="004F0B82" w:rsidRPr="0071694F">
              <w:rPr>
                <w:lang w:val="en-US" w:eastAsia="zh-CN"/>
              </w:rPr>
              <w:t xml:space="preserve"> and IPCablecom2 networks</w:t>
            </w:r>
            <w:r w:rsidR="004F0B82">
              <w:rPr>
                <w:rFonts w:hint="eastAsia"/>
                <w:lang w:val="en-US" w:eastAsia="zh-CN"/>
              </w:rPr>
              <w:t xml:space="preserve">. This </w:t>
            </w:r>
            <w:r w:rsidR="004F0B82" w:rsidRPr="00165476">
              <w:rPr>
                <w:lang w:val="en-US" w:eastAsia="zh-CN"/>
              </w:rPr>
              <w:t xml:space="preserve">Recommendation provides a framework for implementing preferential capabilities in </w:t>
            </w:r>
            <w:proofErr w:type="spellStart"/>
            <w:r w:rsidR="004F0B82" w:rsidRPr="00165476">
              <w:rPr>
                <w:lang w:val="en-US" w:eastAsia="zh-CN"/>
              </w:rPr>
              <w:t>IPCa</w:t>
            </w:r>
            <w:r w:rsidR="004F0B82">
              <w:rPr>
                <w:lang w:val="en-US" w:eastAsia="zh-CN"/>
              </w:rPr>
              <w:t>blecom</w:t>
            </w:r>
            <w:proofErr w:type="spellEnd"/>
            <w:r w:rsidR="004F0B82">
              <w:rPr>
                <w:lang w:val="en-US" w:eastAsia="zh-CN"/>
              </w:rPr>
              <w:t xml:space="preserve"> and IPCablecom2 networks</w:t>
            </w:r>
            <w:r w:rsidR="004F0B82">
              <w:rPr>
                <w:rFonts w:hint="eastAsia"/>
                <w:lang w:val="en-US" w:eastAsia="zh-CN"/>
              </w:rPr>
              <w:t>.</w:t>
            </w:r>
          </w:p>
          <w:p w:rsidR="004F0B82" w:rsidRDefault="00E50BAA" w:rsidP="004F0B82">
            <w:pPr>
              <w:jc w:val="both"/>
              <w:rPr>
                <w:lang w:val="en-US" w:eastAsia="zh-CN"/>
              </w:rPr>
            </w:pPr>
            <w:hyperlink r:id="rId18" w:history="1">
              <w:r w:rsidR="004F0B82" w:rsidRPr="0071694F">
                <w:rPr>
                  <w:rStyle w:val="Hyperlink"/>
                  <w:rFonts w:ascii="Times New Roman" w:hAnsi="Times New Roman" w:hint="eastAsia"/>
                  <w:lang w:val="en-US" w:eastAsia="zh-CN"/>
                </w:rPr>
                <w:t>ITU-T J.262</w:t>
              </w:r>
            </w:hyperlink>
            <w:r w:rsidR="004F0B82">
              <w:rPr>
                <w:rFonts w:hint="eastAsia"/>
                <w:lang w:val="en-US" w:eastAsia="zh-CN"/>
              </w:rPr>
              <w:t>: S</w:t>
            </w:r>
            <w:r w:rsidR="004F0B82" w:rsidRPr="0071694F">
              <w:rPr>
                <w:lang w:val="en-US" w:eastAsia="zh-CN"/>
              </w:rPr>
              <w:t>pecifications for authentication in preferential telecommunications over IPCablecom2 networks</w:t>
            </w:r>
            <w:r w:rsidR="004F0B82">
              <w:rPr>
                <w:rFonts w:hint="eastAsia"/>
                <w:lang w:val="en-US" w:eastAsia="zh-CN"/>
              </w:rPr>
              <w:t xml:space="preserve">. </w:t>
            </w:r>
            <w:r w:rsidR="004F0B82" w:rsidRPr="00165476">
              <w:rPr>
                <w:lang w:val="en-US" w:eastAsia="zh-CN"/>
              </w:rPr>
              <w:t>This Recommendation defines specifications stemming from the requirements of Recommendation ITU-T J.260 for mechanisms to provide authentication in IPCablecom2 networks in support of preferential telecommunication services that need or benefit from preferential treatment.</w:t>
            </w:r>
          </w:p>
          <w:p w:rsidR="004F0B82" w:rsidRDefault="00E50BAA" w:rsidP="004F0B82">
            <w:pPr>
              <w:jc w:val="both"/>
              <w:rPr>
                <w:lang w:val="en-US" w:eastAsia="zh-CN"/>
              </w:rPr>
            </w:pPr>
            <w:hyperlink r:id="rId19" w:history="1">
              <w:r w:rsidR="004F0B82" w:rsidRPr="0071694F">
                <w:rPr>
                  <w:rStyle w:val="Hyperlink"/>
                  <w:rFonts w:ascii="Times New Roman" w:hAnsi="Times New Roman" w:hint="eastAsia"/>
                  <w:lang w:val="en-US" w:eastAsia="zh-CN"/>
                </w:rPr>
                <w:t>ITU-T J.263</w:t>
              </w:r>
            </w:hyperlink>
            <w:r w:rsidR="004F0B82">
              <w:rPr>
                <w:rFonts w:hint="eastAsia"/>
                <w:lang w:val="en-US" w:eastAsia="zh-CN"/>
              </w:rPr>
              <w:t xml:space="preserve">: </w:t>
            </w:r>
            <w:r w:rsidR="004F0B82" w:rsidRPr="0071694F">
              <w:rPr>
                <w:lang w:val="en-US" w:eastAsia="zh-CN"/>
              </w:rPr>
              <w:t>Specification for priority in preferential telecommunications over IPCablecom2 networks</w:t>
            </w:r>
            <w:r w:rsidR="004F0B82">
              <w:rPr>
                <w:rFonts w:hint="eastAsia"/>
                <w:lang w:val="en-US" w:eastAsia="zh-CN"/>
              </w:rPr>
              <w:t xml:space="preserve">. </w:t>
            </w:r>
            <w:r w:rsidR="004F0B82" w:rsidRPr="00165476">
              <w:rPr>
                <w:lang w:val="en-US" w:eastAsia="zh-CN"/>
              </w:rPr>
              <w:t>This Recommendation provides specifications stemming from the requirements of [ITU-T J.260] for mechanisms to provide priority in IPCablecom2 networks in support of preferential/prioritized treatment to services that need or benefit from such treatment.</w:t>
            </w:r>
          </w:p>
          <w:p w:rsidR="00AD4817" w:rsidRPr="00016C17" w:rsidRDefault="004F0B82" w:rsidP="00016C17">
            <w:pPr>
              <w:jc w:val="both"/>
              <w:rPr>
                <w:lang w:val="en-US" w:eastAsia="zh-CN"/>
              </w:rPr>
            </w:pPr>
            <w:r>
              <w:rPr>
                <w:lang w:val="en-US" w:eastAsia="zh-CN"/>
              </w:rPr>
              <w:t>ITU-T SG</w:t>
            </w:r>
            <w:r>
              <w:rPr>
                <w:rFonts w:hint="eastAsia"/>
                <w:lang w:val="en-US" w:eastAsia="zh-CN"/>
              </w:rPr>
              <w:t>9</w:t>
            </w:r>
            <w:r w:rsidRPr="0071694F">
              <w:rPr>
                <w:lang w:val="en-US" w:eastAsia="zh-CN"/>
              </w:rPr>
              <w:t xml:space="preserve"> looks forward to continuing its cooperation</w:t>
            </w:r>
            <w:r>
              <w:rPr>
                <w:lang w:val="en-US" w:eastAsia="zh-CN"/>
              </w:rPr>
              <w:t xml:space="preserve"> with TSAG Expert Group on ITR</w:t>
            </w:r>
            <w:r w:rsidRPr="0071694F">
              <w:rPr>
                <w:lang w:val="en-US" w:eastAsia="zh-CN"/>
              </w:rPr>
              <w:t xml:space="preserve"> with relevant additional information if any.</w:t>
            </w:r>
            <w:r w:rsidR="00016C17">
              <w:rPr>
                <w:lang w:val="en-US" w:eastAsia="zh-CN"/>
              </w:rPr>
              <w:t>”</w:t>
            </w:r>
          </w:p>
        </w:tc>
      </w:tr>
      <w:tr w:rsidR="00AD4817" w:rsidRPr="004625E8" w:rsidTr="005327D1">
        <w:trPr>
          <w:trHeight w:val="705"/>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573C0">
              <w:rPr>
                <w:rFonts w:asciiTheme="minorHAnsi" w:hAnsiTheme="minorHAnsi"/>
                <w:b/>
              </w:rPr>
              <w:t>ITU-T SG11</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016C17" w:rsidRDefault="00016C17" w:rsidP="00016C17">
            <w:pPr>
              <w:rPr>
                <w:lang w:val="en-US"/>
              </w:rPr>
            </w:pPr>
            <w:r>
              <w:rPr>
                <w:lang w:val="en-US"/>
              </w:rPr>
              <w:t xml:space="preserve">(source: liaison to TSAG, agreed by ITU-T SG11 management, 7 September 2017, </w:t>
            </w:r>
            <w:hyperlink r:id="rId20" w:history="1">
              <w:r w:rsidRPr="00A44CE4">
                <w:rPr>
                  <w:rStyle w:val="Hyperlink"/>
                  <w:rFonts w:asciiTheme="minorHAnsi" w:hAnsiTheme="minorHAnsi"/>
                </w:rPr>
                <w:t>TSAG TD 265</w:t>
              </w:r>
            </w:hyperlink>
            <w:r>
              <w:rPr>
                <w:rFonts w:asciiTheme="minorHAnsi" w:hAnsiTheme="minorHAnsi"/>
              </w:rPr>
              <w:t>, 26 February – 2 March 2018):</w:t>
            </w:r>
          </w:p>
          <w:p w:rsidR="008B1EC9" w:rsidRDefault="008B1EC9" w:rsidP="008B1EC9">
            <w:r>
              <w:t xml:space="preserve">“ITU-T SG11 management would like to thank TSAG for incoming Liaison Statement </w:t>
            </w:r>
            <w:hyperlink r:id="rId21" w:tooltip="ITU-T ftp file restricted to TIES access only" w:history="1">
              <w:r w:rsidRPr="002700EE">
                <w:rPr>
                  <w:rStyle w:val="Hyperlink"/>
                  <w:lang w:val="en-US"/>
                </w:rPr>
                <w:t>TSAG - LS 8 -E</w:t>
              </w:r>
            </w:hyperlink>
            <w:r w:rsidRPr="002700EE">
              <w:t>.</w:t>
            </w:r>
            <w:r>
              <w:t xml:space="preserve"> This LS was discussed by the SG11 management team during its e-meeting on 7 September 2017.</w:t>
            </w:r>
          </w:p>
          <w:p w:rsidR="008B1EC9" w:rsidRDefault="008B1EC9" w:rsidP="008B1EC9">
            <w:r>
              <w:t xml:space="preserve">Following the discussion, I would like to inform you that SG11 management found out that some of ITU-T Recommendations developed by SG11 are related to the </w:t>
            </w:r>
            <w:r w:rsidRPr="004C2312">
              <w:t xml:space="preserve">provision of International Calling </w:t>
            </w:r>
            <w:r>
              <w:t xml:space="preserve">Line </w:t>
            </w:r>
            <w:r w:rsidRPr="004C2312">
              <w:t xml:space="preserve">Identification </w:t>
            </w:r>
            <w:r>
              <w:t>which is mentioned in a</w:t>
            </w:r>
            <w:r w:rsidRPr="004C2312">
              <w:t>rticle 3.6</w:t>
            </w:r>
            <w:r>
              <w:t xml:space="preserve"> of the ITRs (2012), including:</w:t>
            </w:r>
          </w:p>
          <w:p w:rsidR="008B1EC9" w:rsidRDefault="00E50BAA" w:rsidP="008B1EC9">
            <w:pPr>
              <w:pStyle w:val="ListParagraph"/>
              <w:numPr>
                <w:ilvl w:val="0"/>
                <w:numId w:val="3"/>
              </w:numPr>
              <w:spacing w:before="120" w:after="0" w:line="240" w:lineRule="auto"/>
            </w:pPr>
            <w:hyperlink r:id="rId22" w:history="1">
              <w:r w:rsidR="008B1EC9" w:rsidRPr="00414F28">
                <w:rPr>
                  <w:rStyle w:val="Hyperlink"/>
                </w:rPr>
                <w:t>ITU-T Q.731</w:t>
              </w:r>
            </w:hyperlink>
            <w:r w:rsidR="008B1EC9" w:rsidRPr="00414F28">
              <w:t xml:space="preserve">: Stage 3 description for number identification supplementary services using </w:t>
            </w:r>
            <w:proofErr w:type="spellStart"/>
            <w:r w:rsidR="008B1EC9" w:rsidRPr="00414F28">
              <w:t>Signalling</w:t>
            </w:r>
            <w:proofErr w:type="spellEnd"/>
            <w:r w:rsidR="008B1EC9" w:rsidRPr="00414F28">
              <w:t xml:space="preserve"> System No. 7: Clause 3 - Calling Line Identification Presentation (CLIP): Clause 4 - Calling Line Identification Restriction (CLIR): Clause 5 - Connected Line Identification Presentation (COLP): Clause 6 - Connected Line Identification Restriction (COLR)</w:t>
            </w:r>
            <w:r w:rsidR="008B1EC9">
              <w:t>.</w:t>
            </w:r>
            <w:r w:rsidR="008B1EC9">
              <w:br/>
              <w:t>The recommendation defines signaling requirements to supplementary services such as CLIP, CLIR, COLP and COLR.</w:t>
            </w:r>
            <w:r w:rsidR="008B1EC9">
              <w:br/>
              <w:t>Note: there are following terms defined in ITU-T Q.731:</w:t>
            </w:r>
          </w:p>
          <w:p w:rsidR="008B1EC9" w:rsidRPr="00FA41BF" w:rsidRDefault="008B1EC9" w:rsidP="008B1EC9">
            <w:pPr>
              <w:pStyle w:val="ListParagraph"/>
              <w:numPr>
                <w:ilvl w:val="1"/>
                <w:numId w:val="3"/>
              </w:numPr>
              <w:spacing w:before="120" w:after="0" w:line="240" w:lineRule="auto"/>
            </w:pPr>
            <w:proofErr w:type="gramStart"/>
            <w:r>
              <w:t>calling</w:t>
            </w:r>
            <w:proofErr w:type="gramEnd"/>
            <w:r>
              <w:t xml:space="preserve"> line identification presentation (CLIP) is a supplementary service offered to the called user which provides the calling user’s number, with additional address information (e.g. calling party sub-address) if any, to the called user.</w:t>
            </w:r>
          </w:p>
          <w:p w:rsidR="008B1EC9" w:rsidRPr="00FA41BF" w:rsidRDefault="008B1EC9" w:rsidP="008B1EC9">
            <w:pPr>
              <w:pStyle w:val="ListParagraph"/>
              <w:numPr>
                <w:ilvl w:val="1"/>
                <w:numId w:val="3"/>
              </w:numPr>
              <w:spacing w:before="120" w:after="0" w:line="240" w:lineRule="auto"/>
            </w:pPr>
            <w:proofErr w:type="gramStart"/>
            <w:r>
              <w:t>calling</w:t>
            </w:r>
            <w:proofErr w:type="gramEnd"/>
            <w:r>
              <w:t xml:space="preserve"> line identification restriction (CLIR) is a supplementary service offered to the calling user to restrict presentation of the calling user’s number, with additional address information (e.g. calling party sub-address) if any, to the called user.</w:t>
            </w:r>
          </w:p>
          <w:p w:rsidR="008B1EC9" w:rsidRPr="00FA41BF" w:rsidRDefault="008B1EC9" w:rsidP="008B1EC9">
            <w:pPr>
              <w:pStyle w:val="ListParagraph"/>
              <w:numPr>
                <w:ilvl w:val="1"/>
                <w:numId w:val="3"/>
              </w:numPr>
              <w:spacing w:before="120" w:after="0" w:line="240" w:lineRule="auto"/>
            </w:pPr>
            <w:proofErr w:type="gramStart"/>
            <w:r>
              <w:t>connected</w:t>
            </w:r>
            <w:proofErr w:type="gramEnd"/>
            <w:r>
              <w:t xml:space="preserve"> line identification presentation (COLP) is a supplementary service offered to the calling party which provides the connected party’s ISDN number, with additional address information (e.g. connected party sub-address) if any, to the calling party at the call establishment phase.</w:t>
            </w:r>
          </w:p>
          <w:p w:rsidR="008B1EC9" w:rsidRDefault="008B1EC9" w:rsidP="008B1EC9">
            <w:pPr>
              <w:pStyle w:val="ListParagraph"/>
              <w:numPr>
                <w:ilvl w:val="1"/>
                <w:numId w:val="3"/>
              </w:numPr>
              <w:spacing w:before="120" w:after="0" w:line="240" w:lineRule="auto"/>
            </w:pPr>
            <w:proofErr w:type="gramStart"/>
            <w:r>
              <w:t>connected</w:t>
            </w:r>
            <w:proofErr w:type="gramEnd"/>
            <w:r>
              <w:t xml:space="preserve"> line identification restriction (COLR) is a supplementary service offered to the connected party to restrict presentation of the connected party’s ISDN-number, with additional address information (e.g. connected party sub-address) if any, to the calling party.</w:t>
            </w:r>
          </w:p>
          <w:p w:rsidR="008B1EC9" w:rsidRDefault="00E50BAA" w:rsidP="008B1EC9">
            <w:pPr>
              <w:pStyle w:val="ListParagraph"/>
              <w:numPr>
                <w:ilvl w:val="0"/>
                <w:numId w:val="3"/>
              </w:numPr>
              <w:spacing w:before="120" w:after="0" w:line="240" w:lineRule="auto"/>
            </w:pPr>
            <w:hyperlink r:id="rId23" w:history="1">
              <w:r w:rsidR="008B1EC9" w:rsidRPr="00414F28">
                <w:rPr>
                  <w:rStyle w:val="Hyperlink"/>
                </w:rPr>
                <w:t>ITU-T Q.731.7</w:t>
              </w:r>
            </w:hyperlink>
            <w:r w:rsidR="008B1EC9" w:rsidRPr="00414F28">
              <w:t xml:space="preserve">: Stage 3 description for number identification supplementary services using </w:t>
            </w:r>
            <w:proofErr w:type="spellStart"/>
            <w:r w:rsidR="008B1EC9" w:rsidRPr="00414F28">
              <w:t>Signalling</w:t>
            </w:r>
            <w:proofErr w:type="spellEnd"/>
            <w:r w:rsidR="008B1EC9" w:rsidRPr="00414F28">
              <w:t xml:space="preserve"> System No. 7: Malicious call identification</w:t>
            </w:r>
            <w:r w:rsidR="008B1EC9">
              <w:t xml:space="preserve"> </w:t>
            </w:r>
            <w:r w:rsidR="008B1EC9" w:rsidRPr="00414F28">
              <w:t>(MCID).</w:t>
            </w:r>
          </w:p>
          <w:p w:rsidR="008B1EC9" w:rsidRDefault="008B1EC9" w:rsidP="008B1EC9">
            <w:pPr>
              <w:pStyle w:val="ListParagraph"/>
              <w:snapToGrid w:val="0"/>
              <w:spacing w:before="240"/>
              <w:contextualSpacing w:val="0"/>
            </w:pPr>
            <w:r>
              <w:t>T</w:t>
            </w:r>
            <w:r w:rsidRPr="00414F28">
              <w:t>h</w:t>
            </w:r>
            <w:r>
              <w:t>e</w:t>
            </w:r>
            <w:r w:rsidRPr="00414F28">
              <w:t xml:space="preserve"> Recommendation defines the essential functions, procedures and messages of the ISUP protocol</w:t>
            </w:r>
            <w:r>
              <w:t xml:space="preserve"> </w:t>
            </w:r>
            <w:r w:rsidRPr="00414F28">
              <w:t>required for the provisioning to ISDN users of the Malicious Call Identification supplementary</w:t>
            </w:r>
            <w:r>
              <w:t xml:space="preserve"> </w:t>
            </w:r>
            <w:r w:rsidRPr="00414F28">
              <w:t>service, which enables a user to request that the source of an incoming call is identified and</w:t>
            </w:r>
            <w:r>
              <w:t xml:space="preserve"> </w:t>
            </w:r>
            <w:r w:rsidRPr="00414F28">
              <w:t>registered in the network.</w:t>
            </w:r>
          </w:p>
          <w:p w:rsidR="008B1EC9" w:rsidRDefault="008B1EC9" w:rsidP="008B1EC9">
            <w:pPr>
              <w:rPr>
                <w:lang w:val="en-US"/>
              </w:rPr>
            </w:pPr>
            <w:r>
              <w:rPr>
                <w:lang w:val="en-US"/>
              </w:rPr>
              <w:t>SG11 will discuss this LS at the forthcoming meeting in November 2017 once again and keep TSAG</w:t>
            </w:r>
            <w:r w:rsidRPr="004C2312">
              <w:rPr>
                <w:lang w:val="en-US"/>
              </w:rPr>
              <w:t xml:space="preserve"> Expert Group</w:t>
            </w:r>
            <w:r>
              <w:rPr>
                <w:lang w:val="en-US"/>
              </w:rPr>
              <w:t xml:space="preserve"> on ITR updated with relevant additional information if any.”</w:t>
            </w:r>
          </w:p>
          <w:p w:rsidR="008B1EC9" w:rsidRDefault="008B1EC9" w:rsidP="008B1EC9">
            <w:pPr>
              <w:rPr>
                <w:lang w:val="en-US"/>
              </w:rPr>
            </w:pPr>
          </w:p>
          <w:p w:rsidR="00016C17" w:rsidRDefault="00016C17" w:rsidP="00016C17">
            <w:r>
              <w:rPr>
                <w:lang w:val="en-US"/>
              </w:rPr>
              <w:t xml:space="preserve">(source: liaison to TSAG, </w:t>
            </w:r>
            <w:r>
              <w:t>agreed by ITU-T SG11 meeting, 8-17 November 2017</w:t>
            </w:r>
            <w:r>
              <w:rPr>
                <w:lang w:val="en-US"/>
              </w:rPr>
              <w:t xml:space="preserve">, 7 September 2017, </w:t>
            </w:r>
            <w:hyperlink r:id="rId24" w:history="1">
              <w:r w:rsidRPr="00A44CE4">
                <w:rPr>
                  <w:rStyle w:val="Hyperlink"/>
                  <w:rFonts w:asciiTheme="minorHAnsi" w:hAnsiTheme="minorHAnsi"/>
                </w:rPr>
                <w:t>TSAG TD 265</w:t>
              </w:r>
            </w:hyperlink>
            <w:r>
              <w:rPr>
                <w:rFonts w:asciiTheme="minorHAnsi" w:hAnsiTheme="minorHAnsi"/>
              </w:rPr>
              <w:t>, 26 February – 2 March 2018)</w:t>
            </w:r>
            <w:r>
              <w:t>:</w:t>
            </w:r>
          </w:p>
          <w:p w:rsidR="008B1EC9" w:rsidRPr="0050027E" w:rsidRDefault="008B1EC9" w:rsidP="008B1EC9">
            <w:pPr>
              <w:spacing w:before="240"/>
              <w:jc w:val="both"/>
            </w:pPr>
            <w:r>
              <w:rPr>
                <w:lang w:val="en-US"/>
              </w:rPr>
              <w:t>“</w:t>
            </w:r>
            <w:r w:rsidRPr="0050027E">
              <w:t>ITU-T Study Group</w:t>
            </w:r>
            <w:r w:rsidRPr="0050027E">
              <w:rPr>
                <w:rFonts w:hint="eastAsia"/>
                <w:lang w:eastAsia="zh-CN"/>
              </w:rPr>
              <w:t xml:space="preserve"> 11</w:t>
            </w:r>
            <w:r w:rsidRPr="0050027E">
              <w:t xml:space="preserve"> would like to thank TSAG for the incoming Liaison Statement (</w:t>
            </w:r>
            <w:hyperlink r:id="rId25" w:tooltip="ITU-T ftp file restricted to TIES access only" w:history="1">
              <w:r w:rsidRPr="0050027E">
                <w:rPr>
                  <w:color w:val="0000FF"/>
                  <w:u w:val="single"/>
                  <w:lang w:val="en-US"/>
                </w:rPr>
                <w:t>TSAG-LS 8</w:t>
              </w:r>
            </w:hyperlink>
            <w:r w:rsidRPr="0050027E">
              <w:t>).</w:t>
            </w:r>
          </w:p>
          <w:p w:rsidR="008B1EC9" w:rsidRPr="0050027E" w:rsidRDefault="008B1EC9" w:rsidP="008B1EC9">
            <w:pPr>
              <w:tabs>
                <w:tab w:val="left" w:pos="0"/>
                <w:tab w:val="left" w:pos="284"/>
                <w:tab w:val="left" w:pos="709"/>
              </w:tabs>
              <w:spacing w:after="120"/>
              <w:jc w:val="both"/>
            </w:pPr>
            <w:r w:rsidRPr="0050027E">
              <w:t>The ITU-T SG11 Chairman has already informed TSAG in September 2017 (</w:t>
            </w:r>
            <w:hyperlink r:id="rId26" w:history="1">
              <w:r w:rsidRPr="0050027E">
                <w:rPr>
                  <w:bCs/>
                  <w:color w:val="0000FF"/>
                  <w:u w:val="single"/>
                  <w:lang w:val="en-US"/>
                </w:rPr>
                <w:t>SG11-LS20</w:t>
              </w:r>
            </w:hyperlink>
            <w:r w:rsidRPr="0050027E">
              <w:t>). After further discussion at the ITU-T SG11 meeting (8-17 November 201</w:t>
            </w:r>
            <w:r>
              <w:t>7), concerning the relevant ITU</w:t>
            </w:r>
            <w:r>
              <w:noBreakHyphen/>
            </w:r>
            <w:r w:rsidRPr="0050027E">
              <w:t>T Recommendations and the role of SG11 in implementing the 2012 ITRs, the SG11 meeting agreed the following:</w:t>
            </w:r>
          </w:p>
          <w:p w:rsidR="008B1EC9" w:rsidRPr="0050027E" w:rsidRDefault="008B1EC9" w:rsidP="008B1EC9">
            <w:pPr>
              <w:numPr>
                <w:ilvl w:val="0"/>
                <w:numId w:val="5"/>
              </w:numPr>
              <w:tabs>
                <w:tab w:val="clear" w:pos="567"/>
                <w:tab w:val="clear" w:pos="1134"/>
                <w:tab w:val="clear" w:pos="1701"/>
                <w:tab w:val="clear" w:pos="2268"/>
                <w:tab w:val="clear" w:pos="2835"/>
                <w:tab w:val="left" w:pos="426"/>
                <w:tab w:val="left" w:pos="1843"/>
                <w:tab w:val="left" w:pos="1985"/>
              </w:tabs>
              <w:spacing w:after="120"/>
              <w:ind w:left="426" w:hanging="426"/>
            </w:pPr>
            <w:r w:rsidRPr="0050027E">
              <w:t>SG11 is a technical study group and at this time, SG11 has not perceived any impact the 2012 ITRs have on ITU-T Recommendations, developed and approved by SG11;</w:t>
            </w:r>
          </w:p>
          <w:p w:rsidR="008B1EC9" w:rsidRPr="0050027E" w:rsidRDefault="008B1EC9" w:rsidP="008B1EC9">
            <w:pPr>
              <w:numPr>
                <w:ilvl w:val="0"/>
                <w:numId w:val="5"/>
              </w:numPr>
              <w:tabs>
                <w:tab w:val="clear" w:pos="567"/>
                <w:tab w:val="clear" w:pos="1134"/>
                <w:tab w:val="clear" w:pos="1701"/>
                <w:tab w:val="clear" w:pos="2268"/>
                <w:tab w:val="clear" w:pos="2835"/>
                <w:tab w:val="left" w:pos="426"/>
                <w:tab w:val="left" w:pos="851"/>
                <w:tab w:val="left" w:pos="1588"/>
                <w:tab w:val="left" w:pos="1843"/>
                <w:tab w:val="left" w:pos="1985"/>
              </w:tabs>
              <w:spacing w:after="120"/>
              <w:ind w:left="426" w:hanging="426"/>
            </w:pPr>
            <w:r w:rsidRPr="0050027E">
              <w:t>SG11 recognizes that there are a series of ITU-T Recommendations developed by SG11 that are related to the provision of International Calling Line Identification (mentioned in article 3.6 of 2012 ITRs), including:</w:t>
            </w:r>
          </w:p>
          <w:p w:rsidR="008B1EC9" w:rsidRPr="0050027E" w:rsidRDefault="00E50BAA" w:rsidP="008B1EC9">
            <w:pPr>
              <w:numPr>
                <w:ilvl w:val="0"/>
                <w:numId w:val="4"/>
              </w:numPr>
              <w:tabs>
                <w:tab w:val="clear" w:pos="567"/>
                <w:tab w:val="clear" w:pos="1134"/>
                <w:tab w:val="clear" w:pos="1701"/>
                <w:tab w:val="clear" w:pos="2268"/>
                <w:tab w:val="clear" w:pos="2835"/>
                <w:tab w:val="left" w:pos="0"/>
                <w:tab w:val="left" w:pos="284"/>
                <w:tab w:val="left" w:pos="993"/>
                <w:tab w:val="left" w:pos="1985"/>
              </w:tabs>
              <w:overflowPunct/>
              <w:autoSpaceDE/>
              <w:autoSpaceDN/>
              <w:adjustRightInd/>
              <w:spacing w:before="0" w:after="120" w:line="276" w:lineRule="auto"/>
              <w:ind w:left="993" w:hanging="567"/>
              <w:contextualSpacing/>
              <w:textAlignment w:val="auto"/>
            </w:pPr>
            <w:hyperlink r:id="rId27" w:history="1">
              <w:r w:rsidR="008B1EC9" w:rsidRPr="0050027E">
                <w:rPr>
                  <w:color w:val="0000FF"/>
                  <w:u w:val="single"/>
                </w:rPr>
                <w:t>ITU-T Q.731</w:t>
              </w:r>
            </w:hyperlink>
            <w:r w:rsidR="008B1EC9" w:rsidRPr="0050027E">
              <w:t xml:space="preserve"> series: The Recommendation defines signalling requirements to supplementary services such as CLIP, CLIR, COLP and COLR;</w:t>
            </w:r>
          </w:p>
          <w:p w:rsidR="008B1EC9" w:rsidRPr="0050027E" w:rsidRDefault="00E50BAA" w:rsidP="008B1EC9">
            <w:pPr>
              <w:numPr>
                <w:ilvl w:val="0"/>
                <w:numId w:val="4"/>
              </w:numPr>
              <w:tabs>
                <w:tab w:val="clear" w:pos="567"/>
                <w:tab w:val="clear" w:pos="1134"/>
                <w:tab w:val="clear" w:pos="1701"/>
                <w:tab w:val="clear" w:pos="2268"/>
                <w:tab w:val="clear" w:pos="2835"/>
                <w:tab w:val="left" w:pos="0"/>
                <w:tab w:val="left" w:pos="284"/>
                <w:tab w:val="left" w:pos="993"/>
                <w:tab w:val="left" w:pos="1985"/>
              </w:tabs>
              <w:overflowPunct/>
              <w:autoSpaceDE/>
              <w:autoSpaceDN/>
              <w:adjustRightInd/>
              <w:spacing w:before="0" w:after="120" w:line="276" w:lineRule="auto"/>
              <w:ind w:left="993" w:hanging="567"/>
              <w:contextualSpacing/>
              <w:jc w:val="both"/>
              <w:textAlignment w:val="auto"/>
            </w:pPr>
            <w:hyperlink r:id="rId28" w:history="1">
              <w:r w:rsidR="008B1EC9" w:rsidRPr="0050027E">
                <w:rPr>
                  <w:color w:val="0000FF"/>
                  <w:u w:val="single"/>
                </w:rPr>
                <w:t>Q.3617-Q.3639</w:t>
              </w:r>
            </w:hyperlink>
            <w:r w:rsidR="008B1EC9" w:rsidRPr="0050027E">
              <w:t>: Service and session control protocols – supplementary services based on SIP-IMS.</w:t>
            </w:r>
          </w:p>
          <w:p w:rsidR="00AD4817" w:rsidRPr="00016C17" w:rsidRDefault="008B1EC9" w:rsidP="00016C17">
            <w:pPr>
              <w:tabs>
                <w:tab w:val="left" w:pos="0"/>
                <w:tab w:val="left" w:pos="284"/>
                <w:tab w:val="left" w:pos="1588"/>
                <w:tab w:val="left" w:pos="1985"/>
              </w:tabs>
              <w:spacing w:after="120"/>
              <w:jc w:val="both"/>
            </w:pPr>
            <w:r w:rsidRPr="0050027E">
              <w:t>This information will be reflected in the report of SG11 for the TSB Director’s consideration.</w:t>
            </w:r>
            <w:r>
              <w:t>”</w:t>
            </w:r>
          </w:p>
        </w:tc>
      </w:tr>
      <w:tr w:rsidR="00AD4817" w:rsidRPr="005327D1" w:rsidTr="00D43D5B">
        <w:trPr>
          <w:trHeight w:val="3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D4817" w:rsidRPr="004625E8" w:rsidRDefault="00AD4817" w:rsidP="00D43D5B">
            <w:pPr>
              <w:spacing w:after="120"/>
              <w:rPr>
                <w:rFonts w:asciiTheme="minorHAnsi" w:hAnsiTheme="minorHAnsi"/>
                <w:b/>
                <w:color w:val="FF0000"/>
              </w:rPr>
            </w:pPr>
            <w:r w:rsidRPr="004573C0">
              <w:rPr>
                <w:rFonts w:asciiTheme="minorHAnsi" w:hAnsiTheme="minorHAnsi"/>
                <w:b/>
              </w:rPr>
              <w:t>ITU-T SG12</w:t>
            </w:r>
          </w:p>
        </w:tc>
        <w:tc>
          <w:tcPr>
            <w:tcW w:w="8281" w:type="dxa"/>
            <w:tcBorders>
              <w:top w:val="nil"/>
              <w:left w:val="nil"/>
              <w:bottom w:val="single" w:sz="8" w:space="0" w:color="auto"/>
              <w:right w:val="single" w:sz="8" w:space="0" w:color="auto"/>
            </w:tcBorders>
            <w:noWrap/>
            <w:tcMar>
              <w:top w:w="0" w:type="dxa"/>
              <w:left w:w="108" w:type="dxa"/>
              <w:bottom w:w="0" w:type="dxa"/>
              <w:right w:w="108" w:type="dxa"/>
            </w:tcMar>
          </w:tcPr>
          <w:p w:rsidR="00016C17" w:rsidRDefault="00016C17" w:rsidP="005327D1">
            <w:pPr>
              <w:spacing w:after="120"/>
              <w:rPr>
                <w:rFonts w:asciiTheme="minorHAnsi" w:hAnsiTheme="minorHAnsi"/>
                <w:lang w:eastAsia="ja-JP"/>
              </w:rPr>
            </w:pPr>
            <w:r>
              <w:rPr>
                <w:rFonts w:asciiTheme="minorHAnsi" w:hAnsiTheme="minorHAnsi"/>
              </w:rPr>
              <w:t xml:space="preserve">(source: </w:t>
            </w:r>
            <w:hyperlink r:id="rId29" w:history="1">
              <w:r w:rsidRPr="00A44CE4">
                <w:rPr>
                  <w:rStyle w:val="Hyperlink"/>
                  <w:rFonts w:asciiTheme="minorHAnsi" w:hAnsiTheme="minorHAnsi"/>
                </w:rPr>
                <w:t>TSAG TD 265</w:t>
              </w:r>
            </w:hyperlink>
            <w:r>
              <w:rPr>
                <w:rFonts w:asciiTheme="minorHAnsi" w:hAnsiTheme="minorHAnsi"/>
              </w:rPr>
              <w:t>, 26 February – 2 March 2018):</w:t>
            </w:r>
          </w:p>
          <w:p w:rsidR="00AD4817" w:rsidRPr="00016C17" w:rsidRDefault="005327D1" w:rsidP="005327D1">
            <w:pPr>
              <w:spacing w:after="120"/>
              <w:rPr>
                <w:rFonts w:asciiTheme="minorHAnsi" w:hAnsiTheme="minorHAnsi"/>
                <w:lang w:val="fr-CH" w:eastAsia="ja-JP"/>
              </w:rPr>
            </w:pPr>
            <w:r w:rsidRPr="00016C17">
              <w:rPr>
                <w:rFonts w:asciiTheme="minorHAnsi" w:hAnsiTheme="minorHAnsi"/>
                <w:lang w:val="fr-CH" w:eastAsia="ja-JP"/>
              </w:rPr>
              <w:t xml:space="preserve">Relevant ITU-T Recommandations </w:t>
            </w:r>
            <w:proofErr w:type="spellStart"/>
            <w:r w:rsidRPr="00016C17">
              <w:rPr>
                <w:rFonts w:asciiTheme="minorHAnsi" w:hAnsiTheme="minorHAnsi"/>
                <w:lang w:val="fr-CH" w:eastAsia="ja-JP"/>
              </w:rPr>
              <w:t>under</w:t>
            </w:r>
            <w:proofErr w:type="spellEnd"/>
            <w:r w:rsidRPr="00016C17">
              <w:rPr>
                <w:rFonts w:asciiTheme="minorHAnsi" w:hAnsiTheme="minorHAnsi"/>
                <w:lang w:val="fr-CH" w:eastAsia="ja-JP"/>
              </w:rPr>
              <w:t xml:space="preserve"> ITU-T SG12 </w:t>
            </w:r>
            <w:proofErr w:type="spellStart"/>
            <w:r w:rsidRPr="00016C17">
              <w:rPr>
                <w:rFonts w:asciiTheme="minorHAnsi" w:hAnsiTheme="minorHAnsi"/>
                <w:lang w:val="fr-CH" w:eastAsia="ja-JP"/>
              </w:rPr>
              <w:t>responsibility</w:t>
            </w:r>
            <w:proofErr w:type="spellEnd"/>
            <w:r w:rsidRPr="00016C17">
              <w:rPr>
                <w:rFonts w:asciiTheme="minorHAnsi" w:hAnsiTheme="minorHAnsi"/>
                <w:lang w:val="fr-CH" w:eastAsia="ja-JP"/>
              </w:rPr>
              <w:t>:</w:t>
            </w:r>
          </w:p>
          <w:p w:rsidR="005327D1" w:rsidRDefault="005327D1" w:rsidP="005327D1">
            <w:pPr>
              <w:spacing w:after="120"/>
              <w:rPr>
                <w:rFonts w:eastAsia="Batang"/>
                <w:lang w:val="fr-CH"/>
              </w:rPr>
            </w:pPr>
            <w:proofErr w:type="spellStart"/>
            <w:r w:rsidRPr="005327D1">
              <w:rPr>
                <w:rFonts w:asciiTheme="minorHAnsi" w:hAnsiTheme="minorHAnsi"/>
                <w:lang w:val="fr-CH" w:eastAsia="ja-JP"/>
              </w:rPr>
              <w:t>QoS</w:t>
            </w:r>
            <w:proofErr w:type="spellEnd"/>
            <w:r w:rsidRPr="005327D1">
              <w:rPr>
                <w:rFonts w:asciiTheme="minorHAnsi" w:hAnsiTheme="minorHAnsi"/>
                <w:lang w:val="fr-CH" w:eastAsia="ja-JP"/>
              </w:rPr>
              <w:t xml:space="preserve"> </w:t>
            </w:r>
            <w:proofErr w:type="spellStart"/>
            <w:r w:rsidRPr="005327D1">
              <w:rPr>
                <w:rFonts w:asciiTheme="minorHAnsi" w:hAnsiTheme="minorHAnsi"/>
                <w:lang w:val="fr-CH" w:eastAsia="ja-JP"/>
              </w:rPr>
              <w:t>related</w:t>
            </w:r>
            <w:proofErr w:type="spellEnd"/>
            <w:r w:rsidRPr="005327D1">
              <w:rPr>
                <w:rFonts w:asciiTheme="minorHAnsi" w:hAnsiTheme="minorHAnsi"/>
                <w:lang w:val="fr-CH" w:eastAsia="ja-JP"/>
              </w:rPr>
              <w:t xml:space="preserve"> ITU-T </w:t>
            </w:r>
            <w:proofErr w:type="spellStart"/>
            <w:r w:rsidRPr="005327D1">
              <w:rPr>
                <w:rFonts w:asciiTheme="minorHAnsi" w:hAnsiTheme="minorHAnsi"/>
                <w:lang w:val="fr-CH" w:eastAsia="ja-JP"/>
              </w:rPr>
              <w:t>Recommendations</w:t>
            </w:r>
            <w:proofErr w:type="spellEnd"/>
            <w:r w:rsidRPr="005327D1">
              <w:rPr>
                <w:rFonts w:asciiTheme="minorHAnsi" w:hAnsiTheme="minorHAnsi"/>
                <w:lang w:val="fr-CH" w:eastAsia="ja-JP"/>
              </w:rPr>
              <w:t>: Article</w:t>
            </w:r>
            <w:r w:rsidRPr="005327D1">
              <w:rPr>
                <w:rFonts w:eastAsia="Batang"/>
                <w:lang w:val="fr-CH"/>
              </w:rPr>
              <w:t xml:space="preserve"> §4.3</w:t>
            </w:r>
          </w:p>
          <w:p w:rsidR="005327D1" w:rsidRDefault="005327D1" w:rsidP="00016C17">
            <w:pPr>
              <w:rPr>
                <w:rFonts w:eastAsia="Batang"/>
                <w:lang w:val="fr-CH"/>
              </w:rPr>
            </w:pPr>
            <w:r>
              <w:rPr>
                <w:rFonts w:eastAsia="Batang"/>
              </w:rPr>
              <w:t>“</w:t>
            </w:r>
          </w:p>
          <w:p w:rsidR="005327D1" w:rsidRDefault="005327D1" w:rsidP="00016C1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0" w:after="100" w:afterAutospacing="1"/>
              <w:ind w:left="318" w:hanging="284"/>
              <w:jc w:val="both"/>
              <w:textAlignment w:val="auto"/>
              <w:rPr>
                <w:rFonts w:eastAsia="Batang"/>
              </w:rPr>
            </w:pPr>
            <w:r w:rsidRPr="00584A11">
              <w:rPr>
                <w:rFonts w:eastAsia="Batang"/>
              </w:rPr>
              <w:t>E.420-</w:t>
            </w:r>
            <w:r>
              <w:rPr>
                <w:rFonts w:eastAsia="Batang"/>
              </w:rPr>
              <w:t xml:space="preserve"> </w:t>
            </w:r>
            <w:r w:rsidRPr="00584A11">
              <w:rPr>
                <w:rFonts w:eastAsia="Batang"/>
              </w:rPr>
              <w:t>E.4</w:t>
            </w:r>
            <w:r>
              <w:rPr>
                <w:rFonts w:eastAsia="Batang"/>
              </w:rPr>
              <w:t>7</w:t>
            </w:r>
            <w:r w:rsidRPr="00584A11">
              <w:rPr>
                <w:rFonts w:eastAsia="Batang"/>
              </w:rPr>
              <w:t>9: Checking the quality of the international telephone service</w:t>
            </w:r>
          </w:p>
          <w:p w:rsidR="005327D1" w:rsidRPr="00EF1C4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EF1C41">
              <w:rPr>
                <w:rFonts w:eastAsia="Batang"/>
              </w:rPr>
              <w:t>E.800- E.859: Quality of telecommunication services: concepts, models, objectives and dependability planning</w:t>
            </w:r>
          </w:p>
          <w:p w:rsidR="005327D1" w:rsidRPr="00584A1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G.100-series: International telephone connections and circuits, except G.160- </w:t>
            </w:r>
            <w:r>
              <w:rPr>
                <w:rFonts w:eastAsia="Batang"/>
              </w:rPr>
              <w:t>and G.180-</w:t>
            </w:r>
            <w:r w:rsidRPr="00584A11">
              <w:rPr>
                <w:rFonts w:eastAsia="Batang"/>
              </w:rPr>
              <w:t>series</w:t>
            </w:r>
          </w:p>
          <w:p w:rsidR="005327D1" w:rsidRPr="00584A1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G.1000-series: Multimedia Quality of Service and performance – Generic and user-related aspects</w:t>
            </w:r>
          </w:p>
          <w:p w:rsidR="005327D1" w:rsidRPr="00584A1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I.350-series: Performance objectives (including ITU-T Y.1501/ ITU-T G.820/ ITU-T I.351) </w:t>
            </w:r>
          </w:p>
          <w:p w:rsidR="005327D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842BA6">
              <w:rPr>
                <w:rFonts w:eastAsia="Batang"/>
              </w:rPr>
              <w:t>I.371, I.378, I.381</w:t>
            </w:r>
          </w:p>
          <w:p w:rsidR="005327D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Pr>
                <w:rFonts w:eastAsia="Batang"/>
              </w:rPr>
              <w:t>J.140-, J.240- and J.340-series</w:t>
            </w:r>
          </w:p>
          <w:p w:rsidR="005327D1" w:rsidRPr="00842BA6"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842BA6">
              <w:rPr>
                <w:rFonts w:eastAsia="Batang"/>
              </w:rPr>
              <w:t>P-series: Telephone transmission quality, telephone installations, local line networks</w:t>
            </w:r>
          </w:p>
          <w:p w:rsidR="005327D1" w:rsidRPr="00584A1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84A11">
              <w:rPr>
                <w:rFonts w:eastAsia="Batang"/>
              </w:rPr>
              <w:t xml:space="preserve">Y.1220-series: Architecture, access, network capabilities and resource </w:t>
            </w:r>
            <w:r>
              <w:rPr>
                <w:rFonts w:eastAsia="Batang"/>
              </w:rPr>
              <w:t>management</w:t>
            </w:r>
          </w:p>
          <w:p w:rsidR="005327D1" w:rsidRDefault="005327D1" w:rsidP="005327D1">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Pr>
                <w:rFonts w:eastAsia="Batang"/>
              </w:rPr>
              <w:t>Y.1500</w:t>
            </w:r>
            <w:r w:rsidRPr="00584A11">
              <w:rPr>
                <w:rFonts w:eastAsia="Batang"/>
              </w:rPr>
              <w:t xml:space="preserve">-series: Quality of </w:t>
            </w:r>
            <w:r>
              <w:rPr>
                <w:rFonts w:eastAsia="Batang"/>
              </w:rPr>
              <w:t>service and network performance</w:t>
            </w:r>
            <w:r w:rsidRPr="00842BA6">
              <w:rPr>
                <w:rFonts w:eastAsia="Batang"/>
              </w:rPr>
              <w:t xml:space="preserve"> </w:t>
            </w:r>
          </w:p>
          <w:p w:rsidR="005327D1" w:rsidRDefault="005327D1" w:rsidP="00016C17">
            <w:pPr>
              <w:numPr>
                <w:ilvl w:val="0"/>
                <w:numId w:val="6"/>
              </w:numPr>
              <w:tabs>
                <w:tab w:val="clear" w:pos="567"/>
                <w:tab w:val="clear" w:pos="720"/>
                <w:tab w:val="clear" w:pos="1701"/>
                <w:tab w:val="clear" w:pos="2835"/>
                <w:tab w:val="num" w:pos="317"/>
                <w:tab w:val="left" w:pos="1871"/>
                <w:tab w:val="left" w:pos="2041"/>
              </w:tabs>
              <w:overflowPunct/>
              <w:autoSpaceDE/>
              <w:autoSpaceDN/>
              <w:adjustRightInd/>
              <w:spacing w:before="100" w:beforeAutospacing="1" w:after="100" w:afterAutospacing="1"/>
              <w:ind w:left="317" w:hanging="283"/>
              <w:jc w:val="both"/>
              <w:textAlignment w:val="auto"/>
              <w:rPr>
                <w:rFonts w:eastAsia="Batang"/>
              </w:rPr>
            </w:pPr>
            <w:r w:rsidRPr="005327D1">
              <w:rPr>
                <w:rFonts w:eastAsia="Batang"/>
              </w:rPr>
              <w:t>Supplements to E-, G- and P-series</w:t>
            </w:r>
            <w:r>
              <w:rPr>
                <w:rFonts w:eastAsia="Batang"/>
              </w:rPr>
              <w:t>”</w:t>
            </w:r>
          </w:p>
          <w:p w:rsidR="00F81629" w:rsidRPr="00F81629" w:rsidRDefault="00F81629" w:rsidP="00F81629">
            <w:pPr>
              <w:spacing w:after="120"/>
              <w:rPr>
                <w:rFonts w:asciiTheme="minorHAnsi" w:hAnsiTheme="minorHAnsi"/>
                <w:lang w:val="en-US" w:eastAsia="ja-JP"/>
              </w:rPr>
            </w:pPr>
            <w:r w:rsidRPr="003D7B42">
              <w:rPr>
                <w:rFonts w:asciiTheme="minorHAnsi" w:hAnsiTheme="minorHAnsi"/>
                <w:lang w:val="en-US" w:eastAsia="ja-JP"/>
              </w:rPr>
              <w:t xml:space="preserve">The following comment is applicable to Art. 3.1 </w:t>
            </w:r>
            <w:proofErr w:type="gramStart"/>
            <w:r w:rsidRPr="003D7B42">
              <w:rPr>
                <w:rFonts w:asciiTheme="minorHAnsi" w:hAnsiTheme="minorHAnsi"/>
                <w:lang w:val="en-US" w:eastAsia="ja-JP"/>
              </w:rPr>
              <w:t>and</w:t>
            </w:r>
            <w:proofErr w:type="gramEnd"/>
            <w:r w:rsidRPr="003D7B42">
              <w:rPr>
                <w:rFonts w:asciiTheme="minorHAnsi" w:hAnsiTheme="minorHAnsi"/>
                <w:lang w:val="en-US" w:eastAsia="ja-JP"/>
              </w:rPr>
              <w:t xml:space="preserve"> 3.4: The use of the word “Satisfactory” in “satisfactory quality service” in Art. 3.1 </w:t>
            </w:r>
            <w:proofErr w:type="gramStart"/>
            <w:r w:rsidRPr="003D7B42">
              <w:rPr>
                <w:rFonts w:asciiTheme="minorHAnsi" w:hAnsiTheme="minorHAnsi"/>
                <w:lang w:val="en-US" w:eastAsia="ja-JP"/>
              </w:rPr>
              <w:t>and</w:t>
            </w:r>
            <w:proofErr w:type="gramEnd"/>
            <w:r w:rsidRPr="003D7B42">
              <w:rPr>
                <w:rFonts w:asciiTheme="minorHAnsi" w:hAnsiTheme="minorHAnsi"/>
                <w:lang w:val="en-US" w:eastAsia="ja-JP"/>
              </w:rPr>
              <w:t xml:space="preserve"> 3.4 is ambiguous for ITU-T SG12. Currently, there is no ITU definition for satisfactory or satisfaction. SG12 considers “Satisfaction” as another phase beyond Quality of Experience where perspectives of the user are factored. </w:t>
            </w:r>
            <w:r w:rsidRPr="00F81629">
              <w:rPr>
                <w:rFonts w:asciiTheme="minorHAnsi" w:hAnsiTheme="minorHAnsi"/>
                <w:lang w:val="en-US" w:eastAsia="ja-JP"/>
              </w:rPr>
              <w:t xml:space="preserve">In reviewing the ITRs, this ambiguity needs to be considered to be clarified. </w:t>
            </w:r>
          </w:p>
        </w:tc>
      </w:tr>
      <w:tr w:rsidR="00AD4817" w:rsidRPr="004625E8" w:rsidTr="00D43D5B">
        <w:trPr>
          <w:trHeight w:val="15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625E8">
              <w:rPr>
                <w:rFonts w:asciiTheme="minorHAnsi" w:hAnsiTheme="minorHAnsi"/>
                <w:b/>
              </w:rPr>
              <w:t>ITU-T SG13</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016C17" w:rsidRDefault="00016C17" w:rsidP="00016C17">
            <w:pPr>
              <w:spacing w:after="120"/>
              <w:rPr>
                <w:rFonts w:asciiTheme="minorHAnsi" w:hAnsiTheme="minorHAnsi"/>
              </w:rPr>
            </w:pPr>
            <w:r>
              <w:t>(</w:t>
            </w:r>
            <w:proofErr w:type="gramStart"/>
            <w:r>
              <w:t>source</w:t>
            </w:r>
            <w:proofErr w:type="gramEnd"/>
            <w:r>
              <w:t xml:space="preserve">: </w:t>
            </w:r>
            <w:hyperlink r:id="rId30" w:history="1">
              <w:r w:rsidRPr="004625E8">
                <w:rPr>
                  <w:rStyle w:val="Hyperlink"/>
                  <w:rFonts w:asciiTheme="minorHAnsi" w:hAnsiTheme="minorHAnsi"/>
                </w:rPr>
                <w:t>https://www.itu.int/dms_pub/itu-t/md/17/tsag/td/180226/GEN/T17-TSAG-180226-TD-GEN-0217!!MSW-E.doc</w:t>
              </w:r>
            </w:hyperlink>
            <w:r w:rsidRPr="004625E8">
              <w:rPr>
                <w:rFonts w:asciiTheme="minorHAnsi" w:hAnsiTheme="minorHAnsi"/>
                <w:color w:val="1F497D"/>
              </w:rPr>
              <w:t xml:space="preserve"> </w:t>
            </w:r>
            <w:r>
              <w:rPr>
                <w:rFonts w:asciiTheme="minorHAnsi" w:hAnsiTheme="minorHAnsi"/>
              </w:rPr>
              <w:t xml:space="preserve">, </w:t>
            </w:r>
            <w:r w:rsidRPr="004625E8">
              <w:rPr>
                <w:rFonts w:asciiTheme="minorHAnsi" w:hAnsiTheme="minorHAnsi"/>
              </w:rPr>
              <w:t>6-17 November 2017)</w:t>
            </w:r>
            <w:r>
              <w:rPr>
                <w:rFonts w:asciiTheme="minorHAnsi" w:hAnsiTheme="minorHAnsi"/>
              </w:rPr>
              <w:t>:</w:t>
            </w:r>
          </w:p>
          <w:p w:rsidR="00AD4817" w:rsidRPr="00016C17" w:rsidRDefault="00AD4817" w:rsidP="00016C17">
            <w:pPr>
              <w:spacing w:after="120"/>
              <w:rPr>
                <w:rStyle w:val="Hyperlink"/>
                <w:rFonts w:asciiTheme="minorHAnsi" w:hAnsiTheme="minorHAnsi"/>
                <w:color w:val="auto"/>
                <w:u w:val="none"/>
              </w:rPr>
            </w:pPr>
            <w:r w:rsidRPr="004625E8">
              <w:rPr>
                <w:rFonts w:asciiTheme="minorHAnsi" w:hAnsiTheme="minorHAnsi"/>
              </w:rPr>
              <w:t>“SG13 would kindly like to inform TSAG that it has no relevant information on the implementation of the existing 2012 International Telecommunication Regulations. We will keep our attention to the question and will inform TSAG in case of any further considerations on the topic.”</w:t>
            </w:r>
          </w:p>
        </w:tc>
      </w:tr>
      <w:tr w:rsidR="00AD4817" w:rsidRPr="004625E8" w:rsidTr="00D43D5B">
        <w:trPr>
          <w:trHeight w:val="6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625E8">
              <w:rPr>
                <w:rFonts w:asciiTheme="minorHAnsi" w:hAnsiTheme="minorHAnsi"/>
                <w:b/>
              </w:rPr>
              <w:t>ITU-T SG15</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rsidR="00AD4817" w:rsidRPr="004625E8" w:rsidRDefault="00016C17" w:rsidP="00D43D5B">
            <w:pPr>
              <w:spacing w:after="120"/>
              <w:rPr>
                <w:rFonts w:asciiTheme="minorHAnsi" w:hAnsiTheme="minorHAnsi"/>
                <w:lang w:eastAsia="ja-JP"/>
              </w:rPr>
            </w:pPr>
            <w:r>
              <w:rPr>
                <w:rFonts w:asciiTheme="minorHAnsi" w:hAnsiTheme="minorHAnsi"/>
                <w:lang w:eastAsia="ja-JP"/>
              </w:rPr>
              <w:t xml:space="preserve">(source: </w:t>
            </w:r>
            <w:r w:rsidR="00AD4817" w:rsidRPr="004625E8">
              <w:rPr>
                <w:rFonts w:asciiTheme="minorHAnsi" w:hAnsiTheme="minorHAnsi"/>
                <w:lang w:eastAsia="ja-JP"/>
              </w:rPr>
              <w:t xml:space="preserve">Communication from ITU-T </w:t>
            </w:r>
            <w:r>
              <w:rPr>
                <w:rFonts w:asciiTheme="minorHAnsi" w:hAnsiTheme="minorHAnsi"/>
                <w:lang w:eastAsia="ja-JP"/>
              </w:rPr>
              <w:t xml:space="preserve">SG15 Chairman to TSAG Chairman, 4 August 2017) “… </w:t>
            </w:r>
            <w:r w:rsidR="00AD4817" w:rsidRPr="004625E8">
              <w:rPr>
                <w:rFonts w:asciiTheme="minorHAnsi" w:hAnsiTheme="minorHAnsi"/>
                <w:lang w:eastAsia="ja-JP"/>
              </w:rPr>
              <w:t>as SG15 is a primarily technical study group, there is nothing in the work programme right now that is related in any way to the ITRs.</w:t>
            </w:r>
            <w:r>
              <w:rPr>
                <w:rFonts w:asciiTheme="minorHAnsi" w:hAnsiTheme="minorHAnsi"/>
                <w:lang w:eastAsia="ja-JP"/>
              </w:rPr>
              <w:t>”</w:t>
            </w:r>
          </w:p>
        </w:tc>
      </w:tr>
      <w:tr w:rsidR="00AD4817" w:rsidRPr="004625E8" w:rsidTr="00D43D5B">
        <w:trPr>
          <w:trHeight w:val="6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625E8">
              <w:rPr>
                <w:rFonts w:asciiTheme="minorHAnsi" w:hAnsiTheme="minorHAnsi"/>
                <w:b/>
              </w:rPr>
              <w:t>ITU-T SG16</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rsidR="00AD4817" w:rsidRPr="004625E8" w:rsidRDefault="00AD4817" w:rsidP="00D43D5B">
            <w:pPr>
              <w:spacing w:after="120"/>
              <w:rPr>
                <w:rFonts w:asciiTheme="minorHAnsi" w:hAnsiTheme="minorHAnsi"/>
                <w:bCs/>
                <w:i/>
                <w:iCs/>
              </w:rPr>
            </w:pPr>
            <w:r w:rsidRPr="004625E8">
              <w:rPr>
                <w:rFonts w:asciiTheme="minorHAnsi" w:hAnsiTheme="minorHAnsi"/>
              </w:rPr>
              <w:t>Note from Secretariat: ITU-T SG16 reviewed the request in October 2017 and did not have any feedback to provide.</w:t>
            </w:r>
          </w:p>
        </w:tc>
      </w:tr>
      <w:tr w:rsidR="00AD4817" w:rsidRPr="008B1EC9" w:rsidTr="00D43D5B">
        <w:trPr>
          <w:trHeight w:val="2400"/>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573C0">
              <w:rPr>
                <w:rFonts w:asciiTheme="minorHAnsi" w:hAnsiTheme="minorHAnsi"/>
                <w:b/>
              </w:rPr>
              <w:t>ITU-T SG17</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016C17" w:rsidRDefault="00016C17" w:rsidP="008B1EC9">
            <w:pPr>
              <w:spacing w:after="120"/>
              <w:rPr>
                <w:rFonts w:asciiTheme="minorHAnsi" w:hAnsiTheme="minorHAnsi"/>
                <w:lang w:eastAsia="ja-JP"/>
              </w:rPr>
            </w:pPr>
            <w:r>
              <w:rPr>
                <w:rFonts w:asciiTheme="minorHAnsi" w:hAnsiTheme="minorHAnsi"/>
              </w:rPr>
              <w:t xml:space="preserve">(source: </w:t>
            </w:r>
            <w:hyperlink r:id="rId31" w:history="1">
              <w:r w:rsidRPr="00A44CE4">
                <w:rPr>
                  <w:rStyle w:val="Hyperlink"/>
                  <w:rFonts w:asciiTheme="minorHAnsi" w:hAnsiTheme="minorHAnsi"/>
                </w:rPr>
                <w:t>TSAG TD 265</w:t>
              </w:r>
            </w:hyperlink>
            <w:r>
              <w:rPr>
                <w:rFonts w:asciiTheme="minorHAnsi" w:hAnsiTheme="minorHAnsi"/>
              </w:rPr>
              <w:t>, 26 February – 2 March 2018):</w:t>
            </w:r>
          </w:p>
          <w:p w:rsidR="008B1EC9" w:rsidRPr="008B1EC9" w:rsidRDefault="008B1EC9" w:rsidP="008B1EC9">
            <w:pPr>
              <w:spacing w:after="120"/>
              <w:rPr>
                <w:rFonts w:asciiTheme="minorHAnsi" w:hAnsiTheme="minorHAnsi"/>
                <w:lang w:eastAsia="ja-JP"/>
              </w:rPr>
            </w:pPr>
            <w:r>
              <w:rPr>
                <w:rFonts w:asciiTheme="minorHAnsi" w:hAnsiTheme="minorHAnsi"/>
                <w:lang w:eastAsia="ja-JP"/>
              </w:rPr>
              <w:t>“</w:t>
            </w:r>
            <w:r w:rsidRPr="008B1EC9">
              <w:rPr>
                <w:rFonts w:asciiTheme="minorHAnsi" w:hAnsiTheme="minorHAnsi"/>
                <w:lang w:eastAsia="ja-JP"/>
              </w:rPr>
              <w:t>SG17 reviewed TSAG’s request to identify any challenges that may arise from the implementation of the 2012 ITRs, pursuant to WTSA Resolution 87 (</w:t>
            </w:r>
            <w:proofErr w:type="spellStart"/>
            <w:r w:rsidRPr="008B1EC9">
              <w:rPr>
                <w:rFonts w:asciiTheme="minorHAnsi" w:hAnsiTheme="minorHAnsi"/>
                <w:lang w:eastAsia="ja-JP"/>
              </w:rPr>
              <w:t>Hammamet</w:t>
            </w:r>
            <w:proofErr w:type="spellEnd"/>
            <w:r w:rsidRPr="008B1EC9">
              <w:rPr>
                <w:rFonts w:asciiTheme="minorHAnsi" w:hAnsiTheme="minorHAnsi"/>
                <w:lang w:eastAsia="ja-JP"/>
              </w:rPr>
              <w:t xml:space="preserve">, 2016). At this time, the 2012 ITRs (including the regulatory definitions contained therein) have not caused difficulties with respect to SG17’s technical standardization activities on security. </w:t>
            </w:r>
          </w:p>
          <w:p w:rsidR="008B1EC9" w:rsidRPr="008B1EC9" w:rsidRDefault="008B1EC9" w:rsidP="008B1EC9">
            <w:pPr>
              <w:spacing w:after="120"/>
              <w:rPr>
                <w:rFonts w:asciiTheme="minorHAnsi" w:hAnsiTheme="minorHAnsi"/>
                <w:lang w:eastAsia="ja-JP"/>
              </w:rPr>
            </w:pPr>
            <w:r w:rsidRPr="008B1EC9">
              <w:rPr>
                <w:rFonts w:asciiTheme="minorHAnsi" w:hAnsiTheme="minorHAnsi"/>
                <w:lang w:eastAsia="ja-JP"/>
              </w:rPr>
              <w:t xml:space="preserve"> -        SG17 technical standardization is not developed in the context of implementation of 2012 ITRs. </w:t>
            </w:r>
          </w:p>
          <w:p w:rsidR="008B1EC9" w:rsidRPr="008B1EC9" w:rsidRDefault="008B1EC9" w:rsidP="008B1EC9">
            <w:pPr>
              <w:spacing w:after="120"/>
              <w:rPr>
                <w:rFonts w:asciiTheme="minorHAnsi" w:hAnsiTheme="minorHAnsi"/>
                <w:lang w:eastAsia="ja-JP"/>
              </w:rPr>
            </w:pPr>
            <w:r w:rsidRPr="008B1EC9">
              <w:rPr>
                <w:rFonts w:asciiTheme="minorHAnsi" w:hAnsiTheme="minorHAnsi"/>
                <w:lang w:eastAsia="ja-JP"/>
              </w:rPr>
              <w:t xml:space="preserve"> -        Article 6 ‘Security and robustness of networks’ of the 2012 ITRs could be associated with the SG17 Recommendations X.1200-X.1229 and X.1500-series on cybersecurity and cybersecurity information exchange, respectively. </w:t>
            </w:r>
          </w:p>
          <w:p w:rsidR="008B1EC9" w:rsidRPr="008B1EC9" w:rsidRDefault="008B1EC9" w:rsidP="008B1EC9">
            <w:pPr>
              <w:spacing w:after="120"/>
              <w:rPr>
                <w:rFonts w:asciiTheme="minorHAnsi" w:hAnsiTheme="minorHAnsi"/>
                <w:lang w:eastAsia="ja-JP"/>
              </w:rPr>
            </w:pPr>
            <w:r w:rsidRPr="008B1EC9">
              <w:rPr>
                <w:rFonts w:asciiTheme="minorHAnsi" w:hAnsiTheme="minorHAnsi"/>
                <w:lang w:eastAsia="ja-JP"/>
              </w:rPr>
              <w:t xml:space="preserve"> -        Article 7 ‘Unsolicited bulk electronic communications’ of the 2012 ITRs could be associated with the SG17 Recommendations X.1230-X.1249 on countering spam. </w:t>
            </w:r>
          </w:p>
          <w:p w:rsidR="008B1EC9" w:rsidRPr="008B1EC9" w:rsidRDefault="008B1EC9" w:rsidP="00016C17">
            <w:pPr>
              <w:spacing w:after="120"/>
              <w:rPr>
                <w:rFonts w:asciiTheme="minorHAnsi" w:hAnsiTheme="minorHAnsi"/>
                <w:lang w:eastAsia="ja-JP"/>
              </w:rPr>
            </w:pPr>
            <w:r w:rsidRPr="008B1EC9">
              <w:rPr>
                <w:rFonts w:asciiTheme="minorHAnsi" w:hAnsiTheme="minorHAnsi"/>
                <w:lang w:eastAsia="ja-JP"/>
              </w:rPr>
              <w:t> -        One Member State noted that the implementation of standards is "voluntary" in nature. The referenced standards (mentioned above) should not be considered for "Incorporation By Reference" due to the Treaty nature of the ITRs</w:t>
            </w:r>
            <w:r>
              <w:rPr>
                <w:rFonts w:asciiTheme="minorHAnsi" w:hAnsiTheme="minorHAnsi"/>
                <w:lang w:eastAsia="ja-JP"/>
              </w:rPr>
              <w:t>”</w:t>
            </w:r>
          </w:p>
        </w:tc>
      </w:tr>
      <w:tr w:rsidR="00AD4817" w:rsidRPr="004625E8" w:rsidTr="00D43D5B">
        <w:trPr>
          <w:trHeight w:val="3325"/>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D4817" w:rsidRPr="004625E8" w:rsidRDefault="00AD4817" w:rsidP="00D43D5B">
            <w:pPr>
              <w:spacing w:after="120"/>
              <w:rPr>
                <w:rFonts w:asciiTheme="minorHAnsi" w:hAnsiTheme="minorHAnsi"/>
                <w:b/>
              </w:rPr>
            </w:pPr>
            <w:r w:rsidRPr="004625E8">
              <w:rPr>
                <w:rFonts w:asciiTheme="minorHAnsi" w:hAnsiTheme="minorHAnsi"/>
                <w:b/>
              </w:rPr>
              <w:t>ITU-T SG20</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4573C0" w:rsidRDefault="004573C0" w:rsidP="004573C0">
            <w:pPr>
              <w:spacing w:after="120"/>
              <w:rPr>
                <w:rFonts w:asciiTheme="minorHAnsi" w:hAnsiTheme="minorHAnsi"/>
              </w:rPr>
            </w:pPr>
            <w:r>
              <w:t xml:space="preserve">(source: </w:t>
            </w:r>
            <w:hyperlink r:id="rId32" w:history="1">
              <w:r w:rsidRPr="004625E8">
                <w:rPr>
                  <w:rStyle w:val="Hyperlink"/>
                  <w:rFonts w:asciiTheme="minorHAnsi" w:hAnsiTheme="minorHAnsi"/>
                </w:rPr>
                <w:t>https://www.itu.int/ifa/t/2017/ls/sg20/sp16-sg20-oLS-00044.docx</w:t>
              </w:r>
            </w:hyperlink>
            <w:r w:rsidRPr="004625E8">
              <w:rPr>
                <w:rFonts w:asciiTheme="minorHAnsi" w:hAnsiTheme="minorHAnsi"/>
              </w:rPr>
              <w:t xml:space="preserve">  (15 September 2017)</w:t>
            </w:r>
            <w:r>
              <w:rPr>
                <w:rFonts w:asciiTheme="minorHAnsi" w:hAnsiTheme="minorHAnsi"/>
              </w:rPr>
              <w:t>:</w:t>
            </w:r>
            <w:r w:rsidRPr="004625E8">
              <w:rPr>
                <w:rFonts w:asciiTheme="minorHAnsi" w:hAnsiTheme="minorHAnsi"/>
              </w:rPr>
              <w:t xml:space="preserve"> </w:t>
            </w:r>
          </w:p>
          <w:p w:rsidR="00AD4817" w:rsidRPr="004625E8" w:rsidRDefault="00AD4817" w:rsidP="004573C0">
            <w:pPr>
              <w:spacing w:after="120"/>
              <w:rPr>
                <w:rFonts w:asciiTheme="minorHAnsi" w:hAnsiTheme="minorHAnsi"/>
              </w:rPr>
            </w:pPr>
            <w:r w:rsidRPr="004625E8">
              <w:rPr>
                <w:rFonts w:asciiTheme="minorHAnsi" w:hAnsiTheme="minorHAnsi"/>
              </w:rPr>
              <w:t xml:space="preserve">“ITU-T SG20 would like to thank TSAG for its liaison statement on request for background information on the implementation of the 2012 International Telecommunication Regulations. ITU-T SG20 met in Geneva from 4 to 15 September 2017 after the deadline set in TSAG - LS 8 -E Friday 25 August 2017. ITU-T SG20 thanks TSAG for this opportunity and welcomes any future opportunities to reply on this matter. Furthermore, ITU-T SG20 requests TSAG to provide more clarifications and guidance to ITU-T Study Groups on this issue and how study groups can identify any challenges that may arise from the implementation of the 2012 ITRs, in accordance with the terms of reference of the Group.” </w:t>
            </w:r>
          </w:p>
        </w:tc>
      </w:tr>
    </w:tbl>
    <w:p w:rsidR="00AD4817" w:rsidRPr="004154E9" w:rsidRDefault="00AD4817" w:rsidP="00F81629">
      <w:pPr>
        <w:spacing w:before="840"/>
        <w:jc w:val="center"/>
        <w:rPr>
          <w:rFonts w:asciiTheme="minorHAnsi" w:eastAsiaTheme="minorEastAsia" w:hAnsiTheme="minorHAnsi" w:cstheme="majorBidi"/>
          <w:lang w:eastAsia="ja-JP"/>
        </w:rPr>
      </w:pPr>
      <w:r>
        <w:rPr>
          <w:rFonts w:asciiTheme="minorHAnsi" w:hAnsiTheme="minorHAnsi"/>
        </w:rPr>
        <w:t>_______________</w:t>
      </w:r>
    </w:p>
    <w:p w:rsidR="00AD4817" w:rsidRPr="00555A61" w:rsidRDefault="00AD4817" w:rsidP="00AD4817">
      <w:pPr>
        <w:pStyle w:val="ListParagraph"/>
        <w:spacing w:before="360" w:after="120" w:line="240" w:lineRule="auto"/>
        <w:ind w:left="709"/>
        <w:contextualSpacing w:val="0"/>
        <w:jc w:val="both"/>
        <w:outlineLvl w:val="0"/>
        <w:rPr>
          <w:rFonts w:cstheme="minorHAnsi"/>
          <w:color w:val="000000"/>
          <w:szCs w:val="24"/>
          <w:shd w:val="clear" w:color="auto" w:fill="FFFFFF"/>
        </w:rPr>
      </w:pPr>
    </w:p>
    <w:sectPr w:rsidR="00AD4817" w:rsidRPr="00555A61" w:rsidSect="004D1851">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54" w:rsidRDefault="00F36054" w:rsidP="00ED6371">
      <w:pPr>
        <w:spacing w:before="0"/>
      </w:pPr>
      <w:r>
        <w:separator/>
      </w:r>
    </w:p>
  </w:endnote>
  <w:endnote w:type="continuationSeparator" w:id="0">
    <w:p w:rsidR="00F36054" w:rsidRDefault="00F36054" w:rsidP="00ED63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ED6371">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ED6371" w:rsidP="00D136B0">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54" w:rsidRDefault="00F36054" w:rsidP="00ED6371">
      <w:pPr>
        <w:spacing w:before="0"/>
      </w:pPr>
      <w:r>
        <w:separator/>
      </w:r>
    </w:p>
  </w:footnote>
  <w:footnote w:type="continuationSeparator" w:id="0">
    <w:p w:rsidR="00F36054" w:rsidRDefault="00F36054" w:rsidP="00ED63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E62BC0" w:rsidP="00216ACC">
    <w:pPr>
      <w:pStyle w:val="Header"/>
    </w:pPr>
    <w:r>
      <w:fldChar w:fldCharType="begin"/>
    </w:r>
    <w:r>
      <w:instrText>PAGE</w:instrText>
    </w:r>
    <w:r>
      <w:fldChar w:fldCharType="separate"/>
    </w:r>
    <w:r w:rsidR="00E50BAA">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AA4"/>
    <w:multiLevelType w:val="multilevel"/>
    <w:tmpl w:val="43E62D92"/>
    <w:lvl w:ilvl="0">
      <w:start w:val="1"/>
      <w:numFmt w:val="decimal"/>
      <w:lvlText w:val="%1."/>
      <w:lvlJc w:val="left"/>
      <w:pPr>
        <w:ind w:left="360"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F6708"/>
    <w:multiLevelType w:val="hybridMultilevel"/>
    <w:tmpl w:val="C100A8FA"/>
    <w:lvl w:ilvl="0" w:tplc="C1EAA074">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 w15:restartNumberingAfterBreak="0">
    <w:nsid w:val="2376220D"/>
    <w:multiLevelType w:val="hybridMultilevel"/>
    <w:tmpl w:val="F25A3170"/>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6733"/>
    <w:multiLevelType w:val="hybridMultilevel"/>
    <w:tmpl w:val="BF2A4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F2724"/>
    <w:multiLevelType w:val="hybridMultilevel"/>
    <w:tmpl w:val="B9408138"/>
    <w:lvl w:ilvl="0" w:tplc="C1EAA074">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6846AD9"/>
    <w:multiLevelType w:val="multilevel"/>
    <w:tmpl w:val="9D94CB4A"/>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71"/>
    <w:rsid w:val="00016C17"/>
    <w:rsid w:val="00066E19"/>
    <w:rsid w:val="00106BB3"/>
    <w:rsid w:val="00146F26"/>
    <w:rsid w:val="00216ACC"/>
    <w:rsid w:val="00226281"/>
    <w:rsid w:val="0022716A"/>
    <w:rsid w:val="00236D56"/>
    <w:rsid w:val="00256396"/>
    <w:rsid w:val="0031199F"/>
    <w:rsid w:val="00354E24"/>
    <w:rsid w:val="003D7B42"/>
    <w:rsid w:val="00404E8F"/>
    <w:rsid w:val="004125F7"/>
    <w:rsid w:val="004573C0"/>
    <w:rsid w:val="00474407"/>
    <w:rsid w:val="004F0B82"/>
    <w:rsid w:val="00512902"/>
    <w:rsid w:val="005327D1"/>
    <w:rsid w:val="00647E01"/>
    <w:rsid w:val="00655428"/>
    <w:rsid w:val="0067740F"/>
    <w:rsid w:val="006D366C"/>
    <w:rsid w:val="008B1EC9"/>
    <w:rsid w:val="008C1932"/>
    <w:rsid w:val="008E5CDF"/>
    <w:rsid w:val="00920BD9"/>
    <w:rsid w:val="00936BC2"/>
    <w:rsid w:val="009C17AB"/>
    <w:rsid w:val="00A44CE4"/>
    <w:rsid w:val="00A91154"/>
    <w:rsid w:val="00AD4817"/>
    <w:rsid w:val="00AE14DB"/>
    <w:rsid w:val="00B6557B"/>
    <w:rsid w:val="00BE3176"/>
    <w:rsid w:val="00C60B72"/>
    <w:rsid w:val="00C96EF2"/>
    <w:rsid w:val="00D10A86"/>
    <w:rsid w:val="00D136B0"/>
    <w:rsid w:val="00D61227"/>
    <w:rsid w:val="00DB22DA"/>
    <w:rsid w:val="00DD28EE"/>
    <w:rsid w:val="00E50BAA"/>
    <w:rsid w:val="00E62BC0"/>
    <w:rsid w:val="00E93243"/>
    <w:rsid w:val="00ED6371"/>
    <w:rsid w:val="00F36054"/>
    <w:rsid w:val="00F81629"/>
    <w:rsid w:val="00FE5FC8"/>
    <w:rsid w:val="00FF37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AC09257-F3C9-47DA-8A22-5133C612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71"/>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eastAsia="en-US"/>
    </w:rPr>
  </w:style>
  <w:style w:type="paragraph" w:styleId="Heading3">
    <w:name w:val="heading 3"/>
    <w:basedOn w:val="Normal"/>
    <w:next w:val="Normal"/>
    <w:link w:val="Heading3Char"/>
    <w:uiPriority w:val="9"/>
    <w:semiHidden/>
    <w:unhideWhenUsed/>
    <w:qFormat/>
    <w:rsid w:val="00ED637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6371"/>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ED6371"/>
    <w:rPr>
      <w:rFonts w:ascii="Calibri" w:eastAsia="Times New Roman" w:hAnsi="Calibri" w:cs="Times New Roman"/>
      <w:caps/>
      <w:noProof/>
      <w:sz w:val="16"/>
      <w:szCs w:val="20"/>
      <w:lang w:eastAsia="en-US"/>
    </w:rPr>
  </w:style>
  <w:style w:type="paragraph" w:styleId="Header">
    <w:name w:val="header"/>
    <w:basedOn w:val="Normal"/>
    <w:link w:val="HeaderChar"/>
    <w:rsid w:val="00ED6371"/>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ED6371"/>
    <w:rPr>
      <w:rFonts w:ascii="Calibri" w:eastAsia="Times New Roman" w:hAnsi="Calibri" w:cs="Times New Roman"/>
      <w:sz w:val="18"/>
      <w:szCs w:val="20"/>
      <w:lang w:eastAsia="en-US"/>
    </w:rPr>
  </w:style>
  <w:style w:type="character" w:styleId="FootnoteReference">
    <w:name w:val="footnote reference"/>
    <w:basedOn w:val="DefaultParagraphFont"/>
    <w:rsid w:val="00ED6371"/>
    <w:rPr>
      <w:rFonts w:ascii="Calibri" w:hAnsi="Calibri"/>
      <w:position w:val="6"/>
      <w:sz w:val="16"/>
    </w:rPr>
  </w:style>
  <w:style w:type="paragraph" w:styleId="FootnoteText">
    <w:name w:val="footnote text"/>
    <w:basedOn w:val="Normal"/>
    <w:link w:val="FootnoteTextChar"/>
    <w:rsid w:val="00ED6371"/>
    <w:pPr>
      <w:keepLines/>
      <w:tabs>
        <w:tab w:val="left" w:pos="256"/>
      </w:tabs>
      <w:ind w:left="256" w:hanging="256"/>
    </w:pPr>
  </w:style>
  <w:style w:type="character" w:customStyle="1" w:styleId="FootnoteTextChar">
    <w:name w:val="Footnote Text Char"/>
    <w:basedOn w:val="DefaultParagraphFont"/>
    <w:link w:val="FootnoteText"/>
    <w:rsid w:val="00ED6371"/>
    <w:rPr>
      <w:rFonts w:ascii="Calibri" w:eastAsia="Times New Roman" w:hAnsi="Calibri" w:cs="Times New Roman"/>
      <w:sz w:val="24"/>
      <w:szCs w:val="20"/>
      <w:lang w:eastAsia="en-US"/>
    </w:rPr>
  </w:style>
  <w:style w:type="paragraph" w:customStyle="1" w:styleId="Source">
    <w:name w:val="Source"/>
    <w:basedOn w:val="Normal"/>
    <w:next w:val="Title1"/>
    <w:autoRedefine/>
    <w:rsid w:val="00D136B0"/>
    <w:pPr>
      <w:framePr w:hSpace="180" w:wrap="around" w:hAnchor="margin" w:y="-675"/>
      <w:spacing w:before="480"/>
      <w:jc w:val="center"/>
    </w:pPr>
    <w:rPr>
      <w:b/>
      <w:sz w:val="28"/>
    </w:rPr>
  </w:style>
  <w:style w:type="character" w:styleId="Hyperlink">
    <w:name w:val="Hyperlink"/>
    <w:basedOn w:val="DefaultParagraphFont"/>
    <w:rsid w:val="00ED6371"/>
    <w:rPr>
      <w:color w:val="0000FF"/>
      <w:u w:val="single"/>
    </w:rPr>
  </w:style>
  <w:style w:type="paragraph" w:customStyle="1" w:styleId="Headingb">
    <w:name w:val="Heading_b"/>
    <w:basedOn w:val="Heading3"/>
    <w:next w:val="Normal"/>
    <w:rsid w:val="00ED6371"/>
    <w:pPr>
      <w:spacing w:before="160"/>
      <w:ind w:left="567" w:hanging="567"/>
      <w:outlineLvl w:val="0"/>
    </w:pPr>
    <w:rPr>
      <w:rFonts w:ascii="Calibri" w:eastAsia="Times New Roman" w:hAnsi="Calibri" w:cs="Times New Roman"/>
      <w:b/>
      <w:color w:val="auto"/>
      <w:szCs w:val="20"/>
    </w:rPr>
  </w:style>
  <w:style w:type="paragraph" w:customStyle="1" w:styleId="Title1">
    <w:name w:val="Title 1"/>
    <w:basedOn w:val="Source"/>
    <w:next w:val="Normal"/>
    <w:rsid w:val="00ED6371"/>
    <w:pPr>
      <w:framePr w:wrap="around"/>
      <w:spacing w:before="240"/>
    </w:pPr>
    <w:rPr>
      <w:b w:val="0"/>
      <w:caps/>
    </w:rPr>
  </w:style>
  <w:style w:type="paragraph" w:customStyle="1" w:styleId="Table">
    <w:name w:val="Table_#"/>
    <w:basedOn w:val="Normal"/>
    <w:next w:val="Normal"/>
    <w:rsid w:val="00ED637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ED637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table" w:styleId="TableGrid">
    <w:name w:val="Table Grid"/>
    <w:basedOn w:val="TableNormal"/>
    <w:rsid w:val="00ED6371"/>
    <w:pPr>
      <w:spacing w:after="0" w:line="240" w:lineRule="auto"/>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D6371"/>
    <w:rPr>
      <w:rFonts w:asciiTheme="majorHAnsi" w:eastAsiaTheme="majorEastAsia" w:hAnsiTheme="majorHAnsi" w:cstheme="majorBidi"/>
      <w:color w:val="1F4D78" w:themeColor="accent1" w:themeShade="7F"/>
      <w:sz w:val="24"/>
      <w:szCs w:val="24"/>
      <w:lang w:eastAsia="en-US"/>
    </w:rPr>
  </w:style>
  <w:style w:type="paragraph" w:styleId="BalloonText">
    <w:name w:val="Balloon Text"/>
    <w:basedOn w:val="Normal"/>
    <w:link w:val="BalloonTextChar"/>
    <w:uiPriority w:val="99"/>
    <w:semiHidden/>
    <w:unhideWhenUsed/>
    <w:rsid w:val="00146F2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F26"/>
    <w:rPr>
      <w:rFonts w:ascii="Segoe UI" w:eastAsia="Times New Roman" w:hAnsi="Segoe UI" w:cs="Segoe UI"/>
      <w:sz w:val="18"/>
      <w:szCs w:val="18"/>
      <w:lang w:eastAsia="en-US"/>
    </w:rPr>
  </w:style>
  <w:style w:type="paragraph" w:styleId="NormalWeb">
    <w:name w:val="Normal (Web)"/>
    <w:basedOn w:val="Normal"/>
    <w:uiPriority w:val="99"/>
    <w:semiHidden/>
    <w:unhideWhenUsed/>
    <w:rsid w:val="008B1EC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eastAsia="zh-CN"/>
    </w:rPr>
  </w:style>
  <w:style w:type="character" w:styleId="Emphasis">
    <w:name w:val="Emphasis"/>
    <w:basedOn w:val="DefaultParagraphFont"/>
    <w:uiPriority w:val="20"/>
    <w:qFormat/>
    <w:rsid w:val="008B1EC9"/>
    <w:rPr>
      <w:i/>
      <w:iCs/>
    </w:rPr>
  </w:style>
  <w:style w:type="character" w:styleId="Strong">
    <w:name w:val="Strong"/>
    <w:basedOn w:val="DefaultParagraphFont"/>
    <w:uiPriority w:val="22"/>
    <w:qFormat/>
    <w:rsid w:val="00FF37A3"/>
    <w:rPr>
      <w:b/>
      <w:bCs/>
    </w:rPr>
  </w:style>
  <w:style w:type="character" w:styleId="FollowedHyperlink">
    <w:name w:val="FollowedHyperlink"/>
    <w:basedOn w:val="DefaultParagraphFont"/>
    <w:uiPriority w:val="99"/>
    <w:semiHidden/>
    <w:unhideWhenUsed/>
    <w:rsid w:val="00016C17"/>
    <w:rPr>
      <w:color w:val="954F72" w:themeColor="followedHyperlink"/>
      <w:u w:val="single"/>
    </w:rPr>
  </w:style>
  <w:style w:type="paragraph" w:styleId="CommentText">
    <w:name w:val="annotation text"/>
    <w:basedOn w:val="Normal"/>
    <w:link w:val="CommentTextChar"/>
    <w:uiPriority w:val="99"/>
    <w:semiHidden/>
    <w:unhideWhenUsed/>
    <w:rsid w:val="00F81629"/>
    <w:pPr>
      <w:tabs>
        <w:tab w:val="clear" w:pos="567"/>
        <w:tab w:val="clear" w:pos="1134"/>
        <w:tab w:val="clear" w:pos="1701"/>
        <w:tab w:val="clear" w:pos="2268"/>
        <w:tab w:val="clear" w:pos="2835"/>
      </w:tabs>
      <w:adjustRightInd/>
      <w:textAlignment w:val="auto"/>
    </w:pPr>
    <w:rPr>
      <w:rFonts w:ascii="Times New Roman" w:eastAsiaTheme="minorEastAsia" w:hAnsi="Times New Roman"/>
      <w:sz w:val="20"/>
      <w:lang w:val="en-US" w:eastAsia="zh-CN"/>
    </w:rPr>
  </w:style>
  <w:style w:type="character" w:customStyle="1" w:styleId="CommentTextChar">
    <w:name w:val="Comment Text Char"/>
    <w:basedOn w:val="DefaultParagraphFont"/>
    <w:link w:val="CommentText"/>
    <w:uiPriority w:val="99"/>
    <w:semiHidden/>
    <w:rsid w:val="00F81629"/>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6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EGITR3-C-0005/en" TargetMode="External"/><Relationship Id="rId13" Type="http://schemas.openxmlformats.org/officeDocument/2006/relationships/hyperlink" Target="https://www.itu.int/ifa/t/2017/ls/sg5/sp16-sg5-oLS-00044.docx" TargetMode="External"/><Relationship Id="rId18" Type="http://schemas.openxmlformats.org/officeDocument/2006/relationships/hyperlink" Target="https://www.itu.int/rec/T-REC-J.262/en" TargetMode="External"/><Relationship Id="rId26" Type="http://schemas.openxmlformats.org/officeDocument/2006/relationships/hyperlink" Target="http://handle.itu.int/11.1002/ls/sp16-sg11-oLS-00020.docx" TargetMode="External"/><Relationship Id="rId3" Type="http://schemas.openxmlformats.org/officeDocument/2006/relationships/settings" Target="settings.xml"/><Relationship Id="rId21" Type="http://schemas.openxmlformats.org/officeDocument/2006/relationships/hyperlink" Target="http://handle.itu.int/11.1002/ls/sp16-tsag-oLS-00008.docx"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md/T17-TSAG-180226-TD-GEN-0265/en" TargetMode="External"/><Relationship Id="rId17" Type="http://schemas.openxmlformats.org/officeDocument/2006/relationships/hyperlink" Target="https://www.itu.int/rec/T-REC-J.261/en" TargetMode="External"/><Relationship Id="rId25" Type="http://schemas.openxmlformats.org/officeDocument/2006/relationships/hyperlink" Target="http://handle.itu.int/11.1002/ls/sp16-tsag-oLS-00008.doc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rec/T-REC-J.260/en" TargetMode="External"/><Relationship Id="rId20" Type="http://schemas.openxmlformats.org/officeDocument/2006/relationships/hyperlink" Target="https://www.itu.int/md/T17-TSAG-180226-TD-GEN-0265/en" TargetMode="External"/><Relationship Id="rId29" Type="http://schemas.openxmlformats.org/officeDocument/2006/relationships/hyperlink" Target="https://www.itu.int/md/T17-TSAG-180226-TD-GEN-026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recommendations/rec.aspx?rec=362" TargetMode="External"/><Relationship Id="rId24" Type="http://schemas.openxmlformats.org/officeDocument/2006/relationships/hyperlink" Target="https://www.itu.int/md/T17-TSAG-180226-TD-GEN-0265/en" TargetMode="External"/><Relationship Id="rId32" Type="http://schemas.openxmlformats.org/officeDocument/2006/relationships/hyperlink" Target="https://www.itu.int/ifa/t/2017/ls/sg20/sp16-sg20-oLS-00044.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andle.itu.int/11.1002/ls/sp16-tsag-oLS-00008.docx" TargetMode="External"/><Relationship Id="rId23" Type="http://schemas.openxmlformats.org/officeDocument/2006/relationships/hyperlink" Target="https://www.itu.int/rec/T-REC-Q.731.7-199706-I" TargetMode="External"/><Relationship Id="rId28" Type="http://schemas.openxmlformats.org/officeDocument/2006/relationships/hyperlink" Target="https://www.itu.int/ITU-T/recommendations/index.aspx?ser=Q" TargetMode="External"/><Relationship Id="rId36" Type="http://schemas.openxmlformats.org/officeDocument/2006/relationships/fontTable" Target="fontTable.xml"/><Relationship Id="rId10" Type="http://schemas.openxmlformats.org/officeDocument/2006/relationships/hyperlink" Target="https://www.itu.int/md/T17-TSAG-180226-TD-GEN-0265/en" TargetMode="External"/><Relationship Id="rId19" Type="http://schemas.openxmlformats.org/officeDocument/2006/relationships/hyperlink" Target="https://www.itu.int/rec/T-REC-J.263/en" TargetMode="External"/><Relationship Id="rId31" Type="http://schemas.openxmlformats.org/officeDocument/2006/relationships/hyperlink" Target="https://www.itu.int/md/T17-TSAG-180226-TD-GEN-0265/en" TargetMode="External"/><Relationship Id="rId4" Type="http://schemas.openxmlformats.org/officeDocument/2006/relationships/webSettings" Target="webSettings.xml"/><Relationship Id="rId9" Type="http://schemas.openxmlformats.org/officeDocument/2006/relationships/hyperlink" Target="https://www.itu.int/md/T17-TSAG-180226-TD-GEN-0265/en" TargetMode="External"/><Relationship Id="rId14" Type="http://schemas.openxmlformats.org/officeDocument/2006/relationships/hyperlink" Target="https://www.itu.int/md/T17-TSAG-180226-TD-GEN-0265/en" TargetMode="External"/><Relationship Id="rId22" Type="http://schemas.openxmlformats.org/officeDocument/2006/relationships/hyperlink" Target="https://www.itu.int/rec/T-REC-Q.731.3-199303-I" TargetMode="External"/><Relationship Id="rId27" Type="http://schemas.openxmlformats.org/officeDocument/2006/relationships/hyperlink" Target="https://www.itu.int/rec/T-REC-Q.731.3-199303-I" TargetMode="External"/><Relationship Id="rId30" Type="http://schemas.openxmlformats.org/officeDocument/2006/relationships/hyperlink" Target="https://www.itu.int/dms_pub/itu-t/md/17/tsag/td/180226/GEN/T17-TSAG-180226-TD-GEN-0217!!MSW-E.do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Optimization ITU’s high-level events of a global nature</vt:lpstr>
    </vt:vector>
  </TitlesOfParts>
  <Company>ITU</Company>
  <LinksUpToDate>false</LinksUpToDate>
  <CharactersWithSpaces>23294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ITU’s high-level events of a global nature</dc:title>
  <dc:subject/>
  <dc:creator>Marinescu, Catalin</dc:creator>
  <cp:keywords>C18, C2018</cp:keywords>
  <dc:description/>
  <cp:lastModifiedBy>Janin</cp:lastModifiedBy>
  <cp:revision>5</cp:revision>
  <dcterms:created xsi:type="dcterms:W3CDTF">2018-04-10T12:56:00Z</dcterms:created>
  <dcterms:modified xsi:type="dcterms:W3CDTF">2018-04-10T13:50:00Z</dcterms:modified>
</cp:coreProperties>
</file>