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87"/>
        <w:gridCol w:w="3544"/>
      </w:tblGrid>
      <w:tr w:rsidR="004D5D89" w:rsidRPr="005476DB" w14:paraId="4DFCD39F" w14:textId="77777777" w:rsidTr="003A491C">
        <w:tc>
          <w:tcPr>
            <w:tcW w:w="6487" w:type="dxa"/>
            <w:vAlign w:val="center"/>
          </w:tcPr>
          <w:p w14:paraId="1B0AF65E" w14:textId="77777777" w:rsidR="004D5D89" w:rsidRPr="005476DB" w:rsidRDefault="004D5D89" w:rsidP="003A49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napToGrid w:val="0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Expert</w:t>
            </w:r>
            <w:r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Group on International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Telecommunication Regulations</w:t>
            </w:r>
            <w:r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EG</w:t>
            </w:r>
            <w:r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noBreakHyphen/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TRs</w:t>
            </w:r>
            <w:r w:rsidRPr="005476DB">
              <w:rPr>
                <w:rFonts w:ascii="Calibri" w:eastAsia="Calibri" w:hAnsi="Calibri" w:cs="Calibri"/>
                <w:b/>
                <w:bCs/>
                <w:color w:val="000000"/>
                <w:position w:val="6"/>
                <w:sz w:val="30"/>
                <w:szCs w:val="30"/>
              </w:rPr>
              <w:t>)</w:t>
            </w:r>
          </w:p>
        </w:tc>
        <w:tc>
          <w:tcPr>
            <w:tcW w:w="3544" w:type="dxa"/>
          </w:tcPr>
          <w:p w14:paraId="0E9A3C02" w14:textId="77777777" w:rsidR="004D5D89" w:rsidRPr="005476DB" w:rsidRDefault="004D5D89" w:rsidP="003A49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ascii="Calibri" w:eastAsia="Calibri" w:hAnsi="Calibri" w:cs="Calibri"/>
                <w:color w:val="000000"/>
                <w:szCs w:val="24"/>
              </w:rPr>
            </w:pPr>
            <w:bookmarkStart w:id="0" w:name="h.30j0zll" w:colFirst="0" w:colLast="0"/>
            <w:bookmarkEnd w:id="0"/>
            <w:r w:rsidRPr="005476DB">
              <w:rPr>
                <w:rFonts w:ascii="Calibri" w:eastAsia="Calibri" w:hAnsi="Calibri" w:cs="Calibri"/>
                <w:noProof/>
                <w:color w:val="000000"/>
                <w:szCs w:val="24"/>
              </w:rPr>
              <w:drawing>
                <wp:inline distT="0" distB="0" distL="0" distR="0" wp14:anchorId="438A03E8" wp14:editId="20C4B50C">
                  <wp:extent cx="1760220" cy="746760"/>
                  <wp:effectExtent l="0" t="0" r="0" b="0"/>
                  <wp:docPr id="1" name="image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D89" w:rsidRPr="005476DB" w14:paraId="6104DCB0" w14:textId="77777777" w:rsidTr="003A491C">
        <w:tc>
          <w:tcPr>
            <w:tcW w:w="6487" w:type="dxa"/>
            <w:tcBorders>
              <w:bottom w:val="single" w:sz="12" w:space="0" w:color="000000"/>
            </w:tcBorders>
          </w:tcPr>
          <w:p w14:paraId="774F4BC2" w14:textId="77777777" w:rsidR="004D5D89" w:rsidRPr="005476DB" w:rsidRDefault="004D5D89" w:rsidP="008A4A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Fourth</w:t>
            </w: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meeting – Geneva, 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12-13</w:t>
            </w: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Cs w:val="24"/>
              </w:rPr>
              <w:t>April 2018</w:t>
            </w:r>
            <w:r w:rsidRPr="005476DB">
              <w:rPr>
                <w:rFonts w:ascii="Calibri" w:eastAsia="Calibri" w:hAnsi="Calibri" w:cs="Calibri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14:paraId="381A38E1" w14:textId="77777777" w:rsidR="004D5D89" w:rsidRPr="005476DB" w:rsidRDefault="004D5D89" w:rsidP="008A4A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4D5D89" w:rsidRPr="005476DB" w14:paraId="4F77889D" w14:textId="77777777" w:rsidTr="003A491C">
        <w:tc>
          <w:tcPr>
            <w:tcW w:w="6487" w:type="dxa"/>
            <w:tcBorders>
              <w:top w:val="single" w:sz="12" w:space="0" w:color="000000"/>
            </w:tcBorders>
          </w:tcPr>
          <w:p w14:paraId="12933AAF" w14:textId="77777777" w:rsidR="004D5D89" w:rsidRPr="005476DB" w:rsidRDefault="004D5D89" w:rsidP="008A4A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0"/>
            </w:tcBorders>
          </w:tcPr>
          <w:p w14:paraId="353F10E2" w14:textId="77777777" w:rsidR="004D5D89" w:rsidRPr="005476DB" w:rsidRDefault="004D5D89" w:rsidP="008A4A16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4D5D89" w:rsidRPr="005476DB" w14:paraId="3B08FD22" w14:textId="77777777" w:rsidTr="003A491C">
        <w:trPr>
          <w:trHeight w:val="20"/>
        </w:trPr>
        <w:tc>
          <w:tcPr>
            <w:tcW w:w="6487" w:type="dxa"/>
            <w:vMerge w:val="restart"/>
          </w:tcPr>
          <w:p w14:paraId="37C0D90F" w14:textId="77777777" w:rsidR="004D5D89" w:rsidRPr="005476DB" w:rsidRDefault="004D5D89" w:rsidP="008A4A16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7C53EF1C" w14:textId="3EFD2253" w:rsidR="004D5D89" w:rsidRPr="008A4A16" w:rsidRDefault="004D5D89" w:rsidP="008A4A16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Document </w:t>
            </w: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de-CH"/>
              </w:rPr>
              <w:t>EG-ITRs</w:t>
            </w:r>
            <w:r w:rsidR="008A4A16"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de-CH"/>
              </w:rPr>
              <w:t>-4/</w:t>
            </w: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de-CH"/>
              </w:rPr>
              <w:t>INF/1-E</w:t>
            </w:r>
          </w:p>
        </w:tc>
      </w:tr>
      <w:tr w:rsidR="004D5D89" w:rsidRPr="005476DB" w14:paraId="7B294A0F" w14:textId="77777777" w:rsidTr="003A491C">
        <w:trPr>
          <w:trHeight w:val="20"/>
        </w:trPr>
        <w:tc>
          <w:tcPr>
            <w:tcW w:w="6487" w:type="dxa"/>
            <w:vMerge/>
          </w:tcPr>
          <w:p w14:paraId="62E3D3D9" w14:textId="77777777" w:rsidR="004D5D89" w:rsidRPr="005476DB" w:rsidRDefault="004D5D89" w:rsidP="008A4A16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59430525" w14:textId="5ACEB396" w:rsidR="004D5D89" w:rsidRPr="008A4A16" w:rsidRDefault="00B5790D" w:rsidP="008A4A16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3</w:t>
            </w:r>
            <w:r w:rsidR="004D5D89"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April</w:t>
            </w:r>
            <w:r w:rsidR="004D5D89"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2018</w:t>
            </w:r>
          </w:p>
        </w:tc>
      </w:tr>
      <w:tr w:rsidR="004D5D89" w:rsidRPr="005476DB" w14:paraId="7474005A" w14:textId="77777777" w:rsidTr="003A491C">
        <w:trPr>
          <w:trHeight w:val="20"/>
        </w:trPr>
        <w:tc>
          <w:tcPr>
            <w:tcW w:w="6487" w:type="dxa"/>
            <w:vMerge/>
          </w:tcPr>
          <w:p w14:paraId="7A0B17AF" w14:textId="77777777" w:rsidR="004D5D89" w:rsidRPr="005476DB" w:rsidRDefault="004D5D89" w:rsidP="008A4A16">
            <w:pPr>
              <w:tabs>
                <w:tab w:val="left" w:pos="567"/>
                <w:tab w:val="left" w:pos="851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544" w:type="dxa"/>
          </w:tcPr>
          <w:p w14:paraId="169886B1" w14:textId="1108FEEF" w:rsidR="004D5D89" w:rsidRPr="008A4A16" w:rsidRDefault="004D5D89" w:rsidP="008A4A16">
            <w:pPr>
              <w:tabs>
                <w:tab w:val="left" w:pos="567"/>
                <w:tab w:val="left" w:pos="993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English </w:t>
            </w:r>
            <w:r w:rsidR="008A4A16"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</w:t>
            </w:r>
            <w:r w:rsidRPr="008A4A16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nly</w:t>
            </w:r>
          </w:p>
        </w:tc>
      </w:tr>
    </w:tbl>
    <w:p w14:paraId="213E648C" w14:textId="77777777" w:rsidR="004D5D89" w:rsidRPr="00E544AC" w:rsidRDefault="004D5D89" w:rsidP="004D5D89">
      <w:pPr>
        <w:jc w:val="center"/>
        <w:rPr>
          <w:b/>
        </w:rPr>
      </w:pPr>
    </w:p>
    <w:p w14:paraId="71A41F68" w14:textId="77777777" w:rsidR="004D5D89" w:rsidRPr="000C6416" w:rsidRDefault="004D5D89" w:rsidP="004D5D89">
      <w:pPr>
        <w:jc w:val="center"/>
        <w:rPr>
          <w:b/>
          <w:sz w:val="28"/>
          <w:szCs w:val="28"/>
        </w:rPr>
      </w:pPr>
      <w:r w:rsidRPr="000C6416">
        <w:rPr>
          <w:b/>
          <w:sz w:val="28"/>
          <w:szCs w:val="28"/>
        </w:rPr>
        <w:t>INFORMATION DOCUMENT</w:t>
      </w:r>
    </w:p>
    <w:p w14:paraId="4055BCBC" w14:textId="227C4F7D" w:rsidR="004D5D89" w:rsidRPr="000C6416" w:rsidRDefault="00B909AC" w:rsidP="00A7427B">
      <w:pPr>
        <w:jc w:val="center"/>
        <w:rPr>
          <w:b/>
          <w:sz w:val="28"/>
          <w:szCs w:val="28"/>
        </w:rPr>
      </w:pPr>
      <w:r w:rsidRPr="000C6416">
        <w:rPr>
          <w:b/>
          <w:sz w:val="28"/>
          <w:szCs w:val="28"/>
        </w:rPr>
        <w:t>LIST OF COUNTRIES PART</w:t>
      </w:r>
      <w:r w:rsidR="00A7427B">
        <w:rPr>
          <w:b/>
          <w:sz w:val="28"/>
          <w:szCs w:val="28"/>
        </w:rPr>
        <w:t>IES</w:t>
      </w:r>
      <w:r w:rsidRPr="000C6416">
        <w:rPr>
          <w:b/>
          <w:sz w:val="28"/>
          <w:szCs w:val="28"/>
        </w:rPr>
        <w:t xml:space="preserve"> TO THE REVISED ITRS (DUBAI, 2012)</w:t>
      </w:r>
    </w:p>
    <w:p w14:paraId="34365E20" w14:textId="77777777" w:rsidR="00B909AC" w:rsidRPr="00F910A2" w:rsidRDefault="00B909AC" w:rsidP="004D5D89">
      <w:pPr>
        <w:jc w:val="center"/>
        <w:rPr>
          <w:bCs/>
          <w:sz w:val="28"/>
          <w:szCs w:val="28"/>
        </w:rPr>
      </w:pPr>
    </w:p>
    <w:p w14:paraId="24C5C5B2" w14:textId="77777777" w:rsidR="009A23E5" w:rsidRDefault="009A23E5" w:rsidP="00EE6FAD">
      <w:pPr>
        <w:jc w:val="both"/>
      </w:pPr>
      <w:r w:rsidRPr="00E43E14">
        <w:rPr>
          <w:bCs/>
          <w:iCs/>
        </w:rPr>
        <w:t>1</w:t>
      </w:r>
      <w:r w:rsidR="00B909AC">
        <w:rPr>
          <w:bCs/>
          <w:iCs/>
        </w:rPr>
        <w:t>.</w:t>
      </w:r>
      <w:r>
        <w:rPr>
          <w:b/>
          <w:iCs/>
        </w:rPr>
        <w:tab/>
      </w:r>
      <w:r>
        <w:t xml:space="preserve">Further to </w:t>
      </w:r>
      <w:r>
        <w:rPr>
          <w:rFonts w:cstheme="minorHAnsi"/>
          <w:szCs w:val="24"/>
        </w:rPr>
        <w:t xml:space="preserve">Resolution 171 (Guadalajara, 2010), and in accordance with Council Resolution 1335, </w:t>
      </w:r>
      <w:r>
        <w:t xml:space="preserve">the World Conference on International Telecommunications (WCIT-12) was held in Dubai from 3 to 14 December 2012. </w:t>
      </w:r>
    </w:p>
    <w:p w14:paraId="523E0FDC" w14:textId="77777777" w:rsidR="009A23E5" w:rsidRDefault="009A23E5" w:rsidP="00EE6FAD">
      <w:pPr>
        <w:jc w:val="both"/>
      </w:pPr>
      <w:r>
        <w:rPr>
          <w:rFonts w:eastAsia="Arial Unicode MS" w:cstheme="minorHAnsi"/>
        </w:rPr>
        <w:t>2</w:t>
      </w:r>
      <w:r w:rsidR="00B909AC">
        <w:rPr>
          <w:rFonts w:eastAsia="Arial Unicode MS" w:cstheme="minorHAnsi"/>
        </w:rPr>
        <w:t>.</w:t>
      </w:r>
      <w:r>
        <w:rPr>
          <w:rFonts w:eastAsia="Arial Unicode MS" w:cstheme="minorHAnsi"/>
        </w:rPr>
        <w:tab/>
        <w:t>WCIT-12 revised the International Telecommunication Regulations (ITRs) in their entirety and also adopted five new resolutions</w:t>
      </w:r>
      <w:r>
        <w:t>.</w:t>
      </w:r>
    </w:p>
    <w:p w14:paraId="31F34EBA" w14:textId="77777777" w:rsidR="00B909AC" w:rsidRDefault="00B909AC" w:rsidP="00EE6FAD">
      <w:pPr>
        <w:jc w:val="both"/>
      </w:pPr>
      <w:r>
        <w:t>3.</w:t>
      </w:r>
      <w:r>
        <w:tab/>
        <w:t xml:space="preserve">The list of signatories of the Final Acts (89 Member States) is available at </w:t>
      </w:r>
      <w:hyperlink r:id="rId5" w:history="1">
        <w:r w:rsidRPr="00BE79FA">
          <w:rPr>
            <w:rStyle w:val="Hyperlink"/>
          </w:rPr>
          <w:t>http://www.itu.int/osg/wcit-12/highlights/signatories.html</w:t>
        </w:r>
      </w:hyperlink>
      <w:r>
        <w:t>.</w:t>
      </w:r>
    </w:p>
    <w:p w14:paraId="5E200D4F" w14:textId="77777777" w:rsidR="009A23E5" w:rsidRDefault="00B909AC" w:rsidP="00EE6FAD">
      <w:pPr>
        <w:jc w:val="both"/>
      </w:pPr>
      <w:r>
        <w:t>4.</w:t>
      </w:r>
      <w:r w:rsidR="009A23E5">
        <w:tab/>
        <w:t xml:space="preserve">The revised ITRs entered into force on 1 January 2015 between Member States </w:t>
      </w:r>
      <w:r w:rsidR="009A23E5" w:rsidRPr="001918BD">
        <w:t xml:space="preserve">having deposited </w:t>
      </w:r>
      <w:proofErr w:type="gramStart"/>
      <w:r w:rsidR="009A23E5" w:rsidRPr="001918BD">
        <w:t>before</w:t>
      </w:r>
      <w:proofErr w:type="gramEnd"/>
      <w:r w:rsidR="009A23E5" w:rsidRPr="001918BD">
        <w:t xml:space="preserve"> that date their instrument of ratification, acceptance or approval of, or accession to the</w:t>
      </w:r>
      <w:r w:rsidR="009A23E5">
        <w:t>se</w:t>
      </w:r>
      <w:r w:rsidR="009A23E5" w:rsidRPr="001918BD">
        <w:t xml:space="preserve"> </w:t>
      </w:r>
      <w:r w:rsidR="009A23E5" w:rsidRPr="002F7EA5">
        <w:rPr>
          <w:rFonts w:eastAsia="Arial Unicode MS" w:cstheme="minorHAnsi"/>
          <w:szCs w:val="24"/>
        </w:rPr>
        <w:t xml:space="preserve">revised </w:t>
      </w:r>
      <w:r w:rsidR="009A23E5">
        <w:rPr>
          <w:rFonts w:eastAsia="Arial Unicode MS" w:cstheme="minorHAnsi"/>
          <w:szCs w:val="24"/>
        </w:rPr>
        <w:t>Regulations</w:t>
      </w:r>
      <w:r w:rsidR="009A23E5">
        <w:t xml:space="preserve">. </w:t>
      </w:r>
    </w:p>
    <w:p w14:paraId="0EAB8471" w14:textId="77777777" w:rsidR="006B46A6" w:rsidRDefault="00B909AC" w:rsidP="00EE6FAD">
      <w:pPr>
        <w:jc w:val="both"/>
      </w:pPr>
      <w:r>
        <w:t>5</w:t>
      </w:r>
      <w:r w:rsidR="006B46A6">
        <w:t xml:space="preserve">. </w:t>
      </w:r>
      <w:r w:rsidR="006B46A6">
        <w:tab/>
      </w:r>
      <w:r w:rsidR="009A23E5">
        <w:t>T</w:t>
      </w:r>
      <w:r w:rsidR="009A23E5" w:rsidRPr="009A23E5">
        <w:t xml:space="preserve">he </w:t>
      </w:r>
      <w:r w:rsidR="009A23E5">
        <w:t>revised ITRs</w:t>
      </w:r>
      <w:r w:rsidR="009A23E5" w:rsidRPr="009A23E5">
        <w:t xml:space="preserve"> appl</w:t>
      </w:r>
      <w:r w:rsidR="009A23E5">
        <w:t>ied</w:t>
      </w:r>
      <w:r w:rsidR="009A23E5" w:rsidRPr="009A23E5">
        <w:t xml:space="preserve"> provisionally, as from 1 January 2015, in respect of any Member State that signed the new treaty. Such provisional application t</w:t>
      </w:r>
      <w:r w:rsidR="00E82E5A">
        <w:t>ook</w:t>
      </w:r>
      <w:r w:rsidR="009A23E5" w:rsidRPr="009A23E5">
        <w:t xml:space="preserve"> effect if the Member State in question did not oppose it at the time of signature. </w:t>
      </w:r>
    </w:p>
    <w:p w14:paraId="65049660" w14:textId="25975CD0" w:rsidR="009A23E5" w:rsidRPr="00E419E4" w:rsidRDefault="00B909AC" w:rsidP="00EE6FAD">
      <w:pPr>
        <w:jc w:val="both"/>
      </w:pPr>
      <w:r>
        <w:t>6</w:t>
      </w:r>
      <w:r w:rsidR="006B46A6">
        <w:t>.</w:t>
      </w:r>
      <w:r w:rsidR="006B46A6">
        <w:tab/>
      </w:r>
      <w:r w:rsidR="009A23E5" w:rsidRPr="009A23E5">
        <w:t>Furthermore, if the Member State fail</w:t>
      </w:r>
      <w:r w:rsidR="006B46A6">
        <w:t>ed</w:t>
      </w:r>
      <w:r w:rsidR="009A23E5" w:rsidRPr="009A23E5">
        <w:t xml:space="preserve"> to notify the ITU Secretary-General of its decision concerning its consent to be bound prior to 31 December 2017, that </w:t>
      </w:r>
      <w:r w:rsidR="009A23E5" w:rsidRPr="00E419E4">
        <w:t xml:space="preserve">Member State </w:t>
      </w:r>
      <w:r w:rsidR="006B46A6" w:rsidRPr="00E419E4">
        <w:t>was</w:t>
      </w:r>
      <w:r w:rsidR="009A23E5" w:rsidRPr="00E419E4">
        <w:t xml:space="preserve"> deemed to have consented to be bound by the new treaty</w:t>
      </w:r>
      <w:r w:rsidR="00DB6A51" w:rsidRPr="00E419E4">
        <w:t xml:space="preserve"> as of 1 January 2018</w:t>
      </w:r>
      <w:r w:rsidR="009A23E5" w:rsidRPr="00E419E4">
        <w:t>.</w:t>
      </w:r>
    </w:p>
    <w:p w14:paraId="7C09CAF8" w14:textId="3AEF7772" w:rsidR="009A23E5" w:rsidRDefault="00B909AC" w:rsidP="00962619">
      <w:pPr>
        <w:jc w:val="both"/>
      </w:pPr>
      <w:r w:rsidRPr="00E419E4">
        <w:t>7.</w:t>
      </w:r>
      <w:r w:rsidR="009A23E5" w:rsidRPr="00E419E4">
        <w:tab/>
        <w:t xml:space="preserve">The list of Member States </w:t>
      </w:r>
      <w:r w:rsidR="006B46A6" w:rsidRPr="00E419E4">
        <w:t>that are</w:t>
      </w:r>
      <w:r w:rsidR="00DB6A51" w:rsidRPr="00E419E4">
        <w:t xml:space="preserve"> currently</w:t>
      </w:r>
      <w:r w:rsidR="006B46A6" w:rsidRPr="00E419E4">
        <w:t xml:space="preserve"> </w:t>
      </w:r>
      <w:r w:rsidR="006B46A6" w:rsidRPr="00E419E4">
        <w:rPr>
          <w:u w:val="single"/>
        </w:rPr>
        <w:t>part</w:t>
      </w:r>
      <w:r w:rsidR="00DB6A51" w:rsidRPr="00E419E4">
        <w:rPr>
          <w:u w:val="single"/>
        </w:rPr>
        <w:t>ies</w:t>
      </w:r>
      <w:r w:rsidR="006B46A6" w:rsidRPr="00E419E4">
        <w:rPr>
          <w:u w:val="single"/>
        </w:rPr>
        <w:t xml:space="preserve"> to</w:t>
      </w:r>
      <w:r w:rsidR="006B46A6" w:rsidRPr="00E419E4">
        <w:t xml:space="preserve"> the </w:t>
      </w:r>
      <w:r w:rsidR="009A23E5" w:rsidRPr="00E419E4">
        <w:rPr>
          <w:rFonts w:eastAsia="Arial Unicode MS" w:cstheme="minorHAnsi"/>
          <w:szCs w:val="24"/>
        </w:rPr>
        <w:t xml:space="preserve">revised </w:t>
      </w:r>
      <w:r w:rsidR="00C951BC" w:rsidRPr="00E419E4">
        <w:rPr>
          <w:rFonts w:eastAsia="Arial Unicode MS" w:cstheme="minorHAnsi"/>
          <w:szCs w:val="24"/>
        </w:rPr>
        <w:t xml:space="preserve">2012 </w:t>
      </w:r>
      <w:r w:rsidR="009A23E5" w:rsidRPr="00E419E4">
        <w:rPr>
          <w:rFonts w:eastAsia="Arial Unicode MS" w:cstheme="minorHAnsi"/>
          <w:szCs w:val="24"/>
        </w:rPr>
        <w:t>ITRs</w:t>
      </w:r>
      <w:r w:rsidR="009A23E5" w:rsidRPr="00E419E4">
        <w:t xml:space="preserve"> </w:t>
      </w:r>
      <w:r w:rsidR="00C951BC" w:rsidRPr="00E419E4">
        <w:t>(91 Member States)</w:t>
      </w:r>
      <w:r w:rsidR="009A23E5" w:rsidRPr="00E419E4">
        <w:t xml:space="preserve"> is available at </w:t>
      </w:r>
      <w:hyperlink r:id="rId6" w:history="1">
        <w:r w:rsidR="001E02EB" w:rsidRPr="00E419E4">
          <w:rPr>
            <w:rStyle w:val="Hyperlink"/>
          </w:rPr>
          <w:t>https://www.itu.int/online/mm/s</w:t>
        </w:r>
        <w:r w:rsidR="001E02EB" w:rsidRPr="00E419E4">
          <w:rPr>
            <w:rStyle w:val="Hyperlink"/>
          </w:rPr>
          <w:t>c</w:t>
        </w:r>
        <w:r w:rsidR="001E02EB" w:rsidRPr="00E419E4">
          <w:rPr>
            <w:rStyle w:val="Hyperlink"/>
          </w:rPr>
          <w:t>ripts/gensel25?agrmtid=0000925268</w:t>
        </w:r>
      </w:hyperlink>
      <w:r w:rsidR="009A23E5" w:rsidRPr="00E419E4">
        <w:t>.</w:t>
      </w:r>
      <w:r w:rsidR="001E02EB">
        <w:t xml:space="preserve"> </w:t>
      </w:r>
    </w:p>
    <w:p w14:paraId="1EBC9417" w14:textId="2128C3C9" w:rsidR="00C35302" w:rsidRPr="008A4A16" w:rsidRDefault="008A4A16" w:rsidP="008A4A16">
      <w:pPr>
        <w:jc w:val="center"/>
        <w:rPr>
          <w:u w:val="single"/>
        </w:rPr>
      </w:pPr>
      <w:r>
        <w:rPr>
          <w:u w:val="single"/>
        </w:rPr>
        <w:t>                               </w:t>
      </w:r>
      <w:bookmarkStart w:id="1" w:name="_GoBack"/>
      <w:bookmarkEnd w:id="1"/>
    </w:p>
    <w:sectPr w:rsidR="00C35302" w:rsidRPr="008A4A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E5"/>
    <w:rsid w:val="000860F4"/>
    <w:rsid w:val="000C6416"/>
    <w:rsid w:val="001E02EB"/>
    <w:rsid w:val="00224F8F"/>
    <w:rsid w:val="00245997"/>
    <w:rsid w:val="002E1372"/>
    <w:rsid w:val="0039463B"/>
    <w:rsid w:val="003C3651"/>
    <w:rsid w:val="003F6F47"/>
    <w:rsid w:val="00497D26"/>
    <w:rsid w:val="004D5D89"/>
    <w:rsid w:val="00535EC2"/>
    <w:rsid w:val="00565944"/>
    <w:rsid w:val="005E335A"/>
    <w:rsid w:val="00663357"/>
    <w:rsid w:val="006B46A6"/>
    <w:rsid w:val="008A4A16"/>
    <w:rsid w:val="009409C6"/>
    <w:rsid w:val="00962619"/>
    <w:rsid w:val="009A23E5"/>
    <w:rsid w:val="00A7427B"/>
    <w:rsid w:val="00A81C49"/>
    <w:rsid w:val="00B42CBD"/>
    <w:rsid w:val="00B5790D"/>
    <w:rsid w:val="00B909AC"/>
    <w:rsid w:val="00C35302"/>
    <w:rsid w:val="00C62CEA"/>
    <w:rsid w:val="00C951BC"/>
    <w:rsid w:val="00DB6A51"/>
    <w:rsid w:val="00E21B1C"/>
    <w:rsid w:val="00E419E4"/>
    <w:rsid w:val="00E82E5A"/>
    <w:rsid w:val="00EE6FAD"/>
    <w:rsid w:val="00F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4A72"/>
  <w15:chartTrackingRefBased/>
  <w15:docId w15:val="{F65A29A0-3DF7-46FB-9A09-30A70AD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23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6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4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46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6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online/mm/scripts/gensel25?agrmtid=0000925268" TargetMode="External"/><Relationship Id="rId5" Type="http://schemas.openxmlformats.org/officeDocument/2006/relationships/hyperlink" Target="http://www.itu.int/osg/wcit-12/highlights/signatories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Maloor, Preetam</dc:creator>
  <cp:keywords/>
  <dc:description/>
  <cp:lastModifiedBy>Janin</cp:lastModifiedBy>
  <cp:revision>2</cp:revision>
  <dcterms:created xsi:type="dcterms:W3CDTF">2018-04-03T12:46:00Z</dcterms:created>
  <dcterms:modified xsi:type="dcterms:W3CDTF">2018-04-03T12:46:00Z</dcterms:modified>
</cp:coreProperties>
</file>