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3911A5">
        <w:trPr>
          <w:cantSplit/>
        </w:trPr>
        <w:tc>
          <w:tcPr>
            <w:tcW w:w="6912" w:type="dxa"/>
          </w:tcPr>
          <w:p w:rsidR="00093EEB" w:rsidRPr="003911A5" w:rsidRDefault="00D92832" w:rsidP="008015EA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3911A5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3911A5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093EEB" w:rsidRPr="003911A5" w:rsidRDefault="00093EEB" w:rsidP="008015EA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3911A5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3911A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3911A5" w:rsidRDefault="00F70229" w:rsidP="008015EA">
            <w:pPr>
              <w:spacing w:before="0"/>
              <w:rPr>
                <w:b/>
                <w:bCs/>
                <w:szCs w:val="24"/>
              </w:rPr>
            </w:pPr>
            <w:r w:rsidRPr="003911A5">
              <w:rPr>
                <w:b/>
                <w:bCs/>
              </w:rPr>
              <w:t>Cuart</w:t>
            </w:r>
            <w:r w:rsidR="0067129F" w:rsidRPr="003911A5">
              <w:rPr>
                <w:b/>
                <w:bCs/>
              </w:rPr>
              <w:t>a</w:t>
            </w:r>
            <w:r w:rsidR="00D92832" w:rsidRPr="003911A5">
              <w:rPr>
                <w:b/>
                <w:bCs/>
              </w:rPr>
              <w:t xml:space="preserve"> reunión – Ginebra, 1</w:t>
            </w:r>
            <w:r w:rsidRPr="003911A5">
              <w:rPr>
                <w:b/>
                <w:bCs/>
              </w:rPr>
              <w:t>2</w:t>
            </w:r>
            <w:r w:rsidR="00D92832" w:rsidRPr="003911A5">
              <w:rPr>
                <w:b/>
                <w:bCs/>
              </w:rPr>
              <w:t>-1</w:t>
            </w:r>
            <w:r w:rsidRPr="003911A5">
              <w:rPr>
                <w:b/>
                <w:bCs/>
              </w:rPr>
              <w:t>3</w:t>
            </w:r>
            <w:r w:rsidR="00D92832" w:rsidRPr="003911A5">
              <w:rPr>
                <w:b/>
                <w:bCs/>
              </w:rPr>
              <w:t xml:space="preserve"> de </w:t>
            </w:r>
            <w:r w:rsidRPr="003911A5">
              <w:rPr>
                <w:b/>
                <w:bCs/>
              </w:rPr>
              <w:t>abril</w:t>
            </w:r>
            <w:r w:rsidR="00D92832" w:rsidRPr="003911A5">
              <w:rPr>
                <w:b/>
                <w:bCs/>
              </w:rPr>
              <w:t xml:space="preserve"> de 201</w:t>
            </w:r>
            <w:r w:rsidR="00BA4764" w:rsidRPr="003911A5">
              <w:rPr>
                <w:b/>
                <w:bCs/>
              </w:rPr>
              <w:t>8</w:t>
            </w:r>
          </w:p>
        </w:tc>
      </w:tr>
      <w:tr w:rsidR="00093EEB" w:rsidRPr="003911A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3911A5" w:rsidRDefault="00093EEB" w:rsidP="008015E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3911A5" w:rsidRDefault="00093EEB" w:rsidP="008015E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3911A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911A5" w:rsidRDefault="00093EEB" w:rsidP="008015E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3911A5" w:rsidRDefault="00093EEB" w:rsidP="008015EA">
            <w:pPr>
              <w:spacing w:before="0"/>
              <w:rPr>
                <w:b/>
                <w:bCs/>
                <w:szCs w:val="24"/>
              </w:rPr>
            </w:pPr>
            <w:r w:rsidRPr="003911A5">
              <w:rPr>
                <w:b/>
                <w:bCs/>
                <w:szCs w:val="24"/>
              </w:rPr>
              <w:t xml:space="preserve">Documento </w:t>
            </w:r>
            <w:r w:rsidR="00D92832" w:rsidRPr="003911A5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F70229" w:rsidRPr="003911A5">
              <w:rPr>
                <w:rFonts w:asciiTheme="minorHAnsi" w:hAnsiTheme="minorHAnsi" w:cs="Times New Roman Bold"/>
                <w:b/>
                <w:spacing w:val="-4"/>
              </w:rPr>
              <w:t>4</w:t>
            </w:r>
            <w:r w:rsidR="00D92832" w:rsidRPr="003911A5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AB5EF9" w:rsidRPr="003911A5">
              <w:rPr>
                <w:rFonts w:asciiTheme="minorHAnsi" w:hAnsiTheme="minorHAnsi" w:cs="Times New Roman Bold"/>
                <w:b/>
                <w:spacing w:val="-4"/>
              </w:rPr>
              <w:t>9</w:t>
            </w:r>
            <w:r w:rsidR="00D92832" w:rsidRPr="003911A5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3911A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911A5" w:rsidRDefault="00093EEB" w:rsidP="008015E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3911A5" w:rsidRDefault="00AB5EF9" w:rsidP="008015EA">
            <w:pPr>
              <w:spacing w:before="0"/>
              <w:rPr>
                <w:b/>
                <w:bCs/>
                <w:szCs w:val="24"/>
              </w:rPr>
            </w:pPr>
            <w:r w:rsidRPr="003911A5">
              <w:rPr>
                <w:b/>
                <w:bCs/>
                <w:szCs w:val="24"/>
              </w:rPr>
              <w:t>13</w:t>
            </w:r>
            <w:r w:rsidR="0077252D" w:rsidRPr="003911A5">
              <w:rPr>
                <w:b/>
                <w:bCs/>
                <w:szCs w:val="24"/>
              </w:rPr>
              <w:t xml:space="preserve"> </w:t>
            </w:r>
            <w:r w:rsidR="00D92832" w:rsidRPr="003911A5">
              <w:rPr>
                <w:b/>
                <w:bCs/>
                <w:szCs w:val="24"/>
              </w:rPr>
              <w:t xml:space="preserve">de </w:t>
            </w:r>
            <w:r w:rsidRPr="003911A5">
              <w:rPr>
                <w:b/>
                <w:bCs/>
                <w:szCs w:val="24"/>
              </w:rPr>
              <w:t>abril</w:t>
            </w:r>
            <w:r w:rsidR="00093EEB" w:rsidRPr="003911A5">
              <w:rPr>
                <w:b/>
                <w:bCs/>
                <w:szCs w:val="24"/>
              </w:rPr>
              <w:t xml:space="preserve"> de 201</w:t>
            </w:r>
            <w:r w:rsidR="00BA4764" w:rsidRPr="003911A5">
              <w:rPr>
                <w:b/>
                <w:bCs/>
                <w:szCs w:val="24"/>
              </w:rPr>
              <w:t>8</w:t>
            </w:r>
          </w:p>
        </w:tc>
      </w:tr>
      <w:tr w:rsidR="00093EEB" w:rsidRPr="003911A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911A5" w:rsidRDefault="00093EEB" w:rsidP="008015E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3911A5" w:rsidRDefault="00093EEB" w:rsidP="008015EA">
            <w:pPr>
              <w:spacing w:before="0"/>
              <w:rPr>
                <w:b/>
                <w:bCs/>
                <w:szCs w:val="24"/>
              </w:rPr>
            </w:pPr>
            <w:r w:rsidRPr="003911A5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3911A5">
        <w:trPr>
          <w:cantSplit/>
        </w:trPr>
        <w:tc>
          <w:tcPr>
            <w:tcW w:w="10173" w:type="dxa"/>
            <w:gridSpan w:val="2"/>
          </w:tcPr>
          <w:p w:rsidR="00093EEB" w:rsidRPr="003911A5" w:rsidRDefault="00093EEB" w:rsidP="00F504D4">
            <w:pPr>
              <w:pStyle w:val="Sourc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60"/>
              <w:rPr>
                <w:sz w:val="26"/>
              </w:rPr>
            </w:pPr>
            <w:bookmarkStart w:id="6" w:name="dsource" w:colFirst="0" w:colLast="0"/>
            <w:bookmarkEnd w:id="0"/>
            <w:bookmarkEnd w:id="5"/>
          </w:p>
        </w:tc>
      </w:tr>
      <w:tr w:rsidR="00093EEB" w:rsidRPr="003911A5">
        <w:trPr>
          <w:cantSplit/>
        </w:trPr>
        <w:tc>
          <w:tcPr>
            <w:tcW w:w="10173" w:type="dxa"/>
            <w:gridSpan w:val="2"/>
          </w:tcPr>
          <w:p w:rsidR="00093EEB" w:rsidRPr="003911A5" w:rsidRDefault="001C3C70" w:rsidP="008015EA">
            <w:pPr>
              <w:pStyle w:val="Title1"/>
            </w:pPr>
            <w:bookmarkStart w:id="7" w:name="dtitle1" w:colFirst="0" w:colLast="0"/>
            <w:bookmarkEnd w:id="6"/>
            <w:r w:rsidRPr="003911A5">
              <w:t>INFORME DE LA CUARTA REUNIÓN DEL GRUPO DE EXPERTOS SOBRE EL REGLAMENTO DE LAS TELECOMUNICACIONES INTERNACIONALES (GE-RTI)</w:t>
            </w:r>
          </w:p>
        </w:tc>
      </w:tr>
    </w:tbl>
    <w:bookmarkEnd w:id="7"/>
    <w:p w:rsidR="001C3C70" w:rsidRPr="003911A5" w:rsidRDefault="001C3C70" w:rsidP="008015EA">
      <w:pPr>
        <w:pStyle w:val="Heading1"/>
      </w:pPr>
      <w:r w:rsidRPr="003911A5">
        <w:t>1</w:t>
      </w:r>
      <w:r w:rsidRPr="003911A5">
        <w:tab/>
        <w:t>Introducción</w:t>
      </w:r>
    </w:p>
    <w:p w:rsidR="001C3C70" w:rsidRPr="003911A5" w:rsidRDefault="001C3C70" w:rsidP="008015EA">
      <w:r w:rsidRPr="003911A5">
        <w:rPr>
          <w:b/>
          <w:bCs/>
        </w:rPr>
        <w:t>1.1</w:t>
      </w:r>
      <w:r w:rsidRPr="003911A5">
        <w:tab/>
      </w:r>
      <w:bookmarkStart w:id="8" w:name="lt_pId011"/>
      <w:r w:rsidRPr="003911A5">
        <w:t xml:space="preserve">El Sr. Malcolm Johnson, Vicesecretario General de la UIT, dio la bienvenida en nombre del Secretario General a los participantes en la </w:t>
      </w:r>
      <w:r w:rsidR="008015EA" w:rsidRPr="003911A5">
        <w:t>cuarta</w:t>
      </w:r>
      <w:r w:rsidRPr="003911A5">
        <w:t xml:space="preserve"> reunión del GE-RTI. Subrayó la importancia de la labor que ha de afrontar el Grupo y </w:t>
      </w:r>
      <w:r w:rsidR="008015EA" w:rsidRPr="003911A5">
        <w:t>declaró confiar en que la reunión demuestre un espíritu de compromiso para obtener los resultados encomendados por la</w:t>
      </w:r>
      <w:r w:rsidR="00F504D4" w:rsidRPr="003911A5">
        <w:t xml:space="preserve"> PP-14 y la reunión de 2016 del </w:t>
      </w:r>
      <w:r w:rsidR="008015EA" w:rsidRPr="003911A5">
        <w:t>Consejo</w:t>
      </w:r>
      <w:r w:rsidRPr="003911A5">
        <w:t>.</w:t>
      </w:r>
      <w:bookmarkEnd w:id="8"/>
    </w:p>
    <w:p w:rsidR="001C3C70" w:rsidRPr="003911A5" w:rsidRDefault="001C3C70" w:rsidP="008015EA">
      <w:r w:rsidRPr="003911A5">
        <w:rPr>
          <w:b/>
          <w:bCs/>
        </w:rPr>
        <w:t>1.2</w:t>
      </w:r>
      <w:r w:rsidRPr="003911A5">
        <w:tab/>
        <w:t xml:space="preserve">El Presidente dio las gracias al Vicesecretario General y a los Directores por su apoyo. </w:t>
      </w:r>
      <w:r w:rsidR="008015EA" w:rsidRPr="003911A5">
        <w:t>D</w:t>
      </w:r>
      <w:r w:rsidRPr="003911A5">
        <w:t>estacó la necesidad de que el Grupo trabajase de consuno en un espíritu de consenso y agradeció a los Vicepresidentes su valioso apoyo y asesoramiento</w:t>
      </w:r>
      <w:r w:rsidR="008015EA" w:rsidRPr="003911A5">
        <w:t xml:space="preserve"> durante todos los trabajos del Grupo</w:t>
      </w:r>
      <w:r w:rsidRPr="003911A5">
        <w:t>.</w:t>
      </w:r>
    </w:p>
    <w:p w:rsidR="00726872" w:rsidRPr="003911A5" w:rsidRDefault="001C3C70" w:rsidP="008015EA">
      <w:pPr>
        <w:pStyle w:val="Heading1"/>
      </w:pPr>
      <w:r w:rsidRPr="003911A5">
        <w:t>2</w:t>
      </w:r>
      <w:r w:rsidRPr="003911A5">
        <w:tab/>
        <w:t>Adopción del orden del día y atribución de documentos</w:t>
      </w:r>
    </w:p>
    <w:p w:rsidR="00E227CC" w:rsidRPr="003911A5" w:rsidRDefault="00E227CC" w:rsidP="008015EA">
      <w:r w:rsidRPr="003911A5">
        <w:t xml:space="preserve">El Presidente presentó el orden del día (Documento </w:t>
      </w:r>
      <w:hyperlink r:id="rId8" w:history="1">
        <w:r w:rsidRPr="003911A5">
          <w:rPr>
            <w:rStyle w:val="Hyperlink"/>
            <w:rFonts w:cstheme="majorBidi"/>
          </w:rPr>
          <w:t>EG-ITRs 4/1 (Rev.4)</w:t>
        </w:r>
      </w:hyperlink>
      <w:r w:rsidRPr="003911A5">
        <w:t>), que se aprobó sin modificaciones.</w:t>
      </w:r>
    </w:p>
    <w:p w:rsidR="00301F55" w:rsidRPr="003911A5" w:rsidRDefault="00301F55" w:rsidP="008015EA">
      <w:pPr>
        <w:pStyle w:val="Heading1"/>
      </w:pPr>
      <w:r w:rsidRPr="003911A5">
        <w:t>3</w:t>
      </w:r>
      <w:r w:rsidRPr="003911A5">
        <w:tab/>
      </w:r>
      <w:bookmarkStart w:id="9" w:name="lt_pId020"/>
      <w:r w:rsidR="008015EA" w:rsidRPr="003911A5">
        <w:t>Debate sobre el documento informativo</w:t>
      </w:r>
      <w:r w:rsidRPr="003911A5">
        <w:t xml:space="preserve"> </w:t>
      </w:r>
      <w:hyperlink r:id="rId9" w:history="1">
        <w:r w:rsidRPr="003911A5">
          <w:rPr>
            <w:rStyle w:val="Hyperlink"/>
          </w:rPr>
          <w:t>EG-ITRs-4/INF/2</w:t>
        </w:r>
      </w:hyperlink>
      <w:r w:rsidRPr="003911A5">
        <w:t xml:space="preserve">: </w:t>
      </w:r>
      <w:r w:rsidRPr="003911A5">
        <w:rPr>
          <w:i/>
          <w:iCs/>
        </w:rPr>
        <w:t>TSB Director's input on the ITRs</w:t>
      </w:r>
      <w:bookmarkEnd w:id="9"/>
    </w:p>
    <w:p w:rsidR="008015EA" w:rsidRPr="003911A5" w:rsidRDefault="00B91BF8" w:rsidP="00C338B0">
      <w:pPr>
        <w:pStyle w:val="enumlev1"/>
      </w:pPr>
      <w:bookmarkStart w:id="10" w:name="lt_pId021"/>
      <w:r w:rsidRPr="003911A5">
        <w:t>•</w:t>
      </w:r>
      <w:r w:rsidRPr="003911A5">
        <w:tab/>
      </w:r>
      <w:r w:rsidR="008015EA" w:rsidRPr="003911A5">
        <w:t>El Director de la TSB informó sobre las respuestas recibidas de las Comisiones de Estudio del UIT-T respecto del RTI.</w:t>
      </w:r>
    </w:p>
    <w:p w:rsidR="008015EA" w:rsidRPr="003911A5" w:rsidRDefault="008015EA" w:rsidP="00C338B0">
      <w:pPr>
        <w:pStyle w:val="enumlev1"/>
      </w:pPr>
      <w:r w:rsidRPr="003911A5">
        <w:t>•</w:t>
      </w:r>
      <w:r w:rsidRPr="003911A5">
        <w:tab/>
        <w:t>El Director de la TSB señaló que el documento sólo contenía información factual y no contenía ningún análisis sobre la aplicación del RTI.</w:t>
      </w:r>
    </w:p>
    <w:p w:rsidR="00301F55" w:rsidRPr="003911A5" w:rsidRDefault="008015EA" w:rsidP="00C338B0">
      <w:pPr>
        <w:pStyle w:val="enumlev1"/>
      </w:pPr>
      <w:r w:rsidRPr="003911A5">
        <w:t>•</w:t>
      </w:r>
      <w:r w:rsidRPr="003911A5">
        <w:tab/>
        <w:t>Varios miembros</w:t>
      </w:r>
      <w:r w:rsidR="00241A8D" w:rsidRPr="003911A5">
        <w:t xml:space="preserve"> señalaron que convendría determinar si el documento era pertinente como referencia para futuros trabajos</w:t>
      </w:r>
      <w:bookmarkStart w:id="11" w:name="lt_pId023"/>
      <w:bookmarkEnd w:id="10"/>
      <w:r w:rsidR="00301F55" w:rsidRPr="003911A5">
        <w:t>.</w:t>
      </w:r>
      <w:bookmarkEnd w:id="11"/>
    </w:p>
    <w:p w:rsidR="00301F55" w:rsidRPr="003911A5" w:rsidRDefault="00B91BF8" w:rsidP="00C338B0">
      <w:pPr>
        <w:pStyle w:val="enumlev1"/>
      </w:pPr>
      <w:bookmarkStart w:id="12" w:name="lt_pId024"/>
      <w:r w:rsidRPr="003911A5">
        <w:t>•</w:t>
      </w:r>
      <w:r w:rsidRPr="003911A5">
        <w:tab/>
      </w:r>
      <w:r w:rsidR="00241A8D" w:rsidRPr="003911A5">
        <w:t xml:space="preserve">El Vicepresidente de la </w:t>
      </w:r>
      <w:r w:rsidR="00665F36" w:rsidRPr="003911A5">
        <w:t xml:space="preserve">región </w:t>
      </w:r>
      <w:r w:rsidR="00241A8D" w:rsidRPr="003911A5">
        <w:t>de las Américas propuso un texto de compromiso para añadirlo al proyecto final de Informe del GE-RTI a fin de establecer una referencia a la contribución del Director de la TSB al GE-RTI, texto que fue acordado por el Grupo</w:t>
      </w:r>
      <w:r w:rsidR="00301F55" w:rsidRPr="003911A5">
        <w:t>.</w:t>
      </w:r>
      <w:bookmarkEnd w:id="12"/>
    </w:p>
    <w:p w:rsidR="00301F55" w:rsidRPr="003911A5" w:rsidRDefault="00301F55" w:rsidP="00241A8D">
      <w:pPr>
        <w:pStyle w:val="Heading1"/>
      </w:pPr>
      <w:r w:rsidRPr="003911A5">
        <w:lastRenderedPageBreak/>
        <w:t>4</w:t>
      </w:r>
      <w:r w:rsidRPr="003911A5">
        <w:tab/>
      </w:r>
      <w:bookmarkStart w:id="13" w:name="lt_pId026"/>
      <w:r w:rsidR="00241A8D" w:rsidRPr="003911A5">
        <w:t>Resumen de las contribuciones a la cuarta reunión</w:t>
      </w:r>
      <w:bookmarkEnd w:id="13"/>
    </w:p>
    <w:p w:rsidR="00301F55" w:rsidRPr="003911A5" w:rsidRDefault="00241A8D" w:rsidP="00241A8D">
      <w:pPr>
        <w:jc w:val="both"/>
        <w:rPr>
          <w:b/>
        </w:rPr>
      </w:pPr>
      <w:bookmarkStart w:id="14" w:name="lt_pId027"/>
      <w:r w:rsidRPr="003911A5">
        <w:t>A continuación se resumen las contribuciones sometidas por los autores de los documentos</w:t>
      </w:r>
      <w:r w:rsidR="00301F55" w:rsidRPr="003911A5">
        <w:t>:</w:t>
      </w:r>
      <w:bookmarkEnd w:id="14"/>
    </w:p>
    <w:p w:rsidR="00301F55" w:rsidRPr="003911A5" w:rsidRDefault="00301F55" w:rsidP="008015EA">
      <w:pPr>
        <w:pStyle w:val="Heading2"/>
      </w:pPr>
      <w:r w:rsidRPr="003911A5">
        <w:t>4.1</w:t>
      </w:r>
      <w:r w:rsidRPr="003911A5">
        <w:tab/>
      </w:r>
      <w:bookmarkStart w:id="15" w:name="lt_pId029"/>
      <w:r w:rsidR="00922AE5" w:rsidRPr="003911A5">
        <w:t xml:space="preserve">Contribución </w:t>
      </w:r>
      <w:hyperlink r:id="rId10" w:history="1">
        <w:r w:rsidRPr="003911A5">
          <w:rPr>
            <w:rStyle w:val="Hyperlink"/>
          </w:rPr>
          <w:t>EG-ITRs 4/2</w:t>
        </w:r>
      </w:hyperlink>
      <w:r w:rsidRPr="003911A5">
        <w:t xml:space="preserve"> </w:t>
      </w:r>
      <w:r w:rsidR="00922AE5" w:rsidRPr="003911A5">
        <w:t>de</w:t>
      </w:r>
      <w:r w:rsidRPr="003911A5">
        <w:t xml:space="preserve"> Côte d'Ivoire </w:t>
      </w:r>
      <w:r w:rsidR="00922AE5" w:rsidRPr="003911A5">
        <w:t>–</w:t>
      </w:r>
      <w:r w:rsidRPr="003911A5">
        <w:t xml:space="preserve"> </w:t>
      </w:r>
      <w:bookmarkEnd w:id="15"/>
      <w:r w:rsidR="00922AE5" w:rsidRPr="003911A5">
        <w:t xml:space="preserve">Comentarios de la </w:t>
      </w:r>
      <w:r w:rsidR="00665F36" w:rsidRPr="003911A5">
        <w:t xml:space="preserve">región </w:t>
      </w:r>
      <w:r w:rsidR="00922AE5" w:rsidRPr="003911A5">
        <w:t xml:space="preserve">de África sobre el proyecto de </w:t>
      </w:r>
      <w:r w:rsidR="00425BA7" w:rsidRPr="003911A5">
        <w:t xml:space="preserve">informe </w:t>
      </w:r>
      <w:r w:rsidR="00922AE5" w:rsidRPr="003911A5">
        <w:t>2.0</w:t>
      </w:r>
    </w:p>
    <w:p w:rsidR="00301F55" w:rsidRPr="003911A5" w:rsidRDefault="00241A8D" w:rsidP="00241A8D">
      <w:bookmarkStart w:id="16" w:name="lt_pId030"/>
      <w:r w:rsidRPr="003911A5">
        <w:t>Habida cuenta de las divergencias de opiniones sobre el RTI, la región de África insiste en su posición, que es la siguiente</w:t>
      </w:r>
      <w:r w:rsidR="00301F55" w:rsidRPr="003911A5">
        <w:t>:</w:t>
      </w:r>
      <w:bookmarkEnd w:id="16"/>
    </w:p>
    <w:p w:rsidR="00301F55" w:rsidRPr="003911A5" w:rsidRDefault="00F14C69" w:rsidP="00241A8D">
      <w:pPr>
        <w:pStyle w:val="enumlev1"/>
      </w:pPr>
      <w:bookmarkStart w:id="17" w:name="lt_pId031"/>
      <w:r w:rsidRPr="003911A5">
        <w:t>a)</w:t>
      </w:r>
      <w:r w:rsidRPr="003911A5">
        <w:tab/>
      </w:r>
      <w:r w:rsidR="00241A8D" w:rsidRPr="003911A5">
        <w:t>El RTI sigue siendo pertinente</w:t>
      </w:r>
      <w:bookmarkEnd w:id="17"/>
      <w:r w:rsidRPr="003911A5">
        <w:t>.</w:t>
      </w:r>
    </w:p>
    <w:p w:rsidR="00301F55" w:rsidRPr="003911A5" w:rsidRDefault="00F14C69" w:rsidP="00241A8D">
      <w:pPr>
        <w:pStyle w:val="enumlev1"/>
      </w:pPr>
      <w:bookmarkStart w:id="18" w:name="lt_pId032"/>
      <w:r w:rsidRPr="003911A5">
        <w:t>b)</w:t>
      </w:r>
      <w:r w:rsidRPr="003911A5">
        <w:tab/>
      </w:r>
      <w:r w:rsidR="00241A8D" w:rsidRPr="003911A5">
        <w:t>Es necesario que sólo haya una versión del RTI</w:t>
      </w:r>
      <w:bookmarkEnd w:id="18"/>
      <w:r w:rsidRPr="003911A5">
        <w:t>.</w:t>
      </w:r>
    </w:p>
    <w:p w:rsidR="00301F55" w:rsidRPr="003911A5" w:rsidRDefault="00F14C69" w:rsidP="00241A8D">
      <w:pPr>
        <w:pStyle w:val="enumlev1"/>
      </w:pPr>
      <w:bookmarkStart w:id="19" w:name="lt_pId033"/>
      <w:r w:rsidRPr="003911A5">
        <w:t>c)</w:t>
      </w:r>
      <w:r w:rsidRPr="003911A5">
        <w:tab/>
      </w:r>
      <w:r w:rsidR="00241A8D" w:rsidRPr="003911A5">
        <w:t>Si bien se reconoce que es necesario revisar el RTI, necesitamos un consenso sobre los temas polémicos antes de organizar otra CMTI</w:t>
      </w:r>
      <w:bookmarkEnd w:id="19"/>
      <w:r w:rsidRPr="003911A5">
        <w:t>.</w:t>
      </w:r>
    </w:p>
    <w:p w:rsidR="00301F55" w:rsidRPr="003911A5" w:rsidRDefault="00241A8D" w:rsidP="00D76460">
      <w:bookmarkStart w:id="20" w:name="lt_pId034"/>
      <w:r w:rsidRPr="003911A5">
        <w:t>Se pide al Consejo que examine la propuesta del grupo africano de que se extienda la duración y el mandato del Grupo de Expertos</w:t>
      </w:r>
      <w:r w:rsidR="00D76460" w:rsidRPr="003911A5">
        <w:t>, y que someta esa propuesta a la consideración de la próxima PP</w:t>
      </w:r>
      <w:r w:rsidR="00D76460" w:rsidRPr="003911A5">
        <w:noBreakHyphen/>
        <w:t>18</w:t>
      </w:r>
      <w:r w:rsidR="00301F55" w:rsidRPr="003911A5">
        <w:t>.</w:t>
      </w:r>
      <w:bookmarkEnd w:id="20"/>
    </w:p>
    <w:p w:rsidR="00301F55" w:rsidRPr="003911A5" w:rsidRDefault="00301F55" w:rsidP="008015EA">
      <w:pPr>
        <w:pStyle w:val="Heading2"/>
      </w:pPr>
      <w:r w:rsidRPr="003911A5">
        <w:t>4.2</w:t>
      </w:r>
      <w:r w:rsidRPr="003911A5">
        <w:tab/>
      </w:r>
      <w:bookmarkStart w:id="21" w:name="lt_pId036"/>
      <w:r w:rsidR="00C524A4" w:rsidRPr="003911A5">
        <w:t xml:space="preserve">Contribución </w:t>
      </w:r>
      <w:hyperlink r:id="rId11" w:history="1">
        <w:r w:rsidRPr="003911A5">
          <w:rPr>
            <w:rStyle w:val="Hyperlink"/>
          </w:rPr>
          <w:t>EG-ITRs 4/6</w:t>
        </w:r>
      </w:hyperlink>
      <w:r w:rsidRPr="003911A5">
        <w:t xml:space="preserve"> </w:t>
      </w:r>
      <w:r w:rsidR="00C524A4" w:rsidRPr="003911A5">
        <w:t>de</w:t>
      </w:r>
      <w:r w:rsidRPr="003911A5">
        <w:t xml:space="preserve"> </w:t>
      </w:r>
      <w:r w:rsidR="00C524A4" w:rsidRPr="003911A5">
        <w:t xml:space="preserve">la Federación de Rusia – </w:t>
      </w:r>
      <w:bookmarkEnd w:id="21"/>
      <w:r w:rsidR="00C524A4" w:rsidRPr="003911A5">
        <w:t>Propuestas para la clarificación del RTI publicado (versión 2012) para su aplicación por los Estados Miembros y los operadores de telecomunicaciones</w:t>
      </w:r>
    </w:p>
    <w:p w:rsidR="00301F55" w:rsidRPr="003911A5" w:rsidRDefault="00D76460" w:rsidP="00D76460">
      <w:pPr>
        <w:rPr>
          <w:rFonts w:cstheme="majorBidi"/>
          <w:bCs/>
          <w:spacing w:val="-4"/>
        </w:rPr>
      </w:pPr>
      <w:r w:rsidRPr="003911A5">
        <w:rPr>
          <w:rFonts w:eastAsia="SimSun"/>
          <w:spacing w:val="-2"/>
          <w:lang w:eastAsia="zh-CN"/>
        </w:rPr>
        <w:t>En la contribución se indica que</w:t>
      </w:r>
      <w:r w:rsidR="00366DD9" w:rsidRPr="003911A5">
        <w:rPr>
          <w:rFonts w:eastAsia="SimSun"/>
          <w:spacing w:val="-2"/>
          <w:lang w:eastAsia="zh-CN"/>
        </w:rPr>
        <w:t xml:space="preserve"> </w:t>
      </w:r>
      <w:r w:rsidRPr="003911A5">
        <w:rPr>
          <w:rFonts w:eastAsia="SimSun"/>
          <w:spacing w:val="-2"/>
          <w:lang w:eastAsia="zh-CN"/>
        </w:rPr>
        <w:t>las empresas de explotación</w:t>
      </w:r>
      <w:r w:rsidR="00366DD9" w:rsidRPr="003911A5">
        <w:rPr>
          <w:rFonts w:eastAsia="SimSun"/>
          <w:spacing w:val="-2"/>
          <w:lang w:eastAsia="zh-CN"/>
        </w:rPr>
        <w:t xml:space="preserve"> </w:t>
      </w:r>
      <w:r w:rsidRPr="003911A5">
        <w:rPr>
          <w:rFonts w:eastAsia="SimSun"/>
          <w:spacing w:val="-2"/>
          <w:lang w:eastAsia="zh-CN"/>
        </w:rPr>
        <w:t xml:space="preserve">utilizan </w:t>
      </w:r>
      <w:r w:rsidR="00366DD9" w:rsidRPr="003911A5">
        <w:rPr>
          <w:rFonts w:eastAsia="SimSun"/>
          <w:spacing w:val="-2"/>
          <w:lang w:eastAsia="zh-CN"/>
        </w:rPr>
        <w:t xml:space="preserve">el RTI 2012 al concluir contratos comerciales, resolver controversias, incluso ante los tribunales, y emprender otras acciones legales </w:t>
      </w:r>
      <w:r w:rsidR="00366DD9" w:rsidRPr="003911A5">
        <w:t>pertinentes</w:t>
      </w:r>
      <w:r w:rsidRPr="003911A5">
        <w:rPr>
          <w:rFonts w:eastAsia="SimSun"/>
          <w:spacing w:val="-2"/>
          <w:lang w:eastAsia="zh-CN"/>
        </w:rPr>
        <w:t>, y se encuentran perturbados con las dos versiones del RTI 2012 publicadas en la página web de la CMTI en</w:t>
      </w:r>
      <w:r w:rsidR="00366DD9" w:rsidRPr="003911A5">
        <w:rPr>
          <w:rFonts w:eastAsia="SimSun"/>
          <w:spacing w:val="-2"/>
          <w:lang w:eastAsia="zh-CN"/>
        </w:rPr>
        <w:t xml:space="preserve"> </w:t>
      </w:r>
      <w:hyperlink r:id="rId12" w:history="1">
        <w:r w:rsidR="00366DD9" w:rsidRPr="003911A5">
          <w:rPr>
            <w:rStyle w:val="Hyperlink"/>
            <w:rFonts w:asciiTheme="minorHAnsi" w:eastAsia="SimSun" w:hAnsiTheme="minorHAnsi"/>
            <w:spacing w:val="-2"/>
            <w:szCs w:val="24"/>
            <w:lang w:eastAsia="zh-CN"/>
          </w:rPr>
          <w:t>https://www.itu.int/en/wcit-12/Documents/final-acts-wcit-12-es.pdf</w:t>
        </w:r>
      </w:hyperlink>
      <w:r w:rsidR="00366DD9" w:rsidRPr="003911A5">
        <w:rPr>
          <w:rFonts w:eastAsia="SimSun"/>
          <w:lang w:eastAsia="zh-CN"/>
        </w:rPr>
        <w:t xml:space="preserve">, y en la página de publicaciones de la UIT en </w:t>
      </w:r>
      <w:hyperlink r:id="rId13" w:history="1">
        <w:r w:rsidR="00366DD9" w:rsidRPr="003911A5">
          <w:rPr>
            <w:rStyle w:val="Hyperlink"/>
            <w:rFonts w:asciiTheme="minorHAnsi" w:eastAsia="SimSun" w:hAnsiTheme="minorHAnsi"/>
            <w:szCs w:val="24"/>
            <w:lang w:eastAsia="zh-CN"/>
          </w:rPr>
          <w:t>https://www.itu.int/pub/S-CONF-WCIT-2012/es</w:t>
        </w:r>
      </w:hyperlink>
      <w:r w:rsidR="00366DD9" w:rsidRPr="003911A5">
        <w:rPr>
          <w:rFonts w:eastAsia="SimSun"/>
          <w:lang w:eastAsia="zh-CN"/>
        </w:rPr>
        <w:t>. Para este último caso, la descarga del documento requiere inscripción/autorización.</w:t>
      </w:r>
    </w:p>
    <w:p w:rsidR="00301F55" w:rsidRPr="003911A5" w:rsidRDefault="00232170" w:rsidP="00D76460">
      <w:bookmarkStart w:id="22" w:name="lt_pId038"/>
      <w:r w:rsidRPr="003911A5">
        <w:t xml:space="preserve">Habida cuenta de que el RTI es el documento internacional legalmente vinculante y </w:t>
      </w:r>
      <w:r w:rsidR="00D76460" w:rsidRPr="003911A5">
        <w:t xml:space="preserve">de que </w:t>
      </w:r>
      <w:r w:rsidRPr="003911A5">
        <w:t>el uso de versiones diferentes del mismo tratado da lugar a conflictos legales y complica de manera importante el examen y la solución de controversias entre operadores de telecomunicaciones</w:t>
      </w:r>
      <w:r w:rsidR="00301F55" w:rsidRPr="003911A5">
        <w:t xml:space="preserve">, </w:t>
      </w:r>
      <w:r w:rsidR="00D76460" w:rsidRPr="003911A5">
        <w:t>en la contribución se pide</w:t>
      </w:r>
      <w:r w:rsidRPr="003911A5">
        <w:t xml:space="preserve"> al Asesor Jurídico que aclare qué versión del RTI (2012) deben utilizar los operadores de telecomunicaciones para sus acciones legales</w:t>
      </w:r>
      <w:r w:rsidR="00301F55" w:rsidRPr="003911A5">
        <w:t>,</w:t>
      </w:r>
      <w:r w:rsidRPr="003911A5">
        <w:t xml:space="preserve"> </w:t>
      </w:r>
      <w:r w:rsidR="00D76460" w:rsidRPr="003911A5">
        <w:t>y la Secretaría de la UIT para garantizar un acceso gratuito al documento sin inscripción</w:t>
      </w:r>
      <w:r w:rsidR="00301F55" w:rsidRPr="003911A5">
        <w:t>.</w:t>
      </w:r>
      <w:bookmarkEnd w:id="22"/>
    </w:p>
    <w:p w:rsidR="00301F55" w:rsidRPr="003911A5" w:rsidRDefault="00301F55" w:rsidP="008015EA">
      <w:pPr>
        <w:pStyle w:val="Heading2"/>
      </w:pPr>
      <w:r w:rsidRPr="003911A5">
        <w:t>4.3</w:t>
      </w:r>
      <w:r w:rsidRPr="003911A5">
        <w:tab/>
      </w:r>
      <w:bookmarkStart w:id="23" w:name="lt_pId040"/>
      <w:r w:rsidR="0075792C" w:rsidRPr="003911A5">
        <w:t xml:space="preserve">Contribución </w:t>
      </w:r>
      <w:hyperlink r:id="rId14" w:history="1">
        <w:r w:rsidRPr="003911A5">
          <w:rPr>
            <w:rStyle w:val="Hyperlink"/>
          </w:rPr>
          <w:t>EG-ITRs 4/7</w:t>
        </w:r>
      </w:hyperlink>
      <w:r w:rsidRPr="003911A5">
        <w:t xml:space="preserve"> </w:t>
      </w:r>
      <w:r w:rsidR="0075792C" w:rsidRPr="003911A5">
        <w:t>de</w:t>
      </w:r>
      <w:r w:rsidRPr="003911A5">
        <w:t xml:space="preserve"> </w:t>
      </w:r>
      <w:bookmarkStart w:id="24" w:name="lt_pId041"/>
      <w:bookmarkEnd w:id="23"/>
      <w:r w:rsidR="0075792C" w:rsidRPr="003911A5">
        <w:t>Bell Mobility (Canadá); KD</w:t>
      </w:r>
      <w:r w:rsidR="004D4D49" w:rsidRPr="003911A5">
        <w:t>DI, NTT DOCOMO Inc. (Japón); BT </w:t>
      </w:r>
      <w:r w:rsidR="0075792C" w:rsidRPr="003911A5">
        <w:t>(Reino Unido); AT&amp;T, Verizon (Estados Unidos de América)</w:t>
      </w:r>
      <w:r w:rsidRPr="003911A5">
        <w:t xml:space="preserve"> </w:t>
      </w:r>
      <w:r w:rsidR="0075792C" w:rsidRPr="003911A5">
        <w:t>–</w:t>
      </w:r>
      <w:r w:rsidRPr="003911A5">
        <w:t xml:space="preserve"> </w:t>
      </w:r>
      <w:bookmarkEnd w:id="24"/>
      <w:r w:rsidR="0075792C" w:rsidRPr="003911A5">
        <w:t>Revisión del Reglamento de las Telecomunicaciones Internacionales de 2012</w:t>
      </w:r>
    </w:p>
    <w:p w:rsidR="00301F55" w:rsidRPr="003911A5" w:rsidRDefault="00D76460" w:rsidP="00020E48">
      <w:bookmarkStart w:id="25" w:name="lt_pId042"/>
      <w:r w:rsidRPr="003911A5">
        <w:t xml:space="preserve">La </w:t>
      </w:r>
      <w:r w:rsidR="00301F55" w:rsidRPr="003911A5">
        <w:t>Contribu</w:t>
      </w:r>
      <w:r w:rsidRPr="003911A5">
        <w:t>ció</w:t>
      </w:r>
      <w:r w:rsidR="00301F55" w:rsidRPr="003911A5">
        <w:t>n EG-ITRs-4/7</w:t>
      </w:r>
      <w:r w:rsidRPr="003911A5">
        <w:t xml:space="preserve"> fue sometida por </w:t>
      </w:r>
      <w:r w:rsidR="00301F55" w:rsidRPr="003911A5">
        <w:t>Bell Mobility (Canad</w:t>
      </w:r>
      <w:r w:rsidRPr="003911A5">
        <w:t>á</w:t>
      </w:r>
      <w:r w:rsidR="00301F55" w:rsidRPr="003911A5">
        <w:t>); KDDI, NTT DOCOMO Inc.</w:t>
      </w:r>
      <w:bookmarkEnd w:id="25"/>
      <w:r w:rsidR="00301F55" w:rsidRPr="003911A5">
        <w:t xml:space="preserve"> </w:t>
      </w:r>
      <w:bookmarkStart w:id="26" w:name="lt_pId043"/>
      <w:r w:rsidR="00301F55" w:rsidRPr="003911A5">
        <w:t>(Jap</w:t>
      </w:r>
      <w:r w:rsidRPr="003911A5">
        <w:t>ó</w:t>
      </w:r>
      <w:r w:rsidR="00301F55" w:rsidRPr="003911A5">
        <w:t>n); BT (</w:t>
      </w:r>
      <w:r w:rsidRPr="003911A5">
        <w:t>Reino Unido</w:t>
      </w:r>
      <w:r w:rsidR="00301F55" w:rsidRPr="003911A5">
        <w:t>); AT&amp;T, Verizon (</w:t>
      </w:r>
      <w:r w:rsidRPr="003911A5">
        <w:t>Estados Unidos de América</w:t>
      </w:r>
      <w:r w:rsidR="00301F55" w:rsidRPr="003911A5">
        <w:t>).</w:t>
      </w:r>
      <w:bookmarkStart w:id="27" w:name="lt_pId044"/>
      <w:bookmarkEnd w:id="26"/>
      <w:r w:rsidR="00290C02" w:rsidRPr="003911A5">
        <w:t xml:space="preserve"> </w:t>
      </w:r>
      <w:r w:rsidR="00EC1F64" w:rsidRPr="003911A5">
        <w:t xml:space="preserve">En conjunto, </w:t>
      </w:r>
      <w:r w:rsidRPr="003911A5">
        <w:t>esas</w:t>
      </w:r>
      <w:r w:rsidR="00EC1F64" w:rsidRPr="003911A5">
        <w:t xml:space="preserve"> empresas intercambian tráfico con otros operadores para proporcionar servicios de telecomunicaciones internacionales a más de 220 países y territorios reconocidos por las Naciones Unidas</w:t>
      </w:r>
      <w:r w:rsidR="00301F55" w:rsidRPr="003911A5">
        <w:t>.</w:t>
      </w:r>
      <w:bookmarkEnd w:id="27"/>
      <w:r w:rsidR="00301F55" w:rsidRPr="003911A5">
        <w:t xml:space="preserve"> </w:t>
      </w:r>
      <w:bookmarkStart w:id="28" w:name="lt_pId045"/>
      <w:r w:rsidRPr="003911A5">
        <w:t>En el documento se señalan los puntos esenciales siguientes sobre la base de la experiencia operacional colectiva de los operadores</w:t>
      </w:r>
      <w:r w:rsidR="00EC1F64" w:rsidRPr="003911A5">
        <w:t>:</w:t>
      </w:r>
      <w:r w:rsidR="00301F55" w:rsidRPr="003911A5">
        <w:t xml:space="preserve"> i) </w:t>
      </w:r>
      <w:r w:rsidR="00EC1F64" w:rsidRPr="003911A5">
        <w:t xml:space="preserve">el RTI ha dejado de ser aplicable o pertinente </w:t>
      </w:r>
      <w:r w:rsidRPr="003911A5">
        <w:t xml:space="preserve">en un </w:t>
      </w:r>
      <w:r w:rsidR="00EC1F64" w:rsidRPr="003911A5">
        <w:t>el actual mercado de las telecomunicaciones internacionales altamente competitivo</w:t>
      </w:r>
      <w:r w:rsidRPr="003911A5">
        <w:t xml:space="preserve"> en el que las</w:t>
      </w:r>
      <w:r w:rsidR="00EC1F64" w:rsidRPr="003911A5">
        <w:t xml:space="preserve"> empresas intercambian la práctica totalidad del tráfico internacional a través de acuerdos </w:t>
      </w:r>
      <w:r w:rsidRPr="003911A5">
        <w:t xml:space="preserve">comerciales </w:t>
      </w:r>
      <w:r w:rsidR="00EC1F64" w:rsidRPr="003911A5">
        <w:t>negociados</w:t>
      </w:r>
      <w:r w:rsidRPr="003911A5">
        <w:t>, y e</w:t>
      </w:r>
      <w:r w:rsidR="00EC1F64" w:rsidRPr="003911A5">
        <w:t>l tráfico liquidado a través del RTI es insignificante</w:t>
      </w:r>
      <w:r w:rsidR="00D81C9B" w:rsidRPr="003911A5">
        <w:t>;</w:t>
      </w:r>
      <w:r w:rsidR="00301F55" w:rsidRPr="003911A5">
        <w:t xml:space="preserve"> </w:t>
      </w:r>
      <w:r w:rsidR="00301F55" w:rsidRPr="003911A5">
        <w:lastRenderedPageBreak/>
        <w:t>ii</w:t>
      </w:r>
      <w:r w:rsidR="00EC1F64" w:rsidRPr="003911A5">
        <w:t xml:space="preserve">) el éxito continuo </w:t>
      </w:r>
      <w:r w:rsidRPr="003911A5">
        <w:t>de</w:t>
      </w:r>
      <w:r w:rsidR="00EC1F64" w:rsidRPr="003911A5">
        <w:t xml:space="preserve"> la implantación y utilización de infraestructuras y servicios de telecomunicaciones en todo el mundo se ha materializado</w:t>
      </w:r>
      <w:r w:rsidRPr="003911A5">
        <w:t xml:space="preserve"> esencialmente </w:t>
      </w:r>
      <w:r w:rsidR="00EC1F64" w:rsidRPr="003911A5">
        <w:t>gracias a unos marcos políticos que apoyan la innovación continua, la competencia basada en el mercado y la inversión del sector privado, y no gracias a un tratado</w:t>
      </w:r>
      <w:r w:rsidR="00020E48" w:rsidRPr="003911A5">
        <w:t>;</w:t>
      </w:r>
      <w:r w:rsidR="00301F55" w:rsidRPr="003911A5">
        <w:t xml:space="preserve"> </w:t>
      </w:r>
      <w:r w:rsidR="00EC1F64" w:rsidRPr="003911A5">
        <w:t xml:space="preserve">y iii) hasta la fecha, </w:t>
      </w:r>
      <w:r w:rsidRPr="003911A5">
        <w:t xml:space="preserve">las </w:t>
      </w:r>
      <w:r w:rsidR="00EC1F64" w:rsidRPr="003911A5">
        <w:t>empresas no han experimentado ninguna dificultad práctica resulta</w:t>
      </w:r>
      <w:r w:rsidRPr="003911A5">
        <w:t>nte</w:t>
      </w:r>
      <w:r w:rsidR="00EC1F64" w:rsidRPr="003911A5">
        <w:t xml:space="preserve"> de la implementación del RTI de 2012</w:t>
      </w:r>
      <w:bookmarkStart w:id="29" w:name="lt_pId046"/>
      <w:bookmarkEnd w:id="28"/>
      <w:r w:rsidR="00EC1F64" w:rsidRPr="003911A5">
        <w:t xml:space="preserve">. </w:t>
      </w:r>
      <w:r w:rsidRPr="003911A5">
        <w:t>D</w:t>
      </w:r>
      <w:r w:rsidR="00EC1F64" w:rsidRPr="003911A5">
        <w:t>eseamos expresar nuestro sincero agradecimiento al Presidente y los Vicepresidentes regionales del GE-RTI por su excelente liderazgo en el desarrollo de las labores del Grupo</w:t>
      </w:r>
      <w:bookmarkEnd w:id="29"/>
      <w:r w:rsidR="00EC1F64" w:rsidRPr="003911A5">
        <w:t>.</w:t>
      </w:r>
    </w:p>
    <w:p w:rsidR="00301F55" w:rsidRPr="003911A5" w:rsidRDefault="00301F55" w:rsidP="008015EA">
      <w:pPr>
        <w:pStyle w:val="Heading2"/>
      </w:pPr>
      <w:r w:rsidRPr="003911A5">
        <w:t>4.4</w:t>
      </w:r>
      <w:r w:rsidRPr="003911A5">
        <w:tab/>
      </w:r>
      <w:bookmarkStart w:id="30" w:name="lt_pId048"/>
      <w:r w:rsidR="0098779F" w:rsidRPr="003911A5">
        <w:t xml:space="preserve">Contribución </w:t>
      </w:r>
      <w:hyperlink r:id="rId15" w:history="1">
        <w:r w:rsidRPr="003911A5">
          <w:rPr>
            <w:rStyle w:val="Hyperlink"/>
          </w:rPr>
          <w:t>EG-ITRs 4/8</w:t>
        </w:r>
      </w:hyperlink>
      <w:r w:rsidRPr="003911A5">
        <w:t xml:space="preserve"> </w:t>
      </w:r>
      <w:r w:rsidR="0098779F" w:rsidRPr="003911A5">
        <w:t>de</w:t>
      </w:r>
      <w:r w:rsidRPr="003911A5">
        <w:t xml:space="preserve"> </w:t>
      </w:r>
      <w:r w:rsidR="0098779F" w:rsidRPr="003911A5">
        <w:t>"Beltelecom" (República de Belarús), "M</w:t>
      </w:r>
      <w:r w:rsidR="00885B54" w:rsidRPr="003911A5">
        <w:t>egaFon" (Federación de Rusia),"Kazakhtelecom</w:t>
      </w:r>
      <w:r w:rsidR="0098779F" w:rsidRPr="003911A5">
        <w:t>"(República de Kazajstán), "Rostelecom"(Federación de Rusia), República de Azerbaiyán, República de Armenia, República de Belarús, República de Kazajstán, República Kirguisa, Federación de Rusia, República de Uzbekistán, República de Tayikistán –</w:t>
      </w:r>
      <w:r w:rsidRPr="003911A5">
        <w:t xml:space="preserve"> </w:t>
      </w:r>
      <w:bookmarkEnd w:id="30"/>
      <w:r w:rsidR="0098779F" w:rsidRPr="003911A5">
        <w:t>Aplicación del Reglamento Internacional de Telecomunicaciones y las recomendaciones pertinentes del Sector de Normalización de la UIT</w:t>
      </w:r>
    </w:p>
    <w:p w:rsidR="00301F55" w:rsidRPr="003911A5" w:rsidRDefault="007947BE" w:rsidP="00C20E06">
      <w:bookmarkStart w:id="31" w:name="lt_pId049"/>
      <w:r w:rsidRPr="003911A5">
        <w:t>Las Administraciones de los Estados miembros de la CRC</w:t>
      </w:r>
      <w:r w:rsidR="00D76460" w:rsidRPr="003911A5">
        <w:t>/CEI</w:t>
      </w:r>
      <w:r w:rsidRPr="003911A5">
        <w:t xml:space="preserve"> realizaron una encuesta </w:t>
      </w:r>
      <w:r w:rsidR="00C20E06" w:rsidRPr="003911A5">
        <w:t>entre</w:t>
      </w:r>
      <w:r w:rsidRPr="003911A5">
        <w:t xml:space="preserve"> operadores de telecomunicaciones en lo concerniente a la aplicación de las disposiciones y las normas del RTI y las Recomendaciones pertinentes del UIT-T</w:t>
      </w:r>
      <w:r w:rsidR="00301F55" w:rsidRPr="003911A5">
        <w:t>.</w:t>
      </w:r>
      <w:bookmarkEnd w:id="31"/>
      <w:r w:rsidR="00301F55" w:rsidRPr="003911A5">
        <w:t xml:space="preserve"> </w:t>
      </w:r>
      <w:bookmarkStart w:id="32" w:name="lt_pId050"/>
      <w:r w:rsidR="00301F55" w:rsidRPr="003911A5">
        <w:t>Result</w:t>
      </w:r>
      <w:r w:rsidR="00C20E06" w:rsidRPr="003911A5">
        <w:t>ado de la encuesta</w:t>
      </w:r>
      <w:r w:rsidR="00301F55" w:rsidRPr="003911A5">
        <w:t>:</w:t>
      </w:r>
      <w:bookmarkEnd w:id="32"/>
    </w:p>
    <w:p w:rsidR="00301F55" w:rsidRPr="003911A5" w:rsidRDefault="0051641F" w:rsidP="008015EA">
      <w:pPr>
        <w:pStyle w:val="enumlev1"/>
      </w:pPr>
      <w:bookmarkStart w:id="33" w:name="lt_pId051"/>
      <w:r w:rsidRPr="003911A5">
        <w:t>–</w:t>
      </w:r>
      <w:r w:rsidRPr="003911A5">
        <w:tab/>
        <w:t>Los operadores de telecomunicaciones de los países de la CRC/CEI, en sus relaciones con asociados extranjeros, aplican disposiciones específicas del RTI</w:t>
      </w:r>
      <w:r w:rsidR="00301F55" w:rsidRPr="003911A5">
        <w:t xml:space="preserve">, </w:t>
      </w:r>
      <w:r w:rsidRPr="003911A5">
        <w:t>ya sea mediante referencia explícita a puntos concretos del RTI, o de forma indirecta mediante la inclusión de esas disposiciones en acuerdos comerciales sin referencia al RTI</w:t>
      </w:r>
      <w:r w:rsidR="00301F55" w:rsidRPr="003911A5">
        <w:t xml:space="preserve">, </w:t>
      </w:r>
      <w:r w:rsidR="00C20E06" w:rsidRPr="003911A5">
        <w:t xml:space="preserve">incluso </w:t>
      </w:r>
      <w:r w:rsidRPr="003911A5">
        <w:t>si no existen tales disposiciones en la legislación nacional del país del operador de telecomunicaciones de que se trate</w:t>
      </w:r>
      <w:r w:rsidR="00301F55" w:rsidRPr="003911A5">
        <w:t>.</w:t>
      </w:r>
      <w:bookmarkEnd w:id="33"/>
    </w:p>
    <w:p w:rsidR="00301F55" w:rsidRPr="003911A5" w:rsidRDefault="004545F9" w:rsidP="00C20E06">
      <w:pPr>
        <w:pStyle w:val="enumlev1"/>
      </w:pPr>
      <w:bookmarkStart w:id="34" w:name="lt_pId052"/>
      <w:r w:rsidRPr="003911A5">
        <w:t>–</w:t>
      </w:r>
      <w:r w:rsidRPr="003911A5">
        <w:tab/>
      </w:r>
      <w:r w:rsidR="00C20E06" w:rsidRPr="003911A5">
        <w:t>Varios</w:t>
      </w:r>
      <w:r w:rsidRPr="003911A5">
        <w:t xml:space="preserve"> operadores señalaron una serie de cuestiones que podrían abarcarse en el RTI en el futuro, a tenor de tendencias recientes</w:t>
      </w:r>
      <w:bookmarkEnd w:id="34"/>
      <w:r w:rsidRPr="003911A5">
        <w:t>.</w:t>
      </w:r>
    </w:p>
    <w:p w:rsidR="00301F55" w:rsidRPr="003911A5" w:rsidRDefault="00C513BC" w:rsidP="00C20E06">
      <w:pPr>
        <w:pStyle w:val="enumlev1"/>
      </w:pPr>
      <w:bookmarkStart w:id="35" w:name="lt_pId054"/>
      <w:r w:rsidRPr="003911A5">
        <w:t>–</w:t>
      </w:r>
      <w:r w:rsidRPr="003911A5">
        <w:tab/>
        <w:t xml:space="preserve">Varios operadores pusieron de manifiesto la dificultad de determinar problemas y obstáculos con respecto a la aplicación de los RTI de 1988 y 2012 en relaciones con asociados internacionales que aplican distintas versiones del RTI, habida cuenta de la falta de tiempo suficiente para llevar a cabo una evaluación de prácticas </w:t>
      </w:r>
      <w:r w:rsidR="00C20E06" w:rsidRPr="003911A5">
        <w:t>de aplicación</w:t>
      </w:r>
      <w:r w:rsidRPr="003911A5">
        <w:t>. Sin embargo, dichos operadores señalaron que prevén posibles riesgos para el futuro, y subrayaron la necesidad de recopilar información a nivel mundial de forma periódica</w:t>
      </w:r>
      <w:r w:rsidR="00301F55" w:rsidRPr="003911A5">
        <w:t>.</w:t>
      </w:r>
      <w:bookmarkEnd w:id="35"/>
    </w:p>
    <w:p w:rsidR="00301F55" w:rsidRPr="003911A5" w:rsidRDefault="00C011ED" w:rsidP="00C20E06">
      <w:bookmarkStart w:id="36" w:name="lt_pId055"/>
      <w:r w:rsidRPr="003911A5">
        <w:t>Varias administraciones señalaron asimismo el surgimiento de problemas durante el periodo de aplicación provisional del RTI de 2012, y previeron posibles dificultades/controversias en la aplicación ininterrumpida de los RTI de 1988 y 2012</w:t>
      </w:r>
      <w:r w:rsidR="00301F55" w:rsidRPr="003911A5">
        <w:t>.</w:t>
      </w:r>
      <w:bookmarkEnd w:id="36"/>
    </w:p>
    <w:p w:rsidR="00301F55" w:rsidRPr="003911A5" w:rsidRDefault="00301F55" w:rsidP="008015EA">
      <w:pPr>
        <w:pStyle w:val="Heading2"/>
      </w:pPr>
      <w:r w:rsidRPr="003911A5">
        <w:t>4.5</w:t>
      </w:r>
      <w:r w:rsidRPr="003911A5">
        <w:tab/>
      </w:r>
      <w:bookmarkStart w:id="37" w:name="lt_pId057"/>
      <w:r w:rsidR="00DB4BC9" w:rsidRPr="003911A5">
        <w:fldChar w:fldCharType="begin"/>
      </w:r>
      <w:r w:rsidR="00C20E06" w:rsidRPr="003911A5">
        <w:instrText>HYPERLINK "https://www.itu.int/md/S18-CL-C-0092/es"</w:instrText>
      </w:r>
      <w:r w:rsidR="00DB4BC9" w:rsidRPr="003911A5">
        <w:fldChar w:fldCharType="separate"/>
      </w:r>
      <w:r w:rsidR="00C20E06" w:rsidRPr="003911A5">
        <w:rPr>
          <w:rStyle w:val="Hyperlink"/>
        </w:rPr>
        <w:t>Contribución a la reunión de 2018 del Consejo</w:t>
      </w:r>
      <w:r w:rsidR="00DB4BC9" w:rsidRPr="003911A5">
        <w:fldChar w:fldCharType="end"/>
      </w:r>
      <w:r w:rsidR="00C20E06" w:rsidRPr="003911A5">
        <w:t>,</w:t>
      </w:r>
      <w:r w:rsidRPr="003911A5">
        <w:t xml:space="preserve"> </w:t>
      </w:r>
      <w:r w:rsidR="00DB4BC9" w:rsidRPr="003911A5">
        <w:t>de</w:t>
      </w:r>
      <w:r w:rsidRPr="003911A5">
        <w:t xml:space="preserve"> </w:t>
      </w:r>
      <w:r w:rsidR="00DB4BC9" w:rsidRPr="003911A5">
        <w:t>la República Federativa del Brasil, Canadá, México, República del Paraguay y Estados Unidos</w:t>
      </w:r>
      <w:r w:rsidRPr="003911A5">
        <w:t xml:space="preserve"> </w:t>
      </w:r>
      <w:r w:rsidR="00DB4BC9" w:rsidRPr="003911A5">
        <w:t>–</w:t>
      </w:r>
      <w:r w:rsidRPr="003911A5">
        <w:t xml:space="preserve"> </w:t>
      </w:r>
      <w:bookmarkEnd w:id="37"/>
      <w:r w:rsidR="00DB4BC9" w:rsidRPr="003911A5">
        <w:t>Opiniones sobre la futura Conferencia Mundial de las Telecomunicaciones Internacionales</w:t>
      </w:r>
    </w:p>
    <w:p w:rsidR="00301F55" w:rsidRPr="003911A5" w:rsidRDefault="00C20E06" w:rsidP="005F5BDC">
      <w:bookmarkStart w:id="38" w:name="lt_pId058"/>
      <w:r w:rsidRPr="003911A5">
        <w:t>En la contribución se destaca la falta de consenso en los tres temas examinados por el GE-RTI: la aplicabilidad del RTI, análisis jurídico del RTI y posibles conflictos entre las versiones de 1988 y 2012 del RTI. Habida cuenta la falta de consenso, y partiendo de contribuc</w:t>
      </w:r>
      <w:r w:rsidR="005F5BDC" w:rsidRPr="003911A5">
        <w:t>iones específicas presentadas a</w:t>
      </w:r>
      <w:r w:rsidRPr="003911A5">
        <w:t xml:space="preserve">l GE-RTI, el </w:t>
      </w:r>
      <w:r w:rsidR="00AF7D15" w:rsidRPr="003911A5">
        <w:t xml:space="preserve">informe </w:t>
      </w:r>
      <w:r w:rsidRPr="003911A5">
        <w:t>del Grupo al Consejo debería incluir los costes (es decir, costes económicos y de oportunidad) y riesgos (p. ej. pérdida de reputación y prestigio de la UIT, desacuerdos y fracturas aún mayores entre los miembros, aprobación de una tercera versión diferente del RTI) que entraña la celebración de una CMTI para revisar el RTI en un futuro cercano</w:t>
      </w:r>
      <w:bookmarkStart w:id="39" w:name="lt_pId059"/>
      <w:bookmarkEnd w:id="38"/>
      <w:r w:rsidR="00301F55" w:rsidRPr="003911A5">
        <w:t>.</w:t>
      </w:r>
      <w:bookmarkEnd w:id="39"/>
    </w:p>
    <w:p w:rsidR="00301F55" w:rsidRPr="003911A5" w:rsidRDefault="00026EB1" w:rsidP="00C20E06">
      <w:pPr>
        <w:pStyle w:val="Heading1"/>
      </w:pPr>
      <w:r w:rsidRPr="003911A5">
        <w:lastRenderedPageBreak/>
        <w:t>5</w:t>
      </w:r>
      <w:r w:rsidR="00301F55" w:rsidRPr="003911A5">
        <w:tab/>
      </w:r>
      <w:r w:rsidR="00C20E06" w:rsidRPr="003911A5">
        <w:t>Debate sobre las contribuciones a la cuarta reunión</w:t>
      </w:r>
    </w:p>
    <w:p w:rsidR="00301F55" w:rsidRPr="003911A5" w:rsidRDefault="00C20E06" w:rsidP="006F355D">
      <w:pPr>
        <w:rPr>
          <w:rFonts w:cstheme="majorBidi"/>
        </w:rPr>
      </w:pPr>
      <w:bookmarkStart w:id="40" w:name="lt_pId062"/>
      <w:r w:rsidRPr="003911A5">
        <w:rPr>
          <w:rFonts w:cstheme="majorBidi"/>
        </w:rPr>
        <w:t>El Presidente propuso que</w:t>
      </w:r>
      <w:r w:rsidR="00C37FD8" w:rsidRPr="003911A5">
        <w:rPr>
          <w:rFonts w:cstheme="majorBidi"/>
        </w:rPr>
        <w:t>:</w:t>
      </w:r>
      <w:r w:rsidRPr="003911A5">
        <w:rPr>
          <w:rFonts w:cstheme="majorBidi"/>
        </w:rPr>
        <w:t xml:space="preserve"> a) las contribuciones que contienen enmiendas específicas del </w:t>
      </w:r>
      <w:r w:rsidR="00827898" w:rsidRPr="003911A5">
        <w:rPr>
          <w:rFonts w:cstheme="majorBidi"/>
        </w:rPr>
        <w:t xml:space="preserve">Informe Final </w:t>
      </w:r>
      <w:r w:rsidRPr="003911A5">
        <w:rPr>
          <w:rFonts w:cstheme="majorBidi"/>
        </w:rPr>
        <w:t xml:space="preserve">se debatan al examinar el documento </w:t>
      </w:r>
      <w:hyperlink r:id="rId16" w:history="1">
        <w:r w:rsidRPr="003911A5">
          <w:rPr>
            <w:rStyle w:val="Hyperlink"/>
            <w:rFonts w:cstheme="majorBidi"/>
          </w:rPr>
          <w:t>TD 1-GEN</w:t>
        </w:r>
      </w:hyperlink>
      <w:r w:rsidRPr="003911A5">
        <w:rPr>
          <w:rFonts w:cstheme="majorBidi"/>
        </w:rPr>
        <w:t xml:space="preserve"> en el que se compilan todas las enmiendas propuestas del proyecto 2.0 del </w:t>
      </w:r>
      <w:r w:rsidR="00486929" w:rsidRPr="003911A5">
        <w:rPr>
          <w:rFonts w:cstheme="majorBidi"/>
        </w:rPr>
        <w:t xml:space="preserve">Informe Final </w:t>
      </w:r>
      <w:r w:rsidRPr="003911A5">
        <w:rPr>
          <w:rFonts w:cstheme="majorBidi"/>
        </w:rPr>
        <w:t xml:space="preserve">(véase el punto 6 del </w:t>
      </w:r>
      <w:hyperlink r:id="rId17" w:history="1">
        <w:r w:rsidRPr="003911A5">
          <w:rPr>
            <w:rStyle w:val="Hyperlink"/>
            <w:rFonts w:cstheme="majorBidi"/>
          </w:rPr>
          <w:t>orden del día</w:t>
        </w:r>
        <w:r w:rsidRPr="003911A5">
          <w:rPr>
            <w:rStyle w:val="Hyperlink"/>
            <w:rFonts w:cstheme="majorBidi"/>
            <w:cs/>
          </w:rPr>
          <w:t>‎</w:t>
        </w:r>
      </w:hyperlink>
      <w:r w:rsidR="006F355D" w:rsidRPr="003911A5">
        <w:rPr>
          <w:rFonts w:cstheme="majorBidi"/>
        </w:rPr>
        <w:t xml:space="preserve"> de la reunión);</w:t>
      </w:r>
      <w:r w:rsidRPr="003911A5">
        <w:rPr>
          <w:rFonts w:cstheme="majorBidi"/>
        </w:rPr>
        <w:t xml:space="preserve"> b)</w:t>
      </w:r>
      <w:r w:rsidR="006F355D" w:rsidRPr="003911A5">
        <w:rPr>
          <w:rFonts w:cstheme="majorBidi"/>
        </w:rPr>
        <w:t> </w:t>
      </w:r>
      <w:r w:rsidRPr="003911A5">
        <w:rPr>
          <w:rFonts w:cstheme="majorBidi"/>
        </w:rPr>
        <w:t>todas las demás contribuciones a la reunión se debatan individualmente conforme al orden indicado en el orden del día. Los debates sobre el apartado b) se indican a continuación</w:t>
      </w:r>
      <w:bookmarkStart w:id="41" w:name="lt_pId063"/>
      <w:bookmarkEnd w:id="40"/>
      <w:r w:rsidR="00301F55" w:rsidRPr="003911A5">
        <w:rPr>
          <w:rFonts w:cstheme="majorBidi"/>
        </w:rPr>
        <w:t>:</w:t>
      </w:r>
      <w:bookmarkEnd w:id="41"/>
    </w:p>
    <w:p w:rsidR="00301F55" w:rsidRPr="003911A5" w:rsidRDefault="00301F55" w:rsidP="00C20E06">
      <w:pPr>
        <w:pStyle w:val="Heading2"/>
      </w:pPr>
      <w:r w:rsidRPr="003911A5">
        <w:t>5.1</w:t>
      </w:r>
      <w:r w:rsidRPr="003911A5">
        <w:tab/>
      </w:r>
      <w:bookmarkStart w:id="42" w:name="lt_pId065"/>
      <w:r w:rsidR="00C20E06" w:rsidRPr="003911A5">
        <w:t>Debate sobre la</w:t>
      </w:r>
      <w:r w:rsidRPr="003911A5">
        <w:t xml:space="preserve"> </w:t>
      </w:r>
      <w:r w:rsidR="00660060" w:rsidRPr="003911A5">
        <w:t xml:space="preserve">Contribución </w:t>
      </w:r>
      <w:hyperlink r:id="rId18" w:history="1">
        <w:r w:rsidRPr="003911A5">
          <w:rPr>
            <w:rStyle w:val="Hyperlink"/>
          </w:rPr>
          <w:t>EG-ITRs 4/6</w:t>
        </w:r>
      </w:hyperlink>
      <w:r w:rsidRPr="003911A5">
        <w:t xml:space="preserve"> </w:t>
      </w:r>
      <w:r w:rsidR="00A73A16" w:rsidRPr="003911A5">
        <w:t>de</w:t>
      </w:r>
      <w:r w:rsidRPr="003911A5">
        <w:t xml:space="preserve"> </w:t>
      </w:r>
      <w:r w:rsidR="00A73A16" w:rsidRPr="003911A5">
        <w:t>la Federación de Rusia –</w:t>
      </w:r>
      <w:r w:rsidRPr="003911A5">
        <w:t xml:space="preserve"> </w:t>
      </w:r>
      <w:bookmarkEnd w:id="42"/>
      <w:r w:rsidR="00D33998" w:rsidRPr="003911A5">
        <w:t xml:space="preserve">Propuestas para la clarificación del </w:t>
      </w:r>
      <w:r w:rsidR="00A73A16" w:rsidRPr="003911A5">
        <w:t xml:space="preserve">RTI </w:t>
      </w:r>
      <w:r w:rsidR="00D33998" w:rsidRPr="003911A5">
        <w:t xml:space="preserve">publicado </w:t>
      </w:r>
      <w:r w:rsidR="00A73A16" w:rsidRPr="003911A5">
        <w:t>(</w:t>
      </w:r>
      <w:r w:rsidR="00D33998" w:rsidRPr="003911A5">
        <w:t xml:space="preserve">versión </w:t>
      </w:r>
      <w:r w:rsidR="00A73A16" w:rsidRPr="003911A5">
        <w:t xml:space="preserve">2012) </w:t>
      </w:r>
      <w:r w:rsidR="00D33998" w:rsidRPr="003911A5">
        <w:t>para su aplicación por los Estados Miembros y los operadores de telecomunicaciones</w:t>
      </w:r>
    </w:p>
    <w:p w:rsidR="00301F55" w:rsidRPr="003911A5" w:rsidRDefault="0098359F" w:rsidP="00772D5D">
      <w:pPr>
        <w:pStyle w:val="enumlev1"/>
      </w:pPr>
      <w:bookmarkStart w:id="43" w:name="lt_pId066"/>
      <w:r w:rsidRPr="003911A5">
        <w:t>•</w:t>
      </w:r>
      <w:r w:rsidRPr="003911A5">
        <w:tab/>
      </w:r>
      <w:r w:rsidR="00C20E06" w:rsidRPr="003911A5">
        <w:t>Se invitó al Asesor Jurídico de la UIT a dar aclaraciones sobre las cuestiones planteadas en la contribución. Confirmó que las Actas Finales de abril de 2013 son la versión oficial del RTI de 2012 y que debe utilizarse la numeración de la versión oficial</w:t>
      </w:r>
      <w:bookmarkStart w:id="44" w:name="lt_pId067"/>
      <w:bookmarkEnd w:id="43"/>
      <w:r w:rsidR="00301F55" w:rsidRPr="003911A5">
        <w:t>.</w:t>
      </w:r>
      <w:bookmarkEnd w:id="44"/>
    </w:p>
    <w:p w:rsidR="00301F55" w:rsidRPr="003911A5" w:rsidRDefault="0098359F" w:rsidP="00C20E06">
      <w:pPr>
        <w:pStyle w:val="enumlev1"/>
      </w:pPr>
      <w:bookmarkStart w:id="45" w:name="lt_pId068"/>
      <w:r w:rsidRPr="003911A5">
        <w:t>•</w:t>
      </w:r>
      <w:r w:rsidRPr="003911A5">
        <w:tab/>
      </w:r>
      <w:r w:rsidR="00C20E06" w:rsidRPr="003911A5">
        <w:t>En lo que respecta al acceso a la versión electrónica de las Actas Finales, el Asesor Jurídico confirmó que es público y gratuito. Aclaró además que, para fines estadísticos, se pide a los lectores que faciliten información general en un formulario en línea antes de descargar el documento electrónico</w:t>
      </w:r>
      <w:bookmarkStart w:id="46" w:name="lt_pId069"/>
      <w:bookmarkEnd w:id="45"/>
      <w:r w:rsidR="00301F55" w:rsidRPr="003911A5">
        <w:t>.</w:t>
      </w:r>
      <w:bookmarkEnd w:id="46"/>
    </w:p>
    <w:p w:rsidR="00301F55" w:rsidRPr="003911A5" w:rsidRDefault="0098359F" w:rsidP="005E0921">
      <w:pPr>
        <w:pStyle w:val="enumlev1"/>
      </w:pPr>
      <w:bookmarkStart w:id="47" w:name="lt_pId070"/>
      <w:r w:rsidRPr="003911A5">
        <w:t>•</w:t>
      </w:r>
      <w:r w:rsidRPr="003911A5">
        <w:tab/>
      </w:r>
      <w:r w:rsidR="00C20E06" w:rsidRPr="003911A5">
        <w:t xml:space="preserve">El proponente dio las gracias al Asesor Jurídico y propuso que la Secretaría de la UIT actualizase el sitio web para dejar claro que la versión oficial de las Actas Finales </w:t>
      </w:r>
      <w:r w:rsidR="0039370C" w:rsidRPr="003911A5">
        <w:t xml:space="preserve">es la </w:t>
      </w:r>
      <w:r w:rsidR="00C20E06" w:rsidRPr="003911A5">
        <w:t xml:space="preserve">de abril de </w:t>
      </w:r>
      <w:r w:rsidR="001A4C6A" w:rsidRPr="003911A5">
        <w:t>20</w:t>
      </w:r>
      <w:r w:rsidR="005E0921" w:rsidRPr="003911A5">
        <w:t>1</w:t>
      </w:r>
      <w:r w:rsidR="001A4C6A" w:rsidRPr="003911A5">
        <w:t>3</w:t>
      </w:r>
      <w:r w:rsidR="00AD46A9" w:rsidRPr="003911A5">
        <w:t>.</w:t>
      </w:r>
      <w:r w:rsidR="001A4C6A" w:rsidRPr="003911A5">
        <w:t xml:space="preserve"> El</w:t>
      </w:r>
      <w:r w:rsidR="00772D5D" w:rsidRPr="003911A5">
        <w:t xml:space="preserve"> Presidente pidió ayuda a la Secretaría de la UIT para estudiar el asunto</w:t>
      </w:r>
      <w:bookmarkStart w:id="48" w:name="lt_pId071"/>
      <w:bookmarkEnd w:id="47"/>
      <w:r w:rsidR="00301F55" w:rsidRPr="003911A5">
        <w:t>.</w:t>
      </w:r>
      <w:bookmarkEnd w:id="48"/>
    </w:p>
    <w:p w:rsidR="00301F55" w:rsidRPr="003911A5" w:rsidRDefault="00301F55" w:rsidP="008015EA">
      <w:pPr>
        <w:pStyle w:val="Heading2"/>
      </w:pPr>
      <w:r w:rsidRPr="003911A5">
        <w:t>5.2</w:t>
      </w:r>
      <w:r w:rsidRPr="003911A5">
        <w:tab/>
      </w:r>
      <w:r w:rsidR="00772D5D" w:rsidRPr="003911A5">
        <w:t xml:space="preserve">Debate sobre la </w:t>
      </w:r>
      <w:r w:rsidR="00165327" w:rsidRPr="003911A5">
        <w:t>Contribución</w:t>
      </w:r>
      <w:r w:rsidR="00772D5D" w:rsidRPr="003911A5">
        <w:rPr>
          <w:cs/>
        </w:rPr>
        <w:t>‎</w:t>
      </w:r>
      <w:r w:rsidR="00C81A19" w:rsidRPr="003911A5">
        <w:t xml:space="preserve"> </w:t>
      </w:r>
      <w:hyperlink r:id="rId19" w:history="1">
        <w:r w:rsidR="00C81A19" w:rsidRPr="003911A5">
          <w:rPr>
            <w:rStyle w:val="Hyperlink"/>
          </w:rPr>
          <w:t>EG-ITRs 4/2</w:t>
        </w:r>
      </w:hyperlink>
      <w:r w:rsidR="00C81A19" w:rsidRPr="003911A5">
        <w:t xml:space="preserve"> de Côte d'Ivoire – Comentarios de la </w:t>
      </w:r>
      <w:r w:rsidR="00065841" w:rsidRPr="003911A5">
        <w:t xml:space="preserve">región </w:t>
      </w:r>
      <w:r w:rsidR="00C81A19" w:rsidRPr="003911A5">
        <w:t>de África sobre el proyecto de informe 2.0</w:t>
      </w:r>
    </w:p>
    <w:p w:rsidR="00301F55" w:rsidRPr="003911A5" w:rsidRDefault="000A7055" w:rsidP="00772D5D">
      <w:pPr>
        <w:pStyle w:val="enumlev1"/>
      </w:pPr>
      <w:bookmarkStart w:id="49" w:name="lt_pId074"/>
      <w:r w:rsidRPr="003911A5">
        <w:t>•</w:t>
      </w:r>
      <w:r w:rsidRPr="003911A5">
        <w:tab/>
      </w:r>
      <w:r w:rsidR="00772D5D" w:rsidRPr="003911A5">
        <w:t>Varios miembros confirmaron que, por el momento, no están reunidas las condiciones para organizar una nueva CMTI</w:t>
      </w:r>
      <w:r w:rsidR="00301F55" w:rsidRPr="003911A5">
        <w:t>.</w:t>
      </w:r>
      <w:bookmarkEnd w:id="49"/>
    </w:p>
    <w:p w:rsidR="00301F55" w:rsidRPr="003911A5" w:rsidRDefault="000A7055" w:rsidP="00772D5D">
      <w:pPr>
        <w:pStyle w:val="enumlev1"/>
      </w:pPr>
      <w:bookmarkStart w:id="50" w:name="lt_pId075"/>
      <w:r w:rsidRPr="003911A5">
        <w:t>•</w:t>
      </w:r>
      <w:r w:rsidRPr="003911A5">
        <w:tab/>
      </w:r>
      <w:r w:rsidR="00772D5D" w:rsidRPr="003911A5">
        <w:t>Algunos miembros se declararon partidarios de continuar los trabajos del Grupo de Expertos con un mandato revisado, lo cual permitiría continuar los debates sobre cuestiones controvertidas en lo que respecta a la aplicación del RTI</w:t>
      </w:r>
      <w:r w:rsidR="00301F55" w:rsidRPr="003911A5">
        <w:t>.</w:t>
      </w:r>
      <w:bookmarkEnd w:id="50"/>
    </w:p>
    <w:p w:rsidR="00301F55" w:rsidRPr="003911A5" w:rsidRDefault="000A7055" w:rsidP="00772D5D">
      <w:pPr>
        <w:pStyle w:val="enumlev1"/>
      </w:pPr>
      <w:bookmarkStart w:id="51" w:name="lt_pId076"/>
      <w:r w:rsidRPr="003911A5">
        <w:t>•</w:t>
      </w:r>
      <w:r w:rsidRPr="003911A5">
        <w:tab/>
      </w:r>
      <w:r w:rsidR="00772D5D" w:rsidRPr="003911A5">
        <w:t>Esos miembros apoyan el examen/revisión periódicos del RTI, habida cuenta de la tendencia actual del mercado de las telecomunicaciones/TIC a introducir nuevas tecnologías</w:t>
      </w:r>
      <w:r w:rsidR="00301F55" w:rsidRPr="003911A5">
        <w:t>.</w:t>
      </w:r>
      <w:bookmarkEnd w:id="51"/>
    </w:p>
    <w:p w:rsidR="00301F55" w:rsidRPr="003911A5" w:rsidRDefault="000A7055" w:rsidP="00772D5D">
      <w:pPr>
        <w:pStyle w:val="enumlev1"/>
      </w:pPr>
      <w:bookmarkStart w:id="52" w:name="lt_pId077"/>
      <w:r w:rsidRPr="003911A5">
        <w:t>•</w:t>
      </w:r>
      <w:r w:rsidRPr="003911A5">
        <w:tab/>
      </w:r>
      <w:r w:rsidR="00772D5D" w:rsidRPr="003911A5">
        <w:t>Otros miembros destacaron la actual falta de consenso sobre una posible revisión del RTI y se opusieron a que continuaran los trabajos del Grupo</w:t>
      </w:r>
      <w:r w:rsidR="00301F55" w:rsidRPr="003911A5">
        <w:t>.</w:t>
      </w:r>
      <w:bookmarkEnd w:id="52"/>
    </w:p>
    <w:p w:rsidR="00301F55" w:rsidRPr="003911A5" w:rsidRDefault="000A7055" w:rsidP="00772D5D">
      <w:pPr>
        <w:pStyle w:val="enumlev1"/>
      </w:pPr>
      <w:bookmarkStart w:id="53" w:name="lt_pId078"/>
      <w:r w:rsidRPr="003911A5">
        <w:t>•</w:t>
      </w:r>
      <w:r w:rsidRPr="003911A5">
        <w:tab/>
      </w:r>
      <w:r w:rsidR="00772D5D" w:rsidRPr="003911A5">
        <w:t>Esos miembros se remitieron además a comentarios anteriores en el sentido de que no se habían encontrado conflictos entre ambas versiones del RTI</w:t>
      </w:r>
      <w:r w:rsidR="00301F55" w:rsidRPr="003911A5">
        <w:t>.</w:t>
      </w:r>
      <w:bookmarkEnd w:id="53"/>
    </w:p>
    <w:p w:rsidR="00301F55" w:rsidRPr="003911A5" w:rsidRDefault="000A7055" w:rsidP="00367EEF">
      <w:pPr>
        <w:pStyle w:val="enumlev1"/>
      </w:pPr>
      <w:bookmarkStart w:id="54" w:name="lt_pId079"/>
      <w:r w:rsidRPr="003911A5">
        <w:t>•</w:t>
      </w:r>
      <w:r w:rsidRPr="003911A5">
        <w:tab/>
      </w:r>
      <w:r w:rsidR="00367EEF" w:rsidRPr="003911A5">
        <w:t>El Grupo entiende que las cuestiones planteadas en esta contribución también podían ser tratadas, en su caso, por el Consejo o la Conferencia de Plenipotenciarios</w:t>
      </w:r>
      <w:r w:rsidR="00301F55" w:rsidRPr="003911A5">
        <w:t>.</w:t>
      </w:r>
      <w:bookmarkEnd w:id="54"/>
    </w:p>
    <w:p w:rsidR="00301F55" w:rsidRPr="003911A5" w:rsidRDefault="00F63BAF" w:rsidP="008015EA">
      <w:pPr>
        <w:pStyle w:val="Heading2"/>
      </w:pPr>
      <w:r w:rsidRPr="003911A5">
        <w:t>5.3</w:t>
      </w:r>
      <w:r w:rsidRPr="003911A5">
        <w:tab/>
      </w:r>
      <w:r w:rsidR="00772D5D" w:rsidRPr="003911A5">
        <w:t xml:space="preserve">Debate sobre la </w:t>
      </w:r>
      <w:r w:rsidR="00165327" w:rsidRPr="003911A5">
        <w:t>Contribución</w:t>
      </w:r>
      <w:r w:rsidR="00772D5D" w:rsidRPr="003911A5">
        <w:rPr>
          <w:cs/>
        </w:rPr>
        <w:t>‎</w:t>
      </w:r>
      <w:r w:rsidR="00CC48E2" w:rsidRPr="003911A5">
        <w:t xml:space="preserve"> </w:t>
      </w:r>
      <w:hyperlink r:id="rId20" w:history="1">
        <w:r w:rsidR="00CC48E2" w:rsidRPr="003911A5">
          <w:rPr>
            <w:rStyle w:val="Hyperlink"/>
          </w:rPr>
          <w:t>EG-ITRs 4/7</w:t>
        </w:r>
      </w:hyperlink>
      <w:r w:rsidR="00CC48E2" w:rsidRPr="003911A5">
        <w:t xml:space="preserve"> de Bell Mobility (Canadá); KDDI, NTT DOCOMO Inc. (Japón); BT (Reino Unido); AT&amp;T, Verizon (Estados Unidos de América) – Revisión del Reglamento de las Telecomunicaciones Internacionales de 2012</w:t>
      </w:r>
    </w:p>
    <w:p w:rsidR="00301F55" w:rsidRPr="003911A5" w:rsidRDefault="00DA516E" w:rsidP="00367EEF">
      <w:pPr>
        <w:pStyle w:val="enumlev1"/>
      </w:pPr>
      <w:bookmarkStart w:id="55" w:name="lt_pId083"/>
      <w:r w:rsidRPr="003911A5">
        <w:t>•</w:t>
      </w:r>
      <w:r w:rsidRPr="003911A5">
        <w:tab/>
      </w:r>
      <w:r w:rsidR="00367EEF" w:rsidRPr="003911A5">
        <w:t xml:space="preserve">Algunos miembros apoyaron la contribución y reiteraron que si bien los operadores siguen </w:t>
      </w:r>
      <w:r w:rsidR="001A4C6A" w:rsidRPr="003911A5">
        <w:t>ateniéndose</w:t>
      </w:r>
      <w:r w:rsidR="00367EEF" w:rsidRPr="003911A5">
        <w:t xml:space="preserve"> a determinados marcos normativos, el RTI no es pertinente en el caso de acuerdos negociados comercialmente</w:t>
      </w:r>
      <w:r w:rsidR="00301F55" w:rsidRPr="003911A5">
        <w:t>.</w:t>
      </w:r>
      <w:bookmarkEnd w:id="55"/>
    </w:p>
    <w:p w:rsidR="00301F55" w:rsidRPr="003911A5" w:rsidRDefault="00DA516E" w:rsidP="00367EEF">
      <w:pPr>
        <w:pStyle w:val="enumlev1"/>
      </w:pPr>
      <w:bookmarkStart w:id="56" w:name="lt_pId084"/>
      <w:r w:rsidRPr="003911A5">
        <w:lastRenderedPageBreak/>
        <w:t>•</w:t>
      </w:r>
      <w:r w:rsidRPr="003911A5">
        <w:tab/>
      </w:r>
      <w:r w:rsidR="00367EEF" w:rsidRPr="003911A5">
        <w:t>Otros miembros opinaron que el RTI es aplicable aun cuando no se mencione explícitamente en los acuerdos pertinentes y que, incluso en caso de acuerdos negociados comercialmente, se aplica conforme al Artículo 9 del RTI de 1988</w:t>
      </w:r>
      <w:r w:rsidR="00301F55" w:rsidRPr="003911A5">
        <w:t>.</w:t>
      </w:r>
      <w:bookmarkEnd w:id="56"/>
    </w:p>
    <w:p w:rsidR="00301F55" w:rsidRPr="003911A5" w:rsidRDefault="00301F55" w:rsidP="00367EEF">
      <w:pPr>
        <w:pStyle w:val="Heading2"/>
      </w:pPr>
      <w:r w:rsidRPr="003911A5">
        <w:t>5.4</w:t>
      </w:r>
      <w:r w:rsidRPr="003911A5">
        <w:tab/>
      </w:r>
      <w:r w:rsidR="00772D5D" w:rsidRPr="003911A5">
        <w:t xml:space="preserve">Debate sobre la </w:t>
      </w:r>
      <w:r w:rsidR="000A0B96" w:rsidRPr="003911A5">
        <w:t>Contribución</w:t>
      </w:r>
      <w:r w:rsidR="00772D5D" w:rsidRPr="003911A5">
        <w:rPr>
          <w:cs/>
        </w:rPr>
        <w:t>‎</w:t>
      </w:r>
      <w:r w:rsidR="005D7DD0" w:rsidRPr="003911A5">
        <w:t xml:space="preserve"> </w:t>
      </w:r>
      <w:hyperlink r:id="rId21" w:history="1">
        <w:r w:rsidR="005D7DD0" w:rsidRPr="003911A5">
          <w:rPr>
            <w:rStyle w:val="Hyperlink"/>
          </w:rPr>
          <w:t>EG-ITRs 4/8</w:t>
        </w:r>
      </w:hyperlink>
      <w:r w:rsidR="005D7DD0" w:rsidRPr="003911A5">
        <w:t xml:space="preserve"> de "Beltelecom" (República de Belarús), "M</w:t>
      </w:r>
      <w:r w:rsidR="00E1666F" w:rsidRPr="003911A5">
        <w:t>egaFon" (Federación de Rusia),"Kazakhtelecom</w:t>
      </w:r>
      <w:r w:rsidR="005D7DD0" w:rsidRPr="003911A5">
        <w:t>"(República de Kazajstán), "Rostelecom"(Federación de Rusia), República de Azerbaiyán, República de Armenia, República de Belarús, República de Kazajstán, República Kirguisa, Federación de Rusia, República de Uzbekistán, República de Tayikistán – Aplicación del Reglamento</w:t>
      </w:r>
      <w:r w:rsidR="00367EEF" w:rsidRPr="003911A5">
        <w:t xml:space="preserve"> de las Telecomunicaciones</w:t>
      </w:r>
      <w:r w:rsidR="005D7DD0" w:rsidRPr="003911A5">
        <w:t xml:space="preserve"> Internacional</w:t>
      </w:r>
      <w:r w:rsidR="00367EEF" w:rsidRPr="003911A5">
        <w:t>es</w:t>
      </w:r>
      <w:r w:rsidR="005D7DD0" w:rsidRPr="003911A5">
        <w:t xml:space="preserve"> y las recomendaciones pertinentes del Sector de Normalización de la UIT</w:t>
      </w:r>
    </w:p>
    <w:p w:rsidR="00301F55" w:rsidRPr="003911A5" w:rsidRDefault="00EF4931" w:rsidP="00367EEF">
      <w:pPr>
        <w:pStyle w:val="enumlev1"/>
      </w:pPr>
      <w:bookmarkStart w:id="57" w:name="lt_pId087"/>
      <w:r w:rsidRPr="003911A5">
        <w:t>•</w:t>
      </w:r>
      <w:r w:rsidRPr="003911A5">
        <w:tab/>
      </w:r>
      <w:r w:rsidR="00367EEF" w:rsidRPr="003911A5">
        <w:t xml:space="preserve">Varios miembros opinaron que las propuestas de adiciones al </w:t>
      </w:r>
      <w:r w:rsidR="00B27D4A" w:rsidRPr="003911A5">
        <w:t xml:space="preserve">Informe Final </w:t>
      </w:r>
      <w:r w:rsidR="00367EEF" w:rsidRPr="003911A5">
        <w:t xml:space="preserve">del GE-RTI ya figuraban en diversas partes del </w:t>
      </w:r>
      <w:r w:rsidR="00B27D4A" w:rsidRPr="003911A5">
        <w:t>Informe</w:t>
      </w:r>
      <w:r w:rsidR="00367EEF" w:rsidRPr="003911A5">
        <w:t>. Un miembro declaró que en la encuesta presentada por los proponentes no se identifican dificultades concretas con respecto a la aplicación del RTI</w:t>
      </w:r>
      <w:bookmarkStart w:id="58" w:name="lt_pId088"/>
      <w:bookmarkEnd w:id="57"/>
      <w:r w:rsidR="00301F55" w:rsidRPr="003911A5">
        <w:t>.</w:t>
      </w:r>
      <w:bookmarkEnd w:id="58"/>
    </w:p>
    <w:p w:rsidR="00301F55" w:rsidRPr="003911A5" w:rsidRDefault="00EF4931" w:rsidP="00367EEF">
      <w:pPr>
        <w:pStyle w:val="enumlev1"/>
      </w:pPr>
      <w:bookmarkStart w:id="59" w:name="lt_pId089"/>
      <w:r w:rsidRPr="003911A5">
        <w:t>•</w:t>
      </w:r>
      <w:r w:rsidRPr="003911A5">
        <w:tab/>
      </w:r>
      <w:r w:rsidR="00367EEF" w:rsidRPr="003911A5">
        <w:t xml:space="preserve">Varios otros miembros consideraron que algunos de los puntos presentados no constaban en el proyecto de informe final y propusieron que los contribuyentes volvieran a proponer un texto conciso para añadirlo al </w:t>
      </w:r>
      <w:r w:rsidR="00B27D4A" w:rsidRPr="003911A5">
        <w:t>Informe Final</w:t>
      </w:r>
      <w:r w:rsidR="00301F55" w:rsidRPr="003911A5">
        <w:t>.</w:t>
      </w:r>
      <w:bookmarkEnd w:id="59"/>
    </w:p>
    <w:p w:rsidR="00301F55" w:rsidRPr="003911A5" w:rsidRDefault="00EF4931" w:rsidP="00367EEF">
      <w:pPr>
        <w:pStyle w:val="enumlev1"/>
      </w:pPr>
      <w:bookmarkStart w:id="60" w:name="lt_pId090"/>
      <w:r w:rsidRPr="003911A5">
        <w:t>•</w:t>
      </w:r>
      <w:r w:rsidRPr="003911A5">
        <w:tab/>
      </w:r>
      <w:r w:rsidR="00367EEF" w:rsidRPr="003911A5">
        <w:t xml:space="preserve">El Presidente propuso aplazar el debate al punto 6 del orden del día sobre el proyecto de </w:t>
      </w:r>
      <w:r w:rsidR="00B27D4A" w:rsidRPr="003911A5">
        <w:t>Informe Final</w:t>
      </w:r>
      <w:r w:rsidR="00301F55" w:rsidRPr="003911A5">
        <w:t>.</w:t>
      </w:r>
      <w:bookmarkEnd w:id="60"/>
    </w:p>
    <w:p w:rsidR="00301F55" w:rsidRPr="003911A5" w:rsidRDefault="00301F55" w:rsidP="00367EEF">
      <w:pPr>
        <w:pStyle w:val="Heading2"/>
      </w:pPr>
      <w:r w:rsidRPr="003911A5">
        <w:t>5.5</w:t>
      </w:r>
      <w:r w:rsidRPr="003911A5">
        <w:tab/>
      </w:r>
      <w:bookmarkStart w:id="61" w:name="lt_pId092"/>
      <w:r w:rsidR="00367EEF" w:rsidRPr="003911A5">
        <w:t>Debate sobre la</w:t>
      </w:r>
      <w:r w:rsidRPr="003911A5">
        <w:t xml:space="preserve"> </w:t>
      </w:r>
      <w:bookmarkEnd w:id="61"/>
      <w:r w:rsidR="001C7691" w:rsidRPr="003911A5">
        <w:fldChar w:fldCharType="begin"/>
      </w:r>
      <w:r w:rsidR="00367EEF" w:rsidRPr="003911A5">
        <w:instrText>HYPERLINK "https://www.itu.int/md/S18-CL-C-0092/es"</w:instrText>
      </w:r>
      <w:r w:rsidR="001C7691" w:rsidRPr="003911A5">
        <w:fldChar w:fldCharType="separate"/>
      </w:r>
      <w:r w:rsidR="00367EEF" w:rsidRPr="003911A5">
        <w:rPr>
          <w:rStyle w:val="Hyperlink"/>
        </w:rPr>
        <w:t>Contribución a la reunión de 2018 del Consejo</w:t>
      </w:r>
      <w:r w:rsidR="001C7691" w:rsidRPr="003911A5">
        <w:fldChar w:fldCharType="end"/>
      </w:r>
      <w:r w:rsidR="00367EEF" w:rsidRPr="003911A5">
        <w:t>,</w:t>
      </w:r>
      <w:r w:rsidR="001C7691" w:rsidRPr="003911A5">
        <w:t xml:space="preserve"> de la República Federativa del Brasil, Canadá, México, República del Paraguay y Estados Unidos – Opiniones sobre la futura Conferencia Mundial de las Telecomunicaciones Internacionales</w:t>
      </w:r>
    </w:p>
    <w:p w:rsidR="00301F55" w:rsidRPr="003911A5" w:rsidRDefault="004C09BD" w:rsidP="00367EEF">
      <w:pPr>
        <w:pStyle w:val="enumlev1"/>
      </w:pPr>
      <w:bookmarkStart w:id="62" w:name="lt_pId093"/>
      <w:r w:rsidRPr="003911A5">
        <w:t>•</w:t>
      </w:r>
      <w:r w:rsidRPr="003911A5">
        <w:tab/>
      </w:r>
      <w:r w:rsidR="00367EEF" w:rsidRPr="003911A5">
        <w:t xml:space="preserve">La </w:t>
      </w:r>
      <w:r w:rsidR="004F3513" w:rsidRPr="003911A5">
        <w:t xml:space="preserve">Contribución </w:t>
      </w:r>
      <w:r w:rsidR="00367EEF" w:rsidRPr="003911A5">
        <w:t>fue presentada para información del Grupo. Éste acordó que el debate sobre el fondo del documento tendrá lugar en la próxima reunión del Consejo en 2018</w:t>
      </w:r>
      <w:bookmarkStart w:id="63" w:name="lt_pId094"/>
      <w:bookmarkEnd w:id="62"/>
      <w:r w:rsidR="00301F55" w:rsidRPr="003911A5">
        <w:t>.</w:t>
      </w:r>
      <w:bookmarkEnd w:id="63"/>
    </w:p>
    <w:p w:rsidR="00301F55" w:rsidRPr="003911A5" w:rsidRDefault="00301F55" w:rsidP="008015EA">
      <w:pPr>
        <w:pStyle w:val="Heading1"/>
        <w:rPr>
          <w:bCs/>
        </w:rPr>
      </w:pPr>
      <w:r w:rsidRPr="003911A5">
        <w:rPr>
          <w:bCs/>
        </w:rPr>
        <w:t>6</w:t>
      </w:r>
      <w:r w:rsidRPr="003911A5">
        <w:rPr>
          <w:bCs/>
        </w:rPr>
        <w:tab/>
      </w:r>
      <w:r w:rsidR="00547FA6" w:rsidRPr="003911A5">
        <w:t>Debate sobre el proyecto de Informe Final del GE-RTI</w:t>
      </w:r>
    </w:p>
    <w:p w:rsidR="00301F55" w:rsidRPr="003911A5" w:rsidRDefault="007E678C" w:rsidP="00367EEF">
      <w:pPr>
        <w:pStyle w:val="enumlev1"/>
      </w:pPr>
      <w:bookmarkStart w:id="64" w:name="lt_pId097"/>
      <w:r w:rsidRPr="003911A5">
        <w:t>•</w:t>
      </w:r>
      <w:r w:rsidRPr="003911A5">
        <w:tab/>
        <w:t xml:space="preserve">Se presentó al Grupo un </w:t>
      </w:r>
      <w:r w:rsidR="00710C51" w:rsidRPr="003911A5">
        <w:t xml:space="preserve">documento </w:t>
      </w:r>
      <w:r w:rsidRPr="003911A5">
        <w:t xml:space="preserve">recopilatorio que contiene ediciones, comentarios y nuevas propuestas de texto presentadas por los </w:t>
      </w:r>
      <w:r w:rsidR="005A28EF" w:rsidRPr="003911A5">
        <w:t xml:space="preserve">miembros </w:t>
      </w:r>
      <w:r w:rsidRPr="003911A5">
        <w:t>en relación con el proyecto 2.0 del Informe Final del Grupo de Expertos a</w:t>
      </w:r>
      <w:r w:rsidR="00367EEF" w:rsidRPr="003911A5">
        <w:t xml:space="preserve"> </w:t>
      </w:r>
      <w:r w:rsidRPr="003911A5">
        <w:t>l</w:t>
      </w:r>
      <w:r w:rsidR="00367EEF" w:rsidRPr="003911A5">
        <w:t>a reunión de 2018 del</w:t>
      </w:r>
      <w:r w:rsidRPr="003911A5">
        <w:t xml:space="preserve"> Consejo.</w:t>
      </w:r>
      <w:bookmarkEnd w:id="64"/>
    </w:p>
    <w:p w:rsidR="00301F55" w:rsidRPr="003911A5" w:rsidRDefault="007E678C" w:rsidP="00A85CBE">
      <w:pPr>
        <w:pStyle w:val="enumlev1"/>
      </w:pPr>
      <w:bookmarkStart w:id="65" w:name="lt_pId100"/>
      <w:r w:rsidRPr="003911A5">
        <w:t>•</w:t>
      </w:r>
      <w:r w:rsidRPr="003911A5">
        <w:tab/>
        <w:t xml:space="preserve">El Grupo examinó todas las secciones del proyecto de Informe 2.0. El Presidente invitó a las personas que habían formulado observaciones sobre el </w:t>
      </w:r>
      <w:r w:rsidR="007D5A4C" w:rsidRPr="003911A5">
        <w:t xml:space="preserve">Informe </w:t>
      </w:r>
      <w:r w:rsidRPr="003911A5">
        <w:t xml:space="preserve">a presentarlas al Grupo. Todas las secciones, incluidas las observaciones </w:t>
      </w:r>
      <w:r w:rsidR="00A85CBE" w:rsidRPr="003911A5">
        <w:t>recibidas</w:t>
      </w:r>
      <w:r w:rsidRPr="003911A5">
        <w:t>, se debatieron pormenorizadamente.</w:t>
      </w:r>
      <w:bookmarkEnd w:id="65"/>
    </w:p>
    <w:p w:rsidR="00301F55" w:rsidRPr="003911A5" w:rsidRDefault="007F667C" w:rsidP="008015EA">
      <w:pPr>
        <w:pStyle w:val="Heading1"/>
      </w:pPr>
      <w:r w:rsidRPr="003911A5">
        <w:t>7</w:t>
      </w:r>
      <w:r w:rsidR="00301F55" w:rsidRPr="003911A5">
        <w:tab/>
      </w:r>
      <w:r w:rsidRPr="003911A5">
        <w:t>Medidas oportunas</w:t>
      </w:r>
    </w:p>
    <w:p w:rsidR="00301F55" w:rsidRPr="003911A5" w:rsidRDefault="00A85CBE" w:rsidP="00A85CBE">
      <w:bookmarkStart w:id="66" w:name="lt_pId103"/>
      <w:r w:rsidRPr="003911A5">
        <w:t xml:space="preserve">El </w:t>
      </w:r>
      <w:r w:rsidR="00073055" w:rsidRPr="003911A5">
        <w:t xml:space="preserve">Informe Final </w:t>
      </w:r>
      <w:r w:rsidRPr="003911A5">
        <w:t xml:space="preserve">del GE-RTI fue acordado por consenso. El Grupo acordó someter su </w:t>
      </w:r>
      <w:r w:rsidR="005721F4" w:rsidRPr="003911A5">
        <w:t xml:space="preserve">Informe Final </w:t>
      </w:r>
      <w:r w:rsidRPr="003911A5">
        <w:t>a la consideración de la reunión de 2018 del Consejo para que ésta la presentara a la Conferencia de Plenipotenciarios de 2018 junto con sus comentarios.</w:t>
      </w:r>
      <w:bookmarkEnd w:id="66"/>
    </w:p>
    <w:p w:rsidR="007D66C8" w:rsidRPr="003911A5" w:rsidRDefault="007D66C8" w:rsidP="008015EA">
      <w:pPr>
        <w:pStyle w:val="Heading1"/>
      </w:pPr>
      <w:r w:rsidRPr="003911A5">
        <w:lastRenderedPageBreak/>
        <w:t>8</w:t>
      </w:r>
      <w:r w:rsidRPr="003911A5">
        <w:tab/>
        <w:t>Clausura de la reunión</w:t>
      </w:r>
    </w:p>
    <w:p w:rsidR="007D66C8" w:rsidRPr="003911A5" w:rsidRDefault="007D66C8" w:rsidP="008015EA">
      <w:r w:rsidRPr="003911A5">
        <w:t>Al clausurar la reunión, el Presidente dio las gracias a todos los Estados Miembros y Miembros de Sector de la UIT que habían presentado contribuciones y participado en los trabajos del Grupo de Expertos (incluidos los que habían participado a distancia), a los Vicepresidentes electos y a los funcionarios de elección de la UIT y de la Secretaría por la eficiente ayuda prestada durante la reunión.</w:t>
      </w:r>
    </w:p>
    <w:p w:rsidR="007D66C8" w:rsidRPr="003911A5" w:rsidRDefault="007D66C8" w:rsidP="008015EA">
      <w:r w:rsidRPr="003911A5">
        <w:t>El Grupo agradeció al Presidente, a los Vicepresidentes y a la Secretaría su eficaz organización y gestión del Grupo. El Grupo también dio las gracias a los intérpretes y al moderador a distancia.</w:t>
      </w:r>
    </w:p>
    <w:p w:rsidR="00301F55" w:rsidRPr="003911A5" w:rsidRDefault="007D66C8" w:rsidP="008015EA">
      <w:pPr>
        <w:snapToGrid w:val="0"/>
        <w:spacing w:before="100" w:beforeAutospacing="1" w:after="100" w:afterAutospacing="1"/>
        <w:jc w:val="both"/>
        <w:outlineLvl w:val="0"/>
        <w:rPr>
          <w:b/>
        </w:rPr>
      </w:pPr>
      <w:r w:rsidRPr="003911A5">
        <w:rPr>
          <w:b/>
        </w:rPr>
        <w:t>Presidente: Sr. Fernando Borjón</w:t>
      </w:r>
      <w:bookmarkStart w:id="67" w:name="_GoBack"/>
      <w:bookmarkEnd w:id="67"/>
      <w:r w:rsidRPr="003911A5">
        <w:rPr>
          <w:b/>
        </w:rPr>
        <w:t xml:space="preserve"> (México)</w:t>
      </w:r>
    </w:p>
    <w:p w:rsidR="00871B89" w:rsidRPr="003911A5" w:rsidRDefault="00871B89" w:rsidP="008015EA">
      <w:pPr>
        <w:pStyle w:val="Reasons"/>
      </w:pPr>
    </w:p>
    <w:p w:rsidR="00871B89" w:rsidRPr="003911A5" w:rsidRDefault="00871B89" w:rsidP="008015EA">
      <w:pPr>
        <w:jc w:val="center"/>
      </w:pPr>
      <w:r w:rsidRPr="003911A5">
        <w:t>______________</w:t>
      </w:r>
    </w:p>
    <w:p w:rsidR="00871B89" w:rsidRPr="003911A5" w:rsidRDefault="00871B89" w:rsidP="008015EA">
      <w:pPr>
        <w:snapToGrid w:val="0"/>
        <w:spacing w:before="100" w:beforeAutospacing="1" w:after="100" w:afterAutospacing="1"/>
        <w:jc w:val="both"/>
        <w:outlineLvl w:val="0"/>
        <w:rPr>
          <w:rFonts w:cstheme="majorBidi"/>
          <w:b/>
        </w:rPr>
      </w:pPr>
    </w:p>
    <w:sectPr w:rsidR="00871B89" w:rsidRPr="003911A5" w:rsidSect="006710F6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F9" w:rsidRDefault="00AB5EF9">
      <w:r>
        <w:separator/>
      </w:r>
    </w:p>
  </w:endnote>
  <w:endnote w:type="continuationSeparator" w:id="0">
    <w:p w:rsidR="00AB5EF9" w:rsidRDefault="00A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6A" w:rsidRDefault="006B596A" w:rsidP="006B596A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P:\ESP\SG\CONSEIL\EG-ITR\EG-ITR-4\000\009S.docx</w:t>
    </w:r>
    <w:r>
      <w:fldChar w:fldCharType="end"/>
    </w:r>
    <w:r>
      <w:t xml:space="preserve"> (434889)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5E" w:rsidRDefault="00124F5E" w:rsidP="00124F5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F9" w:rsidRDefault="00AB5EF9">
      <w:r>
        <w:t>____________________</w:t>
      </w:r>
    </w:p>
  </w:footnote>
  <w:footnote w:type="continuationSeparator" w:id="0">
    <w:p w:rsidR="00AB5EF9" w:rsidRDefault="00AB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B77C36">
    <w:pPr>
      <w:pStyle w:val="Header"/>
    </w:pPr>
    <w:r>
      <w:fldChar w:fldCharType="begin"/>
    </w:r>
    <w:r>
      <w:instrText>PAGE</w:instrText>
    </w:r>
    <w:r>
      <w:fldChar w:fldCharType="separate"/>
    </w:r>
    <w:r w:rsidR="003911A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199"/>
    <w:multiLevelType w:val="hybridMultilevel"/>
    <w:tmpl w:val="2AA0C952"/>
    <w:lvl w:ilvl="0" w:tplc="97EE0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80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AC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28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A6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69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21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C5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C3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675"/>
    <w:multiLevelType w:val="hybridMultilevel"/>
    <w:tmpl w:val="E3446448"/>
    <w:lvl w:ilvl="0" w:tplc="CEF87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2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81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7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A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85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ED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C9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CD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7E6D"/>
    <w:multiLevelType w:val="hybridMultilevel"/>
    <w:tmpl w:val="F3E4FDD0"/>
    <w:lvl w:ilvl="0" w:tplc="33FCB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86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0B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2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C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2E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6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A8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39B"/>
    <w:multiLevelType w:val="hybridMultilevel"/>
    <w:tmpl w:val="ECEE1FBE"/>
    <w:lvl w:ilvl="0" w:tplc="77E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CE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E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47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A6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5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C9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85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26CA"/>
    <w:multiLevelType w:val="hybridMultilevel"/>
    <w:tmpl w:val="8CBEC6F4"/>
    <w:lvl w:ilvl="0" w:tplc="288008BC">
      <w:start w:val="1"/>
      <w:numFmt w:val="lowerLetter"/>
      <w:lvlText w:val="%1."/>
      <w:lvlJc w:val="left"/>
      <w:pPr>
        <w:ind w:left="720" w:hanging="360"/>
      </w:pPr>
    </w:lvl>
    <w:lvl w:ilvl="1" w:tplc="8264D94A">
      <w:start w:val="1"/>
      <w:numFmt w:val="lowerLetter"/>
      <w:lvlText w:val="%2."/>
      <w:lvlJc w:val="left"/>
      <w:pPr>
        <w:ind w:left="1440" w:hanging="360"/>
      </w:pPr>
    </w:lvl>
    <w:lvl w:ilvl="2" w:tplc="91A4D34C" w:tentative="1">
      <w:start w:val="1"/>
      <w:numFmt w:val="lowerRoman"/>
      <w:lvlText w:val="%3."/>
      <w:lvlJc w:val="right"/>
      <w:pPr>
        <w:ind w:left="2160" w:hanging="180"/>
      </w:pPr>
    </w:lvl>
    <w:lvl w:ilvl="3" w:tplc="8244FDE8" w:tentative="1">
      <w:start w:val="1"/>
      <w:numFmt w:val="decimal"/>
      <w:lvlText w:val="%4."/>
      <w:lvlJc w:val="left"/>
      <w:pPr>
        <w:ind w:left="2880" w:hanging="360"/>
      </w:pPr>
    </w:lvl>
    <w:lvl w:ilvl="4" w:tplc="35380860" w:tentative="1">
      <w:start w:val="1"/>
      <w:numFmt w:val="lowerLetter"/>
      <w:lvlText w:val="%5."/>
      <w:lvlJc w:val="left"/>
      <w:pPr>
        <w:ind w:left="3600" w:hanging="360"/>
      </w:pPr>
    </w:lvl>
    <w:lvl w:ilvl="5" w:tplc="C812CF1E" w:tentative="1">
      <w:start w:val="1"/>
      <w:numFmt w:val="lowerRoman"/>
      <w:lvlText w:val="%6."/>
      <w:lvlJc w:val="right"/>
      <w:pPr>
        <w:ind w:left="4320" w:hanging="180"/>
      </w:pPr>
    </w:lvl>
    <w:lvl w:ilvl="6" w:tplc="49D003A8" w:tentative="1">
      <w:start w:val="1"/>
      <w:numFmt w:val="decimal"/>
      <w:lvlText w:val="%7."/>
      <w:lvlJc w:val="left"/>
      <w:pPr>
        <w:ind w:left="5040" w:hanging="360"/>
      </w:pPr>
    </w:lvl>
    <w:lvl w:ilvl="7" w:tplc="BD32CB64" w:tentative="1">
      <w:start w:val="1"/>
      <w:numFmt w:val="lowerLetter"/>
      <w:lvlText w:val="%8."/>
      <w:lvlJc w:val="left"/>
      <w:pPr>
        <w:ind w:left="5760" w:hanging="360"/>
      </w:pPr>
    </w:lvl>
    <w:lvl w:ilvl="8" w:tplc="56708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77AE"/>
    <w:multiLevelType w:val="hybridMultilevel"/>
    <w:tmpl w:val="38240B8A"/>
    <w:lvl w:ilvl="0" w:tplc="F77C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5C4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DC06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0468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DA6F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A824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A2A0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F069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EE6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A195A"/>
    <w:multiLevelType w:val="hybridMultilevel"/>
    <w:tmpl w:val="98C06458"/>
    <w:lvl w:ilvl="0" w:tplc="F9B8A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8B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85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0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5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A0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F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68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0E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037F"/>
    <w:multiLevelType w:val="hybridMultilevel"/>
    <w:tmpl w:val="A1E45AA0"/>
    <w:lvl w:ilvl="0" w:tplc="BFAA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8F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2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6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B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24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04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4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A0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36287B-05C8-4F03-977A-D1650ABBFA7F}"/>
    <w:docVar w:name="dgnword-eventsink" w:val="325289232"/>
  </w:docVars>
  <w:rsids>
    <w:rsidRoot w:val="00AB5EF9"/>
    <w:rsid w:val="00011CCE"/>
    <w:rsid w:val="00020E48"/>
    <w:rsid w:val="00026EB1"/>
    <w:rsid w:val="00031EBB"/>
    <w:rsid w:val="00064454"/>
    <w:rsid w:val="00065841"/>
    <w:rsid w:val="00073055"/>
    <w:rsid w:val="000768EC"/>
    <w:rsid w:val="00093EEB"/>
    <w:rsid w:val="000A0B96"/>
    <w:rsid w:val="000A7055"/>
    <w:rsid w:val="000B0D00"/>
    <w:rsid w:val="000B7C15"/>
    <w:rsid w:val="000D1D0F"/>
    <w:rsid w:val="000F5290"/>
    <w:rsid w:val="0010165C"/>
    <w:rsid w:val="00112C85"/>
    <w:rsid w:val="00122779"/>
    <w:rsid w:val="00124F5E"/>
    <w:rsid w:val="001304D3"/>
    <w:rsid w:val="00141572"/>
    <w:rsid w:val="00146BFB"/>
    <w:rsid w:val="00161372"/>
    <w:rsid w:val="00165327"/>
    <w:rsid w:val="0019178B"/>
    <w:rsid w:val="001A4C6A"/>
    <w:rsid w:val="001A76E0"/>
    <w:rsid w:val="001B53A5"/>
    <w:rsid w:val="001C3C70"/>
    <w:rsid w:val="001C7691"/>
    <w:rsid w:val="001E460B"/>
    <w:rsid w:val="001F14A2"/>
    <w:rsid w:val="00226CFD"/>
    <w:rsid w:val="00232170"/>
    <w:rsid w:val="00241A8D"/>
    <w:rsid w:val="002647C1"/>
    <w:rsid w:val="002801AA"/>
    <w:rsid w:val="002801EF"/>
    <w:rsid w:val="00290C02"/>
    <w:rsid w:val="002A4BB4"/>
    <w:rsid w:val="002B11ED"/>
    <w:rsid w:val="002B3227"/>
    <w:rsid w:val="002C4676"/>
    <w:rsid w:val="002C70B0"/>
    <w:rsid w:val="002D56F9"/>
    <w:rsid w:val="002F3CC4"/>
    <w:rsid w:val="00301F55"/>
    <w:rsid w:val="00355360"/>
    <w:rsid w:val="00366DD9"/>
    <w:rsid w:val="00367EEF"/>
    <w:rsid w:val="003734B2"/>
    <w:rsid w:val="00376283"/>
    <w:rsid w:val="003911A5"/>
    <w:rsid w:val="0039370C"/>
    <w:rsid w:val="003A72F3"/>
    <w:rsid w:val="003B1313"/>
    <w:rsid w:val="003C702C"/>
    <w:rsid w:val="003D79C4"/>
    <w:rsid w:val="0040739F"/>
    <w:rsid w:val="00415CFD"/>
    <w:rsid w:val="00425BA7"/>
    <w:rsid w:val="00432303"/>
    <w:rsid w:val="004334CF"/>
    <w:rsid w:val="0043658A"/>
    <w:rsid w:val="00442D28"/>
    <w:rsid w:val="004470CD"/>
    <w:rsid w:val="004545F9"/>
    <w:rsid w:val="00486929"/>
    <w:rsid w:val="00497190"/>
    <w:rsid w:val="004C09BD"/>
    <w:rsid w:val="004D4C45"/>
    <w:rsid w:val="004D4D49"/>
    <w:rsid w:val="004F3513"/>
    <w:rsid w:val="00513630"/>
    <w:rsid w:val="0051641F"/>
    <w:rsid w:val="005278A6"/>
    <w:rsid w:val="00547FA6"/>
    <w:rsid w:val="0055339B"/>
    <w:rsid w:val="00560125"/>
    <w:rsid w:val="0057057F"/>
    <w:rsid w:val="005721F4"/>
    <w:rsid w:val="00585553"/>
    <w:rsid w:val="005A28EF"/>
    <w:rsid w:val="005B34D9"/>
    <w:rsid w:val="005B627D"/>
    <w:rsid w:val="005B63A3"/>
    <w:rsid w:val="005D0CCF"/>
    <w:rsid w:val="005D10B0"/>
    <w:rsid w:val="005D24EE"/>
    <w:rsid w:val="005D7DD0"/>
    <w:rsid w:val="005E0921"/>
    <w:rsid w:val="005F0B12"/>
    <w:rsid w:val="005F410F"/>
    <w:rsid w:val="005F5BDC"/>
    <w:rsid w:val="0060149A"/>
    <w:rsid w:val="00601924"/>
    <w:rsid w:val="00610B2D"/>
    <w:rsid w:val="00636555"/>
    <w:rsid w:val="006447EA"/>
    <w:rsid w:val="00644FBC"/>
    <w:rsid w:val="0064731F"/>
    <w:rsid w:val="00660060"/>
    <w:rsid w:val="00665F36"/>
    <w:rsid w:val="0066690E"/>
    <w:rsid w:val="006710F6"/>
    <w:rsid w:val="0067129F"/>
    <w:rsid w:val="006A4B76"/>
    <w:rsid w:val="006B596A"/>
    <w:rsid w:val="006C1B56"/>
    <w:rsid w:val="006D1724"/>
    <w:rsid w:val="006D4761"/>
    <w:rsid w:val="006F355D"/>
    <w:rsid w:val="00710C51"/>
    <w:rsid w:val="007245C1"/>
    <w:rsid w:val="00726872"/>
    <w:rsid w:val="0075792C"/>
    <w:rsid w:val="00760F1C"/>
    <w:rsid w:val="007657F0"/>
    <w:rsid w:val="0077252D"/>
    <w:rsid w:val="00772D5D"/>
    <w:rsid w:val="007947BE"/>
    <w:rsid w:val="007A221E"/>
    <w:rsid w:val="007D5A4C"/>
    <w:rsid w:val="007D66C8"/>
    <w:rsid w:val="007E00C0"/>
    <w:rsid w:val="007E5DD3"/>
    <w:rsid w:val="007E678C"/>
    <w:rsid w:val="007F350B"/>
    <w:rsid w:val="007F5A75"/>
    <w:rsid w:val="007F667C"/>
    <w:rsid w:val="007F71E7"/>
    <w:rsid w:val="008015EA"/>
    <w:rsid w:val="00802A52"/>
    <w:rsid w:val="00820BE4"/>
    <w:rsid w:val="00827898"/>
    <w:rsid w:val="008324DE"/>
    <w:rsid w:val="00832891"/>
    <w:rsid w:val="00844B65"/>
    <w:rsid w:val="008451E8"/>
    <w:rsid w:val="00871B89"/>
    <w:rsid w:val="00873C0E"/>
    <w:rsid w:val="00885B54"/>
    <w:rsid w:val="00913B9C"/>
    <w:rsid w:val="00922554"/>
    <w:rsid w:val="00922AE5"/>
    <w:rsid w:val="00956E77"/>
    <w:rsid w:val="0098359F"/>
    <w:rsid w:val="0098779F"/>
    <w:rsid w:val="009B4CA1"/>
    <w:rsid w:val="009D5CBA"/>
    <w:rsid w:val="009E22E7"/>
    <w:rsid w:val="00A003FF"/>
    <w:rsid w:val="00A73A16"/>
    <w:rsid w:val="00A81B1F"/>
    <w:rsid w:val="00A85CBE"/>
    <w:rsid w:val="00A93872"/>
    <w:rsid w:val="00AA390C"/>
    <w:rsid w:val="00AB5EF9"/>
    <w:rsid w:val="00AD46A9"/>
    <w:rsid w:val="00AF7D15"/>
    <w:rsid w:val="00B0200A"/>
    <w:rsid w:val="00B1567F"/>
    <w:rsid w:val="00B27D4A"/>
    <w:rsid w:val="00B574DB"/>
    <w:rsid w:val="00B77C36"/>
    <w:rsid w:val="00B826C2"/>
    <w:rsid w:val="00B8298E"/>
    <w:rsid w:val="00B91BF8"/>
    <w:rsid w:val="00BA4764"/>
    <w:rsid w:val="00BA7609"/>
    <w:rsid w:val="00BB0277"/>
    <w:rsid w:val="00BD0723"/>
    <w:rsid w:val="00BD2518"/>
    <w:rsid w:val="00BE4925"/>
    <w:rsid w:val="00BF1D1C"/>
    <w:rsid w:val="00C011ED"/>
    <w:rsid w:val="00C20C59"/>
    <w:rsid w:val="00C20E06"/>
    <w:rsid w:val="00C338B0"/>
    <w:rsid w:val="00C37FD8"/>
    <w:rsid w:val="00C513BC"/>
    <w:rsid w:val="00C524A4"/>
    <w:rsid w:val="00C55B1F"/>
    <w:rsid w:val="00C66A7D"/>
    <w:rsid w:val="00C67A70"/>
    <w:rsid w:val="00C81A19"/>
    <w:rsid w:val="00CA4BF3"/>
    <w:rsid w:val="00CB21D6"/>
    <w:rsid w:val="00CC48E2"/>
    <w:rsid w:val="00CF1A67"/>
    <w:rsid w:val="00CF4A92"/>
    <w:rsid w:val="00D2750E"/>
    <w:rsid w:val="00D33998"/>
    <w:rsid w:val="00D62446"/>
    <w:rsid w:val="00D76460"/>
    <w:rsid w:val="00D81C9B"/>
    <w:rsid w:val="00D92832"/>
    <w:rsid w:val="00DA4EA2"/>
    <w:rsid w:val="00DA516E"/>
    <w:rsid w:val="00DB4BC9"/>
    <w:rsid w:val="00DC3D3E"/>
    <w:rsid w:val="00DE2C90"/>
    <w:rsid w:val="00DE3B24"/>
    <w:rsid w:val="00DE4CFE"/>
    <w:rsid w:val="00E06947"/>
    <w:rsid w:val="00E1666F"/>
    <w:rsid w:val="00E227CC"/>
    <w:rsid w:val="00E32440"/>
    <w:rsid w:val="00E3592D"/>
    <w:rsid w:val="00E92DE8"/>
    <w:rsid w:val="00EB1212"/>
    <w:rsid w:val="00EC04C1"/>
    <w:rsid w:val="00EC1F64"/>
    <w:rsid w:val="00EC74ED"/>
    <w:rsid w:val="00ED65AB"/>
    <w:rsid w:val="00EF4931"/>
    <w:rsid w:val="00F12850"/>
    <w:rsid w:val="00F14C69"/>
    <w:rsid w:val="00F25452"/>
    <w:rsid w:val="00F32A4B"/>
    <w:rsid w:val="00F33BF4"/>
    <w:rsid w:val="00F504D4"/>
    <w:rsid w:val="00F6054B"/>
    <w:rsid w:val="00F63BAF"/>
    <w:rsid w:val="00F70229"/>
    <w:rsid w:val="00F7105E"/>
    <w:rsid w:val="00F75F57"/>
    <w:rsid w:val="00F8238E"/>
    <w:rsid w:val="00F82FEE"/>
    <w:rsid w:val="00F931EB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C90E634-794E-4B12-A254-1CD30136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01F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A4C6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C6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4-C-0001/es" TargetMode="External"/><Relationship Id="rId13" Type="http://schemas.openxmlformats.org/officeDocument/2006/relationships/hyperlink" Target="https://www.itu.int/pub/S-CONF-WCIT-2012/es" TargetMode="External"/><Relationship Id="rId18" Type="http://schemas.openxmlformats.org/officeDocument/2006/relationships/hyperlink" Target="https://www.itu.int/md/S18-CLEGITR4-C-0006/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EGITR4-C-0008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en/wcit-12/Documents/final-acts-wcit-12-es.pdf" TargetMode="External"/><Relationship Id="rId17" Type="http://schemas.openxmlformats.org/officeDocument/2006/relationships/hyperlink" Target="https://www.itu.int/md/S18-CLEGITR4-C-0001/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EGITR4-180412-TD-0001/es" TargetMode="External"/><Relationship Id="rId20" Type="http://schemas.openxmlformats.org/officeDocument/2006/relationships/hyperlink" Target="https://www.itu.int/md/S18-CLEGITR4-C-0007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EGITR4-C-0006/e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EGITR4-C-0008/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CLEGITR4-C-0002/es" TargetMode="External"/><Relationship Id="rId19" Type="http://schemas.openxmlformats.org/officeDocument/2006/relationships/hyperlink" Target="https://www.itu.int/md/S18-CLEGITR4-C-0002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EGITR4-INF-0002/eS" TargetMode="External"/><Relationship Id="rId14" Type="http://schemas.openxmlformats.org/officeDocument/2006/relationships/hyperlink" Target="https://www.itu.int/md/S18-CLEGITR4-C-0007/es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26</TotalTime>
  <Pages>6</Pages>
  <Words>2316</Words>
  <Characters>13894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16178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</dc:creator>
  <cp:keywords>C2010, C10</cp:keywords>
  <dc:description>Documento C17/-S  Para: _x000d_Fecha del documento: enero de 2017_x000d_Registrado por ITU51009317 a 15:32:38 el 06/04/2017</dc:description>
  <cp:lastModifiedBy>Spanish</cp:lastModifiedBy>
  <cp:revision>102</cp:revision>
  <cp:lastPrinted>2018-04-17T13:23:00Z</cp:lastPrinted>
  <dcterms:created xsi:type="dcterms:W3CDTF">2018-04-17T15:56:00Z</dcterms:created>
  <dcterms:modified xsi:type="dcterms:W3CDTF">2018-04-17T16:21:00Z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