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2" w:type="dxa"/>
        <w:tblLayout w:type="fixed"/>
        <w:tblLook w:val="0000" w:firstRow="0" w:lastRow="0" w:firstColumn="0" w:lastColumn="0" w:noHBand="0" w:noVBand="0"/>
      </w:tblPr>
      <w:tblGrid>
        <w:gridCol w:w="5782"/>
        <w:gridCol w:w="3780"/>
      </w:tblGrid>
      <w:tr w:rsidR="00C51C79" w:rsidRPr="00BB37F5" w:rsidTr="00016AB1">
        <w:trPr>
          <w:cantSplit/>
          <w:trHeight w:val="1300"/>
        </w:trPr>
        <w:tc>
          <w:tcPr>
            <w:tcW w:w="5782" w:type="dxa"/>
            <w:vAlign w:val="center"/>
          </w:tcPr>
          <w:p w:rsidR="00C51C79" w:rsidRPr="00FD65AD" w:rsidRDefault="00C51C79" w:rsidP="002A43ED">
            <w:pPr>
              <w:spacing w:after="48" w:line="240" w:lineRule="atLeast"/>
              <w:rPr>
                <w:rFonts w:cstheme="minorHAnsi"/>
                <w:position w:val="6"/>
              </w:rPr>
            </w:pPr>
            <w:r>
              <w:rPr>
                <w:rFonts w:ascii="Calibri" w:hAnsi="Calibri" w:cs="Calibri"/>
                <w:b/>
                <w:bCs/>
                <w:position w:val="6"/>
                <w:sz w:val="30"/>
                <w:szCs w:val="30"/>
              </w:rPr>
              <w:t>Expert Group on the International Telecommunication Regulations (EG-ITRs)</w:t>
            </w:r>
          </w:p>
        </w:tc>
        <w:tc>
          <w:tcPr>
            <w:tcW w:w="3779" w:type="dxa"/>
          </w:tcPr>
          <w:p w:rsidR="00C51C79" w:rsidRPr="00BB37F5" w:rsidRDefault="00C51C79" w:rsidP="002A43ED">
            <w:pPr>
              <w:spacing w:line="240" w:lineRule="atLeast"/>
            </w:pPr>
            <w:bookmarkStart w:id="0" w:name="ditulogo"/>
            <w:bookmarkEnd w:id="0"/>
            <w:r>
              <w:rPr>
                <w:noProof/>
              </w:rPr>
              <w:drawing>
                <wp:inline distT="0" distB="0" distL="0" distR="0" wp14:anchorId="17D800EB" wp14:editId="54A7F556">
                  <wp:extent cx="17621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51C79" w:rsidRPr="00A009B8" w:rsidTr="00016AB1">
        <w:trPr>
          <w:cantSplit/>
          <w:trHeight w:val="282"/>
        </w:trPr>
        <w:tc>
          <w:tcPr>
            <w:tcW w:w="5782" w:type="dxa"/>
            <w:tcBorders>
              <w:bottom w:val="single" w:sz="12" w:space="0" w:color="auto"/>
            </w:tcBorders>
          </w:tcPr>
          <w:p w:rsidR="00C51C79" w:rsidRPr="00A009B8" w:rsidRDefault="00E57DBD" w:rsidP="00E57DBD">
            <w:pPr>
              <w:spacing w:after="0"/>
              <w:rPr>
                <w:rFonts w:cstheme="minorHAnsi"/>
                <w:b/>
                <w:sz w:val="24"/>
                <w:szCs w:val="24"/>
              </w:rPr>
            </w:pPr>
            <w:r w:rsidRPr="00A009B8">
              <w:rPr>
                <w:rFonts w:cstheme="minorHAnsi"/>
                <w:b/>
                <w:sz w:val="24"/>
                <w:szCs w:val="24"/>
              </w:rPr>
              <w:t xml:space="preserve">Fourth </w:t>
            </w:r>
            <w:r w:rsidR="00C51C79" w:rsidRPr="00A009B8">
              <w:rPr>
                <w:rFonts w:cstheme="minorHAnsi"/>
                <w:b/>
                <w:sz w:val="24"/>
                <w:szCs w:val="24"/>
              </w:rPr>
              <w:t xml:space="preserve">meeting – Geneva, </w:t>
            </w:r>
            <w:r w:rsidRPr="00A009B8">
              <w:rPr>
                <w:rFonts w:cstheme="minorHAnsi"/>
                <w:b/>
                <w:sz w:val="24"/>
                <w:szCs w:val="24"/>
              </w:rPr>
              <w:t>12</w:t>
            </w:r>
            <w:r w:rsidR="00C51C79" w:rsidRPr="00A009B8">
              <w:rPr>
                <w:rFonts w:cstheme="minorHAnsi"/>
                <w:b/>
                <w:sz w:val="24"/>
                <w:szCs w:val="24"/>
              </w:rPr>
              <w:t>-</w:t>
            </w:r>
            <w:r w:rsidRPr="00A009B8">
              <w:rPr>
                <w:rFonts w:cstheme="minorHAnsi"/>
                <w:b/>
                <w:sz w:val="24"/>
                <w:szCs w:val="24"/>
              </w:rPr>
              <w:t>13 April</w:t>
            </w:r>
            <w:r w:rsidR="00C51C79" w:rsidRPr="00A009B8">
              <w:rPr>
                <w:rFonts w:cstheme="minorHAnsi"/>
                <w:b/>
                <w:sz w:val="24"/>
                <w:szCs w:val="24"/>
              </w:rPr>
              <w:t xml:space="preserve"> 2018 </w:t>
            </w:r>
          </w:p>
        </w:tc>
        <w:tc>
          <w:tcPr>
            <w:tcW w:w="3779" w:type="dxa"/>
            <w:tcBorders>
              <w:bottom w:val="single" w:sz="12" w:space="0" w:color="auto"/>
            </w:tcBorders>
          </w:tcPr>
          <w:p w:rsidR="00C51C79" w:rsidRPr="00A009B8" w:rsidRDefault="00C51C79" w:rsidP="002A43ED">
            <w:pPr>
              <w:spacing w:after="0"/>
              <w:rPr>
                <w:rFonts w:cstheme="minorHAnsi"/>
                <w:sz w:val="24"/>
                <w:szCs w:val="24"/>
              </w:rPr>
            </w:pPr>
          </w:p>
        </w:tc>
      </w:tr>
      <w:tr w:rsidR="00C51C79" w:rsidRPr="003B4EB9" w:rsidTr="00016AB1">
        <w:trPr>
          <w:cantSplit/>
          <w:trHeight w:val="295"/>
        </w:trPr>
        <w:tc>
          <w:tcPr>
            <w:tcW w:w="5782" w:type="dxa"/>
            <w:tcBorders>
              <w:top w:val="single" w:sz="12" w:space="0" w:color="auto"/>
            </w:tcBorders>
          </w:tcPr>
          <w:p w:rsidR="00C51C79" w:rsidRPr="003B4EB9" w:rsidRDefault="00C51C79" w:rsidP="002A43ED">
            <w:pPr>
              <w:spacing w:after="0"/>
              <w:rPr>
                <w:rFonts w:cstheme="minorHAnsi"/>
                <w:b/>
                <w:smallCaps/>
              </w:rPr>
            </w:pPr>
          </w:p>
        </w:tc>
        <w:tc>
          <w:tcPr>
            <w:tcW w:w="3779" w:type="dxa"/>
            <w:tcBorders>
              <w:top w:val="single" w:sz="12" w:space="0" w:color="auto"/>
            </w:tcBorders>
          </w:tcPr>
          <w:p w:rsidR="00C51C79" w:rsidRPr="003B4EB9" w:rsidRDefault="00C51C79" w:rsidP="002A43ED">
            <w:pPr>
              <w:spacing w:after="0"/>
              <w:rPr>
                <w:rFonts w:cstheme="minorHAnsi"/>
              </w:rPr>
            </w:pPr>
          </w:p>
        </w:tc>
      </w:tr>
      <w:tr w:rsidR="00C51C79" w:rsidRPr="00CB2A7D" w:rsidTr="00016AB1">
        <w:trPr>
          <w:cantSplit/>
          <w:trHeight w:val="22"/>
        </w:trPr>
        <w:tc>
          <w:tcPr>
            <w:tcW w:w="5782" w:type="dxa"/>
            <w:vMerge w:val="restart"/>
          </w:tcPr>
          <w:p w:rsidR="00C51C79" w:rsidRPr="003B4EB9" w:rsidRDefault="00C51C79" w:rsidP="002A43ED">
            <w:pPr>
              <w:tabs>
                <w:tab w:val="left" w:pos="851"/>
              </w:tabs>
              <w:spacing w:after="0"/>
              <w:rPr>
                <w:rFonts w:cstheme="minorHAnsi"/>
                <w:b/>
              </w:rPr>
            </w:pPr>
          </w:p>
        </w:tc>
        <w:tc>
          <w:tcPr>
            <w:tcW w:w="3779" w:type="dxa"/>
          </w:tcPr>
          <w:p w:rsidR="00C51C79" w:rsidRPr="00A009B8" w:rsidRDefault="00C51C79" w:rsidP="00BC3B2C">
            <w:pPr>
              <w:tabs>
                <w:tab w:val="left" w:pos="851"/>
              </w:tabs>
              <w:spacing w:after="0"/>
              <w:rPr>
                <w:rFonts w:cstheme="minorHAnsi"/>
                <w:b/>
                <w:sz w:val="24"/>
                <w:szCs w:val="24"/>
                <w:lang w:val="de-CH"/>
              </w:rPr>
            </w:pPr>
            <w:r w:rsidRPr="00A009B8">
              <w:rPr>
                <w:rFonts w:cs="Calibri"/>
                <w:b/>
                <w:sz w:val="24"/>
                <w:szCs w:val="24"/>
                <w:lang w:val="de-CH"/>
              </w:rPr>
              <w:t xml:space="preserve">Document EG-ITRs </w:t>
            </w:r>
            <w:r w:rsidR="00E57DBD" w:rsidRPr="00A009B8">
              <w:rPr>
                <w:rFonts w:cs="Calibri"/>
                <w:b/>
                <w:sz w:val="24"/>
                <w:szCs w:val="24"/>
                <w:lang w:val="de-CH"/>
              </w:rPr>
              <w:t>4</w:t>
            </w:r>
            <w:r w:rsidRPr="00A009B8">
              <w:rPr>
                <w:rFonts w:cs="Calibri"/>
                <w:b/>
                <w:sz w:val="24"/>
                <w:szCs w:val="24"/>
                <w:lang w:val="de-CH"/>
              </w:rPr>
              <w:t>/</w:t>
            </w:r>
            <w:r w:rsidR="00E57DBD" w:rsidRPr="00A009B8">
              <w:rPr>
                <w:rFonts w:cs="Calibri"/>
                <w:b/>
                <w:sz w:val="24"/>
                <w:szCs w:val="24"/>
                <w:lang w:val="de-CH"/>
              </w:rPr>
              <w:t>9</w:t>
            </w:r>
            <w:r w:rsidRPr="00A009B8">
              <w:rPr>
                <w:rFonts w:cs="Calibri"/>
                <w:b/>
                <w:sz w:val="24"/>
                <w:szCs w:val="24"/>
                <w:lang w:val="de-CH"/>
              </w:rPr>
              <w:t>-E</w:t>
            </w:r>
          </w:p>
        </w:tc>
      </w:tr>
      <w:tr w:rsidR="00C51C79" w:rsidRPr="003B4EB9" w:rsidTr="00016AB1">
        <w:trPr>
          <w:cantSplit/>
          <w:trHeight w:val="22"/>
        </w:trPr>
        <w:tc>
          <w:tcPr>
            <w:tcW w:w="5782" w:type="dxa"/>
            <w:vMerge/>
          </w:tcPr>
          <w:p w:rsidR="00C51C79" w:rsidRPr="003B4EB9" w:rsidRDefault="00C51C79" w:rsidP="002A43ED">
            <w:pPr>
              <w:tabs>
                <w:tab w:val="left" w:pos="851"/>
              </w:tabs>
              <w:spacing w:after="0" w:line="240" w:lineRule="atLeast"/>
              <w:rPr>
                <w:b/>
                <w:szCs w:val="24"/>
                <w:lang w:val="de-CH"/>
              </w:rPr>
            </w:pPr>
          </w:p>
        </w:tc>
        <w:tc>
          <w:tcPr>
            <w:tcW w:w="3779" w:type="dxa"/>
            <w:shd w:val="clear" w:color="auto" w:fill="auto"/>
          </w:tcPr>
          <w:p w:rsidR="00C51C79" w:rsidRPr="00A009B8" w:rsidRDefault="00E57DBD" w:rsidP="002A43ED">
            <w:pPr>
              <w:tabs>
                <w:tab w:val="left" w:pos="993"/>
              </w:tabs>
              <w:spacing w:after="0"/>
              <w:rPr>
                <w:b/>
                <w:sz w:val="24"/>
                <w:szCs w:val="24"/>
                <w:highlight w:val="yellow"/>
              </w:rPr>
            </w:pPr>
            <w:r w:rsidRPr="00A009B8">
              <w:rPr>
                <w:rFonts w:cstheme="minorHAnsi"/>
                <w:b/>
                <w:sz w:val="24"/>
                <w:szCs w:val="24"/>
              </w:rPr>
              <w:t>1</w:t>
            </w:r>
            <w:r w:rsidR="005E24D7" w:rsidRPr="00A009B8">
              <w:rPr>
                <w:rFonts w:cstheme="minorHAnsi"/>
                <w:b/>
                <w:sz w:val="24"/>
                <w:szCs w:val="24"/>
              </w:rPr>
              <w:t>3</w:t>
            </w:r>
            <w:r w:rsidRPr="00A009B8">
              <w:rPr>
                <w:rFonts w:cstheme="minorHAnsi"/>
                <w:b/>
                <w:sz w:val="24"/>
                <w:szCs w:val="24"/>
              </w:rPr>
              <w:t xml:space="preserve"> April</w:t>
            </w:r>
            <w:r w:rsidR="00C51C79" w:rsidRPr="00A009B8">
              <w:rPr>
                <w:rFonts w:cstheme="minorHAnsi"/>
                <w:b/>
                <w:sz w:val="24"/>
                <w:szCs w:val="24"/>
              </w:rPr>
              <w:t xml:space="preserve"> 2018</w:t>
            </w:r>
          </w:p>
        </w:tc>
      </w:tr>
      <w:tr w:rsidR="00C51C79" w:rsidRPr="003B4EB9" w:rsidTr="00016AB1">
        <w:trPr>
          <w:cantSplit/>
          <w:trHeight w:val="78"/>
        </w:trPr>
        <w:tc>
          <w:tcPr>
            <w:tcW w:w="5782" w:type="dxa"/>
            <w:vMerge/>
          </w:tcPr>
          <w:p w:rsidR="00C51C79" w:rsidRPr="003B4EB9" w:rsidRDefault="00C51C79" w:rsidP="002A43ED">
            <w:pPr>
              <w:tabs>
                <w:tab w:val="left" w:pos="851"/>
              </w:tabs>
              <w:spacing w:after="0" w:line="240" w:lineRule="atLeast"/>
              <w:rPr>
                <w:b/>
                <w:szCs w:val="24"/>
              </w:rPr>
            </w:pPr>
          </w:p>
        </w:tc>
        <w:tc>
          <w:tcPr>
            <w:tcW w:w="3779" w:type="dxa"/>
          </w:tcPr>
          <w:p w:rsidR="00C51C79" w:rsidRPr="00A009B8" w:rsidRDefault="00C51C79" w:rsidP="002A43ED">
            <w:pPr>
              <w:tabs>
                <w:tab w:val="left" w:pos="993"/>
              </w:tabs>
              <w:spacing w:after="0"/>
              <w:rPr>
                <w:b/>
                <w:sz w:val="24"/>
                <w:szCs w:val="24"/>
              </w:rPr>
            </w:pPr>
            <w:r w:rsidRPr="00A009B8">
              <w:rPr>
                <w:rFonts w:cstheme="minorHAnsi"/>
                <w:b/>
                <w:sz w:val="24"/>
                <w:szCs w:val="24"/>
              </w:rPr>
              <w:t>Original: English</w:t>
            </w:r>
          </w:p>
        </w:tc>
      </w:tr>
      <w:tr w:rsidR="00C51C79" w:rsidRPr="003B4EB9" w:rsidTr="00016AB1">
        <w:trPr>
          <w:cantSplit/>
          <w:trHeight w:val="78"/>
        </w:trPr>
        <w:tc>
          <w:tcPr>
            <w:tcW w:w="9562" w:type="dxa"/>
            <w:gridSpan w:val="2"/>
          </w:tcPr>
          <w:p w:rsidR="00C51C79" w:rsidRPr="003B4EB9" w:rsidRDefault="00C51C79">
            <w:pPr>
              <w:pStyle w:val="Title1"/>
              <w:spacing w:before="600"/>
              <w:rPr>
                <w:rFonts w:asciiTheme="minorHAnsi" w:hAnsiTheme="minorHAnsi"/>
                <w:szCs w:val="28"/>
              </w:rPr>
            </w:pPr>
            <w:r w:rsidRPr="003B4EB9">
              <w:rPr>
                <w:rFonts w:asciiTheme="minorHAnsi" w:hAnsiTheme="minorHAnsi"/>
                <w:szCs w:val="28"/>
              </w:rPr>
              <w:t xml:space="preserve">REPORT OF THE </w:t>
            </w:r>
            <w:r w:rsidR="00E57DBD">
              <w:rPr>
                <w:rFonts w:asciiTheme="minorHAnsi" w:hAnsiTheme="minorHAnsi"/>
                <w:szCs w:val="28"/>
              </w:rPr>
              <w:t>Fourth</w:t>
            </w:r>
            <w:r w:rsidR="00E57DBD" w:rsidRPr="003B4EB9">
              <w:rPr>
                <w:rFonts w:asciiTheme="minorHAnsi" w:hAnsiTheme="minorHAnsi"/>
                <w:szCs w:val="28"/>
              </w:rPr>
              <w:t xml:space="preserve"> </w:t>
            </w:r>
            <w:r w:rsidRPr="003B4EB9">
              <w:rPr>
                <w:rFonts w:asciiTheme="minorHAnsi" w:hAnsiTheme="minorHAnsi"/>
                <w:szCs w:val="28"/>
              </w:rPr>
              <w:t xml:space="preserve">MEETING of </w:t>
            </w:r>
            <w:r>
              <w:rPr>
                <w:rFonts w:asciiTheme="minorHAnsi" w:hAnsiTheme="minorHAnsi"/>
                <w:szCs w:val="28"/>
              </w:rPr>
              <w:br/>
            </w:r>
            <w:r w:rsidRPr="003B4EB9">
              <w:rPr>
                <w:rFonts w:asciiTheme="minorHAnsi" w:hAnsiTheme="minorHAnsi"/>
                <w:szCs w:val="28"/>
              </w:rPr>
              <w:t>the</w:t>
            </w:r>
            <w:r>
              <w:rPr>
                <w:rFonts w:asciiTheme="minorHAnsi" w:hAnsiTheme="minorHAnsi"/>
                <w:szCs w:val="28"/>
              </w:rPr>
              <w:t xml:space="preserve"> </w:t>
            </w:r>
            <w:r w:rsidRPr="003B4EB9">
              <w:rPr>
                <w:rFonts w:asciiTheme="minorHAnsi" w:hAnsiTheme="minorHAnsi"/>
                <w:szCs w:val="28"/>
              </w:rPr>
              <w:t xml:space="preserve">expert group on the international telecommunication regulations </w:t>
            </w:r>
            <w:r>
              <w:rPr>
                <w:rFonts w:asciiTheme="minorHAnsi" w:hAnsiTheme="minorHAnsi"/>
                <w:szCs w:val="28"/>
              </w:rPr>
              <w:br/>
            </w:r>
            <w:r w:rsidRPr="003B4EB9">
              <w:rPr>
                <w:rFonts w:asciiTheme="minorHAnsi" w:hAnsiTheme="minorHAnsi"/>
                <w:szCs w:val="28"/>
              </w:rPr>
              <w:t>(eg-itrs)</w:t>
            </w:r>
          </w:p>
        </w:tc>
      </w:tr>
    </w:tbl>
    <w:p w:rsidR="00C30BAD" w:rsidRPr="00720B6A" w:rsidRDefault="00C30BAD" w:rsidP="00720B6A">
      <w:pPr>
        <w:pStyle w:val="ListParagraph"/>
        <w:numPr>
          <w:ilvl w:val="0"/>
          <w:numId w:val="3"/>
        </w:numPr>
        <w:tabs>
          <w:tab w:val="clear" w:pos="794"/>
          <w:tab w:val="clear" w:pos="1191"/>
          <w:tab w:val="clear" w:pos="1588"/>
          <w:tab w:val="clear" w:pos="1985"/>
        </w:tabs>
        <w:overflowPunct/>
        <w:autoSpaceDE/>
        <w:autoSpaceDN/>
        <w:snapToGrid w:val="0"/>
        <w:spacing w:before="100" w:beforeAutospacing="1" w:after="100" w:afterAutospacing="1"/>
        <w:ind w:left="0" w:firstLine="0"/>
        <w:contextualSpacing w:val="0"/>
        <w:jc w:val="both"/>
        <w:textAlignment w:val="auto"/>
        <w:rPr>
          <w:rFonts w:asciiTheme="minorHAnsi" w:hAnsiTheme="minorHAnsi" w:cstheme="majorBidi"/>
          <w:b/>
          <w:sz w:val="22"/>
          <w:szCs w:val="22"/>
        </w:rPr>
      </w:pPr>
      <w:r w:rsidRPr="00720B6A">
        <w:rPr>
          <w:rFonts w:asciiTheme="minorHAnsi" w:hAnsiTheme="minorHAnsi" w:cstheme="majorBidi"/>
          <w:b/>
          <w:sz w:val="22"/>
          <w:szCs w:val="22"/>
        </w:rPr>
        <w:t>Introduction</w:t>
      </w:r>
    </w:p>
    <w:p w:rsidR="00C30BAD" w:rsidRPr="00720B6A" w:rsidRDefault="00C30BAD" w:rsidP="00720B6A">
      <w:pPr>
        <w:snapToGrid w:val="0"/>
        <w:spacing w:before="100" w:beforeAutospacing="1" w:after="100" w:afterAutospacing="1" w:line="240" w:lineRule="auto"/>
        <w:jc w:val="both"/>
        <w:rPr>
          <w:rFonts w:cstheme="majorBidi"/>
        </w:rPr>
      </w:pPr>
      <w:r w:rsidRPr="00720B6A">
        <w:rPr>
          <w:rFonts w:cstheme="majorBidi"/>
          <w:b/>
          <w:bCs/>
        </w:rPr>
        <w:t>1.1</w:t>
      </w:r>
      <w:r w:rsidRPr="00720B6A">
        <w:rPr>
          <w:rFonts w:cstheme="majorBidi"/>
        </w:rPr>
        <w:tab/>
      </w:r>
      <w:r w:rsidR="00F465CD" w:rsidRPr="00720B6A">
        <w:rPr>
          <w:rFonts w:cstheme="majorBidi"/>
        </w:rPr>
        <w:t>On behalf of the Secretary-General, t</w:t>
      </w:r>
      <w:r w:rsidRPr="00720B6A">
        <w:rPr>
          <w:rFonts w:cstheme="majorBidi"/>
        </w:rPr>
        <w:t xml:space="preserve">he </w:t>
      </w:r>
      <w:r w:rsidR="00F465CD" w:rsidRPr="00720B6A">
        <w:rPr>
          <w:rFonts w:cstheme="majorBidi"/>
        </w:rPr>
        <w:t xml:space="preserve">Deputy </w:t>
      </w:r>
      <w:r w:rsidRPr="00720B6A">
        <w:rPr>
          <w:rFonts w:cstheme="majorBidi"/>
        </w:rPr>
        <w:t xml:space="preserve">Secretary-General Mr. </w:t>
      </w:r>
      <w:r w:rsidR="00F465CD" w:rsidRPr="00720B6A">
        <w:rPr>
          <w:rFonts w:cstheme="majorBidi"/>
        </w:rPr>
        <w:t>Malcolm Johnson</w:t>
      </w:r>
      <w:r w:rsidRPr="00720B6A">
        <w:rPr>
          <w:rFonts w:cstheme="majorBidi"/>
        </w:rPr>
        <w:t xml:space="preserve">, welcomed the participants to the </w:t>
      </w:r>
      <w:r w:rsidR="00F465CD" w:rsidRPr="00720B6A">
        <w:rPr>
          <w:rFonts w:cstheme="majorBidi"/>
        </w:rPr>
        <w:t>third</w:t>
      </w:r>
      <w:r w:rsidRPr="00720B6A">
        <w:rPr>
          <w:rFonts w:cstheme="majorBidi"/>
        </w:rPr>
        <w:t xml:space="preserve"> meeting of EG-ITRs. He stressed the importance of the work that lies ahead of the Group</w:t>
      </w:r>
      <w:r w:rsidR="00D8485D" w:rsidRPr="00720B6A">
        <w:rPr>
          <w:rFonts w:cstheme="majorBidi"/>
        </w:rPr>
        <w:t xml:space="preserve"> and expressed his confidence </w:t>
      </w:r>
      <w:r w:rsidR="00096EAD" w:rsidRPr="00720B6A">
        <w:rPr>
          <w:rFonts w:cstheme="majorBidi"/>
        </w:rPr>
        <w:t xml:space="preserve">that the meeting will demonstrate a spirit of compromise in delivering the </w:t>
      </w:r>
      <w:r w:rsidR="00D8485D" w:rsidRPr="00720B6A">
        <w:rPr>
          <w:rFonts w:cstheme="majorBidi"/>
        </w:rPr>
        <w:t>results</w:t>
      </w:r>
      <w:r w:rsidR="00096EAD" w:rsidRPr="00720B6A">
        <w:rPr>
          <w:rFonts w:cstheme="majorBidi"/>
        </w:rPr>
        <w:t xml:space="preserve">, </w:t>
      </w:r>
      <w:r w:rsidR="00D8485D" w:rsidRPr="00720B6A">
        <w:rPr>
          <w:rFonts w:cstheme="majorBidi"/>
        </w:rPr>
        <w:t xml:space="preserve">mandated by PP14 and Council 2016. </w:t>
      </w:r>
    </w:p>
    <w:p w:rsidR="00C30BAD" w:rsidRPr="00720B6A" w:rsidRDefault="00C30BAD" w:rsidP="00720B6A">
      <w:pPr>
        <w:snapToGrid w:val="0"/>
        <w:spacing w:before="100" w:beforeAutospacing="1" w:after="100" w:afterAutospacing="1" w:line="240" w:lineRule="auto"/>
        <w:jc w:val="both"/>
        <w:rPr>
          <w:rFonts w:cstheme="majorBidi"/>
        </w:rPr>
      </w:pPr>
      <w:r w:rsidRPr="00720B6A">
        <w:rPr>
          <w:rFonts w:cstheme="majorBidi"/>
          <w:b/>
          <w:bCs/>
        </w:rPr>
        <w:t>1.2</w:t>
      </w:r>
      <w:r w:rsidRPr="00720B6A">
        <w:rPr>
          <w:rFonts w:cstheme="majorBidi"/>
        </w:rPr>
        <w:tab/>
        <w:t>The Chairman thanked the Deputy Secretary-General and Directors for their support. The Chairman stressed the need for the Group to work together in the spirit of consensus and thanked the Vice Chairs for their valuable support and advi</w:t>
      </w:r>
      <w:r w:rsidR="00096EAD" w:rsidRPr="00720B6A">
        <w:rPr>
          <w:rFonts w:cstheme="majorBidi"/>
        </w:rPr>
        <w:t xml:space="preserve">ce during the course of the </w:t>
      </w:r>
      <w:r w:rsidR="00247560" w:rsidRPr="00720B6A">
        <w:rPr>
          <w:rFonts w:cstheme="majorBidi"/>
        </w:rPr>
        <w:t xml:space="preserve">work </w:t>
      </w:r>
      <w:r w:rsidR="00584D5F" w:rsidRPr="00720B6A">
        <w:rPr>
          <w:rFonts w:cstheme="majorBidi"/>
        </w:rPr>
        <w:t>of this Group</w:t>
      </w:r>
      <w:r w:rsidRPr="00720B6A">
        <w:rPr>
          <w:rFonts w:cstheme="majorBidi"/>
        </w:rPr>
        <w:t xml:space="preserve">. </w:t>
      </w:r>
    </w:p>
    <w:p w:rsidR="00C30BAD" w:rsidRPr="00720B6A" w:rsidRDefault="00C30BAD" w:rsidP="00720B6A">
      <w:pPr>
        <w:snapToGrid w:val="0"/>
        <w:spacing w:before="100" w:beforeAutospacing="1" w:after="100" w:afterAutospacing="1" w:line="240" w:lineRule="auto"/>
        <w:jc w:val="both"/>
        <w:outlineLvl w:val="0"/>
        <w:rPr>
          <w:rFonts w:cstheme="majorBidi"/>
          <w:b/>
          <w:bCs/>
        </w:rPr>
      </w:pPr>
      <w:r w:rsidRPr="00720B6A">
        <w:rPr>
          <w:rFonts w:cstheme="majorBidi"/>
          <w:b/>
        </w:rPr>
        <w:t>2</w:t>
      </w:r>
      <w:r w:rsidR="004C54C9" w:rsidRPr="00720B6A">
        <w:rPr>
          <w:rFonts w:cstheme="majorBidi"/>
          <w:b/>
        </w:rPr>
        <w:t>.</w:t>
      </w:r>
      <w:r w:rsidRPr="00720B6A">
        <w:rPr>
          <w:rFonts w:cstheme="majorBidi"/>
          <w:b/>
        </w:rPr>
        <w:tab/>
        <w:t>Adoption of the Agenda and allocation of documents</w:t>
      </w:r>
    </w:p>
    <w:p w:rsidR="00C30BAD" w:rsidRPr="00720B6A" w:rsidRDefault="00C30BAD" w:rsidP="00720B6A">
      <w:pPr>
        <w:snapToGrid w:val="0"/>
        <w:spacing w:before="100" w:beforeAutospacing="1" w:after="100" w:afterAutospacing="1" w:line="240" w:lineRule="auto"/>
        <w:jc w:val="both"/>
        <w:rPr>
          <w:rFonts w:cstheme="majorBidi"/>
        </w:rPr>
      </w:pPr>
      <w:r w:rsidRPr="00720B6A">
        <w:rPr>
          <w:rFonts w:cstheme="majorBidi"/>
        </w:rPr>
        <w:t>The Agenda (</w:t>
      </w:r>
      <w:hyperlink r:id="rId8" w:history="1">
        <w:r w:rsidRPr="00720B6A">
          <w:rPr>
            <w:rStyle w:val="Hyperlink"/>
            <w:rFonts w:cstheme="majorBidi"/>
          </w:rPr>
          <w:t xml:space="preserve">EG-ITRs </w:t>
        </w:r>
        <w:r w:rsidR="002833C4" w:rsidRPr="00720B6A">
          <w:rPr>
            <w:rStyle w:val="Hyperlink"/>
            <w:rFonts w:cstheme="majorBidi"/>
          </w:rPr>
          <w:t>4</w:t>
        </w:r>
        <w:r w:rsidRPr="00720B6A">
          <w:rPr>
            <w:rStyle w:val="Hyperlink"/>
            <w:rFonts w:cstheme="majorBidi"/>
          </w:rPr>
          <w:t>/1 (Rev.</w:t>
        </w:r>
        <w:r w:rsidR="002833C4" w:rsidRPr="00720B6A">
          <w:rPr>
            <w:rStyle w:val="Hyperlink"/>
            <w:rFonts w:cstheme="majorBidi"/>
          </w:rPr>
          <w:t>4</w:t>
        </w:r>
        <w:r w:rsidRPr="00720B6A">
          <w:rPr>
            <w:rStyle w:val="Hyperlink"/>
            <w:rFonts w:cstheme="majorBidi"/>
          </w:rPr>
          <w:t>)</w:t>
        </w:r>
      </w:hyperlink>
      <w:r w:rsidRPr="00720B6A">
        <w:rPr>
          <w:rFonts w:cstheme="majorBidi"/>
        </w:rPr>
        <w:t>) was presented by the Chairman and adopted as presented.</w:t>
      </w:r>
      <w:r w:rsidR="00F465CD" w:rsidRPr="00720B6A">
        <w:rPr>
          <w:rFonts w:cstheme="majorBidi"/>
        </w:rPr>
        <w:t xml:space="preserve">  </w:t>
      </w:r>
    </w:p>
    <w:p w:rsidR="00027968" w:rsidRPr="00720B6A" w:rsidRDefault="00D805C4" w:rsidP="00720B6A">
      <w:pPr>
        <w:snapToGrid w:val="0"/>
        <w:spacing w:before="100" w:beforeAutospacing="1" w:after="100" w:afterAutospacing="1" w:line="240" w:lineRule="auto"/>
        <w:ind w:left="720" w:hanging="720"/>
        <w:jc w:val="both"/>
        <w:outlineLvl w:val="0"/>
        <w:rPr>
          <w:rFonts w:cstheme="majorBidi"/>
          <w:b/>
          <w:bCs/>
        </w:rPr>
      </w:pPr>
      <w:r w:rsidRPr="00720B6A">
        <w:rPr>
          <w:rFonts w:cstheme="majorBidi"/>
          <w:b/>
          <w:bCs/>
        </w:rPr>
        <w:t>3.</w:t>
      </w:r>
      <w:r w:rsidRPr="00720B6A">
        <w:rPr>
          <w:rFonts w:cstheme="majorBidi"/>
          <w:b/>
          <w:bCs/>
        </w:rPr>
        <w:tab/>
        <w:t xml:space="preserve">Discussion on </w:t>
      </w:r>
      <w:r w:rsidR="007F0BD6" w:rsidRPr="00720B6A">
        <w:rPr>
          <w:rFonts w:cstheme="majorBidi"/>
          <w:b/>
          <w:bCs/>
        </w:rPr>
        <w:t xml:space="preserve">Information </w:t>
      </w:r>
      <w:r w:rsidR="004C540A" w:rsidRPr="00720B6A">
        <w:rPr>
          <w:rFonts w:cstheme="majorBidi"/>
          <w:b/>
          <w:bCs/>
        </w:rPr>
        <w:t xml:space="preserve">Document </w:t>
      </w:r>
      <w:hyperlink r:id="rId9" w:history="1">
        <w:r w:rsidR="00B079DB" w:rsidRPr="00720B6A">
          <w:rPr>
            <w:rStyle w:val="Hyperlink"/>
            <w:rFonts w:cstheme="majorBidi"/>
            <w:b/>
            <w:bCs/>
          </w:rPr>
          <w:t>EG-ITRs-4/INF/2</w:t>
        </w:r>
      </w:hyperlink>
      <w:r w:rsidR="004C540A" w:rsidRPr="00720B6A">
        <w:rPr>
          <w:rFonts w:cstheme="majorBidi"/>
          <w:b/>
          <w:spacing w:val="-4"/>
        </w:rPr>
        <w:t xml:space="preserve">: </w:t>
      </w:r>
      <w:r w:rsidR="00027968" w:rsidRPr="00720B6A">
        <w:rPr>
          <w:rFonts w:cstheme="majorBidi"/>
          <w:b/>
          <w:bCs/>
        </w:rPr>
        <w:t xml:space="preserve">TSB Director's input </w:t>
      </w:r>
      <w:r w:rsidR="00B079DB" w:rsidRPr="00720B6A">
        <w:rPr>
          <w:rFonts w:cstheme="majorBidi"/>
          <w:b/>
          <w:bCs/>
        </w:rPr>
        <w:t>on the ITRs</w:t>
      </w:r>
      <w:r w:rsidR="00027968" w:rsidRPr="00720B6A">
        <w:rPr>
          <w:rFonts w:cstheme="majorBidi"/>
          <w:b/>
          <w:bCs/>
        </w:rPr>
        <w:t xml:space="preserve"> </w:t>
      </w:r>
    </w:p>
    <w:p w:rsidR="004C540A" w:rsidRPr="00720B6A" w:rsidRDefault="00660555" w:rsidP="00720B6A">
      <w:pPr>
        <w:pStyle w:val="ListParagraph"/>
        <w:numPr>
          <w:ilvl w:val="0"/>
          <w:numId w:val="1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asciiTheme="minorHAnsi" w:eastAsiaTheme="minorEastAsia" w:hAnsiTheme="minorHAnsi" w:cstheme="majorBidi"/>
          <w:sz w:val="22"/>
          <w:szCs w:val="22"/>
          <w:lang w:val="en-US" w:eastAsia="zh-CN"/>
        </w:rPr>
      </w:pPr>
      <w:r w:rsidRPr="00720B6A">
        <w:rPr>
          <w:rFonts w:asciiTheme="minorHAnsi" w:eastAsiaTheme="minorEastAsia" w:hAnsiTheme="minorHAnsi" w:cstheme="majorBidi"/>
          <w:sz w:val="22"/>
          <w:szCs w:val="22"/>
          <w:lang w:val="en-US" w:eastAsia="zh-CN"/>
        </w:rPr>
        <w:t>The TSB Director reported on the responses received from the ITU-T study groups regarding the ITRs</w:t>
      </w:r>
      <w:r w:rsidR="004C540A" w:rsidRPr="00720B6A">
        <w:rPr>
          <w:rFonts w:asciiTheme="minorHAnsi" w:eastAsiaTheme="minorEastAsia" w:hAnsiTheme="minorHAnsi" w:cstheme="majorBidi"/>
          <w:sz w:val="22"/>
          <w:szCs w:val="22"/>
          <w:lang w:val="en-US" w:eastAsia="zh-CN"/>
        </w:rPr>
        <w:t>.</w:t>
      </w:r>
    </w:p>
    <w:p w:rsidR="001B2BF9" w:rsidRPr="00720B6A" w:rsidRDefault="001B2BF9" w:rsidP="00720B6A">
      <w:pPr>
        <w:pStyle w:val="ListParagraph"/>
        <w:numPr>
          <w:ilvl w:val="0"/>
          <w:numId w:val="1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asciiTheme="minorHAnsi" w:eastAsiaTheme="minorEastAsia" w:hAnsiTheme="minorHAnsi" w:cstheme="majorBidi"/>
          <w:sz w:val="22"/>
          <w:szCs w:val="22"/>
          <w:lang w:val="en-US" w:eastAsia="zh-CN"/>
        </w:rPr>
      </w:pPr>
      <w:r w:rsidRPr="00720B6A">
        <w:rPr>
          <w:rFonts w:asciiTheme="minorHAnsi" w:eastAsiaTheme="minorEastAsia" w:hAnsiTheme="minorHAnsi" w:cstheme="majorBidi"/>
          <w:sz w:val="22"/>
          <w:szCs w:val="22"/>
          <w:lang w:val="en-US" w:eastAsia="zh-CN"/>
        </w:rPr>
        <w:t xml:space="preserve">TSB Director </w:t>
      </w:r>
      <w:r w:rsidR="002E5DC2" w:rsidRPr="00720B6A">
        <w:rPr>
          <w:rFonts w:asciiTheme="minorHAnsi" w:eastAsiaTheme="minorEastAsia" w:hAnsiTheme="minorHAnsi" w:cstheme="majorBidi"/>
          <w:sz w:val="22"/>
          <w:szCs w:val="22"/>
          <w:lang w:val="en-US" w:eastAsia="zh-CN"/>
        </w:rPr>
        <w:t>point</w:t>
      </w:r>
      <w:r w:rsidR="00C36D09" w:rsidRPr="00720B6A">
        <w:rPr>
          <w:rFonts w:asciiTheme="minorHAnsi" w:eastAsiaTheme="minorEastAsia" w:hAnsiTheme="minorHAnsi" w:cstheme="majorBidi"/>
          <w:sz w:val="22"/>
          <w:szCs w:val="22"/>
          <w:lang w:val="en-US" w:eastAsia="zh-CN"/>
        </w:rPr>
        <w:t>ed</w:t>
      </w:r>
      <w:r w:rsidR="002E5DC2" w:rsidRPr="00720B6A">
        <w:rPr>
          <w:rFonts w:asciiTheme="minorHAnsi" w:eastAsiaTheme="minorEastAsia" w:hAnsiTheme="minorHAnsi" w:cstheme="majorBidi"/>
          <w:sz w:val="22"/>
          <w:szCs w:val="22"/>
          <w:lang w:val="en-US" w:eastAsia="zh-CN"/>
        </w:rPr>
        <w:t xml:space="preserve"> out</w:t>
      </w:r>
      <w:r w:rsidRPr="00720B6A">
        <w:rPr>
          <w:rFonts w:asciiTheme="minorHAnsi" w:eastAsiaTheme="minorEastAsia" w:hAnsiTheme="minorHAnsi" w:cstheme="majorBidi"/>
          <w:sz w:val="22"/>
          <w:szCs w:val="22"/>
          <w:lang w:val="en-US" w:eastAsia="zh-CN"/>
        </w:rPr>
        <w:t xml:space="preserve"> that </w:t>
      </w:r>
      <w:r w:rsidR="00F80D81" w:rsidRPr="00720B6A">
        <w:rPr>
          <w:rFonts w:asciiTheme="minorHAnsi" w:eastAsiaTheme="minorEastAsia" w:hAnsiTheme="minorHAnsi" w:cstheme="majorBidi"/>
          <w:sz w:val="22"/>
          <w:szCs w:val="22"/>
          <w:lang w:val="en-US" w:eastAsia="zh-CN"/>
        </w:rPr>
        <w:t xml:space="preserve">the document provided only factual information and did not contain any analysis on the implementation of the ITRs. </w:t>
      </w:r>
    </w:p>
    <w:p w:rsidR="00816D4B" w:rsidRPr="00720B6A" w:rsidRDefault="00816D4B" w:rsidP="00720B6A">
      <w:pPr>
        <w:pStyle w:val="ListParagraph"/>
        <w:numPr>
          <w:ilvl w:val="0"/>
          <w:numId w:val="1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asciiTheme="minorHAnsi" w:eastAsiaTheme="minorEastAsia" w:hAnsiTheme="minorHAnsi" w:cstheme="majorBidi"/>
          <w:sz w:val="22"/>
          <w:szCs w:val="22"/>
          <w:lang w:val="en-US" w:eastAsia="zh-CN"/>
        </w:rPr>
      </w:pPr>
      <w:r w:rsidRPr="00720B6A">
        <w:rPr>
          <w:rFonts w:asciiTheme="minorHAnsi" w:eastAsiaTheme="minorEastAsia" w:hAnsiTheme="minorHAnsi" w:cstheme="majorBidi"/>
          <w:sz w:val="22"/>
          <w:szCs w:val="22"/>
          <w:lang w:val="en-US" w:eastAsia="zh-CN"/>
        </w:rPr>
        <w:t>Some members raised the relevance of the document as a reference for future work.</w:t>
      </w:r>
    </w:p>
    <w:p w:rsidR="004C4617" w:rsidRPr="00720B6A" w:rsidRDefault="00660555" w:rsidP="00720B6A">
      <w:pPr>
        <w:pStyle w:val="ListParagraph"/>
        <w:numPr>
          <w:ilvl w:val="0"/>
          <w:numId w:val="1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asciiTheme="minorHAnsi" w:eastAsiaTheme="minorEastAsia" w:hAnsiTheme="minorHAnsi" w:cstheme="majorBidi"/>
          <w:sz w:val="22"/>
          <w:szCs w:val="22"/>
          <w:lang w:val="en-US" w:eastAsia="zh-CN"/>
        </w:rPr>
      </w:pPr>
      <w:r w:rsidRPr="00720B6A">
        <w:rPr>
          <w:rFonts w:asciiTheme="minorHAnsi" w:eastAsiaTheme="minorEastAsia" w:hAnsiTheme="minorHAnsi" w:cstheme="majorBidi"/>
          <w:sz w:val="22"/>
          <w:szCs w:val="22"/>
          <w:lang w:val="en-US" w:eastAsia="zh-CN"/>
        </w:rPr>
        <w:t xml:space="preserve">The </w:t>
      </w:r>
      <w:r w:rsidR="00E31D1F" w:rsidRPr="00720B6A">
        <w:rPr>
          <w:rFonts w:asciiTheme="minorHAnsi" w:eastAsiaTheme="minorEastAsia" w:hAnsiTheme="minorHAnsi" w:cstheme="majorBidi"/>
          <w:sz w:val="22"/>
          <w:szCs w:val="22"/>
          <w:lang w:val="en-US" w:eastAsia="zh-CN"/>
        </w:rPr>
        <w:t xml:space="preserve">Vice Chairman </w:t>
      </w:r>
      <w:r w:rsidRPr="00720B6A">
        <w:rPr>
          <w:rFonts w:asciiTheme="minorHAnsi" w:eastAsiaTheme="minorEastAsia" w:hAnsiTheme="minorHAnsi" w:cstheme="majorBidi"/>
          <w:sz w:val="22"/>
          <w:szCs w:val="22"/>
          <w:lang w:val="en-US" w:eastAsia="zh-CN"/>
        </w:rPr>
        <w:t xml:space="preserve">of the </w:t>
      </w:r>
      <w:r w:rsidR="00E31D1F" w:rsidRPr="00720B6A">
        <w:rPr>
          <w:rFonts w:asciiTheme="minorHAnsi" w:eastAsiaTheme="minorEastAsia" w:hAnsiTheme="minorHAnsi" w:cstheme="majorBidi"/>
          <w:sz w:val="22"/>
          <w:szCs w:val="22"/>
          <w:lang w:val="en-US" w:eastAsia="zh-CN"/>
        </w:rPr>
        <w:t xml:space="preserve">Americas </w:t>
      </w:r>
      <w:r w:rsidRPr="00720B6A">
        <w:rPr>
          <w:rFonts w:asciiTheme="minorHAnsi" w:eastAsiaTheme="minorEastAsia" w:hAnsiTheme="minorHAnsi" w:cstheme="majorBidi"/>
          <w:sz w:val="22"/>
          <w:szCs w:val="22"/>
          <w:lang w:val="en-US" w:eastAsia="zh-CN"/>
        </w:rPr>
        <w:t>proposed</w:t>
      </w:r>
      <w:r w:rsidR="00E31D1F" w:rsidRPr="00720B6A">
        <w:rPr>
          <w:rFonts w:asciiTheme="minorHAnsi" w:eastAsiaTheme="minorEastAsia" w:hAnsiTheme="minorHAnsi" w:cstheme="majorBidi"/>
          <w:sz w:val="22"/>
          <w:szCs w:val="22"/>
          <w:lang w:val="en-US" w:eastAsia="zh-CN"/>
        </w:rPr>
        <w:t xml:space="preserve"> compromise text for addition to the draft final report</w:t>
      </w:r>
      <w:r w:rsidR="00BD7335" w:rsidRPr="00720B6A">
        <w:rPr>
          <w:rFonts w:asciiTheme="minorHAnsi" w:eastAsiaTheme="minorEastAsia" w:hAnsiTheme="minorHAnsi" w:cstheme="majorBidi"/>
          <w:sz w:val="22"/>
          <w:szCs w:val="22"/>
          <w:lang w:val="en-US" w:eastAsia="zh-CN"/>
        </w:rPr>
        <w:t xml:space="preserve"> of the EG-ITRs</w:t>
      </w:r>
      <w:r w:rsidR="00E31D1F" w:rsidRPr="00720B6A">
        <w:rPr>
          <w:rFonts w:asciiTheme="minorHAnsi" w:eastAsiaTheme="minorEastAsia" w:hAnsiTheme="minorHAnsi" w:cstheme="majorBidi"/>
          <w:sz w:val="22"/>
          <w:szCs w:val="22"/>
          <w:lang w:val="en-US" w:eastAsia="zh-CN"/>
        </w:rPr>
        <w:t xml:space="preserve"> </w:t>
      </w:r>
      <w:r w:rsidR="00816D4B" w:rsidRPr="00720B6A">
        <w:rPr>
          <w:rFonts w:asciiTheme="minorHAnsi" w:eastAsiaTheme="minorEastAsia" w:hAnsiTheme="minorHAnsi" w:cstheme="majorBidi"/>
          <w:sz w:val="22"/>
          <w:szCs w:val="22"/>
          <w:lang w:val="en-US" w:eastAsia="zh-CN"/>
        </w:rPr>
        <w:t xml:space="preserve">in order to establish a reference to the input of the Director of TSB to the EG-ITRs, </w:t>
      </w:r>
      <w:r w:rsidRPr="00720B6A">
        <w:rPr>
          <w:rFonts w:asciiTheme="minorHAnsi" w:eastAsiaTheme="minorEastAsia" w:hAnsiTheme="minorHAnsi" w:cstheme="majorBidi"/>
          <w:sz w:val="22"/>
          <w:szCs w:val="22"/>
          <w:lang w:val="en-US" w:eastAsia="zh-CN"/>
        </w:rPr>
        <w:t>which was agreed to by the Group</w:t>
      </w:r>
      <w:r w:rsidR="00E31D1F" w:rsidRPr="00720B6A">
        <w:rPr>
          <w:rFonts w:asciiTheme="minorHAnsi" w:eastAsiaTheme="minorEastAsia" w:hAnsiTheme="minorHAnsi" w:cstheme="majorBidi"/>
          <w:sz w:val="22"/>
          <w:szCs w:val="22"/>
          <w:lang w:val="en-US" w:eastAsia="zh-CN"/>
        </w:rPr>
        <w:t xml:space="preserve">. </w:t>
      </w:r>
    </w:p>
    <w:p w:rsidR="00B00A4F" w:rsidRPr="00720B6A" w:rsidRDefault="00EE2F2D" w:rsidP="00720B6A">
      <w:pPr>
        <w:snapToGrid w:val="0"/>
        <w:spacing w:before="100" w:beforeAutospacing="1" w:after="100" w:afterAutospacing="1" w:line="240" w:lineRule="auto"/>
        <w:jc w:val="both"/>
        <w:outlineLvl w:val="0"/>
        <w:rPr>
          <w:rFonts w:cstheme="majorBidi"/>
          <w:b/>
        </w:rPr>
      </w:pPr>
      <w:r w:rsidRPr="00720B6A">
        <w:rPr>
          <w:rFonts w:cstheme="majorBidi"/>
          <w:b/>
        </w:rPr>
        <w:t>4</w:t>
      </w:r>
      <w:r w:rsidR="00C30BAD" w:rsidRPr="00720B6A">
        <w:rPr>
          <w:rFonts w:cstheme="majorBidi"/>
          <w:b/>
        </w:rPr>
        <w:tab/>
        <w:t>Summary of Contributions</w:t>
      </w:r>
      <w:r w:rsidR="00277D19" w:rsidRPr="00720B6A">
        <w:rPr>
          <w:rFonts w:cstheme="majorBidi"/>
          <w:b/>
        </w:rPr>
        <w:t xml:space="preserve"> </w:t>
      </w:r>
      <w:r w:rsidR="008D7A87" w:rsidRPr="00720B6A">
        <w:rPr>
          <w:rFonts w:cstheme="majorBidi"/>
          <w:b/>
        </w:rPr>
        <w:t>to the fourth meeting</w:t>
      </w:r>
    </w:p>
    <w:p w:rsidR="00E01015" w:rsidRPr="00720B6A" w:rsidRDefault="00E01015" w:rsidP="00720B6A">
      <w:pPr>
        <w:jc w:val="both"/>
        <w:rPr>
          <w:b/>
        </w:rPr>
      </w:pPr>
      <w:r w:rsidRPr="00720B6A">
        <w:t>The contributions, as submitted by the authors of the documents, are summarized as follows:</w:t>
      </w:r>
    </w:p>
    <w:p w:rsidR="002D53C6" w:rsidRPr="00720B6A" w:rsidRDefault="002D53C6" w:rsidP="00A009B8">
      <w:pPr>
        <w:keepNext/>
        <w:spacing w:before="100" w:beforeAutospacing="1" w:after="100" w:afterAutospacing="1" w:line="240" w:lineRule="auto"/>
        <w:ind w:left="720" w:hanging="720"/>
        <w:jc w:val="both"/>
        <w:rPr>
          <w:b/>
        </w:rPr>
      </w:pPr>
      <w:r w:rsidRPr="00720B6A">
        <w:rPr>
          <w:b/>
        </w:rPr>
        <w:t>4.1</w:t>
      </w:r>
      <w:r w:rsidRPr="00720B6A">
        <w:rPr>
          <w:b/>
        </w:rPr>
        <w:tab/>
        <w:t xml:space="preserve">Contribution </w:t>
      </w:r>
      <w:hyperlink r:id="rId10" w:history="1">
        <w:r w:rsidRPr="00720B6A">
          <w:rPr>
            <w:rStyle w:val="Hyperlink"/>
            <w:b/>
          </w:rPr>
          <w:t>EG-ITRs 4/2</w:t>
        </w:r>
      </w:hyperlink>
      <w:r w:rsidRPr="00720B6A">
        <w:rPr>
          <w:b/>
        </w:rPr>
        <w:t xml:space="preserve"> from Côte d'Ivoire - Comments from African Region on Draft Report 2.0</w:t>
      </w:r>
      <w:r w:rsidR="00A009B8">
        <w:rPr>
          <w:b/>
        </w:rPr>
        <w:t xml:space="preserve"> </w:t>
      </w:r>
    </w:p>
    <w:p w:rsidR="006C6048" w:rsidRPr="00720B6A" w:rsidRDefault="006C6048" w:rsidP="00A009B8">
      <w:pPr>
        <w:keepNext/>
        <w:spacing w:before="100" w:beforeAutospacing="1" w:after="100" w:afterAutospacing="1" w:line="240" w:lineRule="auto"/>
        <w:jc w:val="both"/>
        <w:rPr>
          <w:bCs/>
        </w:rPr>
      </w:pPr>
      <w:r w:rsidRPr="00720B6A">
        <w:rPr>
          <w:bCs/>
        </w:rPr>
        <w:lastRenderedPageBreak/>
        <w:t xml:space="preserve">Noting the divergent views on the ITRs, the African region </w:t>
      </w:r>
      <w:r w:rsidR="00ED04EA" w:rsidRPr="00720B6A">
        <w:rPr>
          <w:bCs/>
        </w:rPr>
        <w:t>emphasizes</w:t>
      </w:r>
      <w:r w:rsidRPr="00720B6A">
        <w:rPr>
          <w:bCs/>
        </w:rPr>
        <w:t xml:space="preserve"> its position as followed:</w:t>
      </w:r>
    </w:p>
    <w:p w:rsidR="006C6048" w:rsidRPr="00720B6A" w:rsidRDefault="006C6048" w:rsidP="00720B6A">
      <w:pPr>
        <w:numPr>
          <w:ilvl w:val="0"/>
          <w:numId w:val="27"/>
        </w:numPr>
        <w:spacing w:before="100" w:beforeAutospacing="1" w:after="100" w:afterAutospacing="1" w:line="240" w:lineRule="auto"/>
        <w:jc w:val="both"/>
        <w:rPr>
          <w:bCs/>
        </w:rPr>
      </w:pPr>
      <w:r w:rsidRPr="00720B6A">
        <w:rPr>
          <w:bCs/>
        </w:rPr>
        <w:t>ITR is still relevant</w:t>
      </w:r>
    </w:p>
    <w:p w:rsidR="006C6048" w:rsidRPr="00720B6A" w:rsidRDefault="006C6048" w:rsidP="00720B6A">
      <w:pPr>
        <w:numPr>
          <w:ilvl w:val="0"/>
          <w:numId w:val="27"/>
        </w:numPr>
        <w:spacing w:before="100" w:beforeAutospacing="1" w:after="100" w:afterAutospacing="1" w:line="240" w:lineRule="auto"/>
        <w:jc w:val="both"/>
        <w:rPr>
          <w:bCs/>
        </w:rPr>
      </w:pPr>
      <w:r w:rsidRPr="00720B6A">
        <w:rPr>
          <w:bCs/>
        </w:rPr>
        <w:t>The need to have one version of the ITR</w:t>
      </w:r>
    </w:p>
    <w:p w:rsidR="006C6048" w:rsidRPr="00720B6A" w:rsidRDefault="006C6048" w:rsidP="00720B6A">
      <w:pPr>
        <w:numPr>
          <w:ilvl w:val="0"/>
          <w:numId w:val="27"/>
        </w:numPr>
        <w:spacing w:before="100" w:beforeAutospacing="1" w:after="100" w:afterAutospacing="1" w:line="240" w:lineRule="auto"/>
        <w:jc w:val="both"/>
        <w:rPr>
          <w:bCs/>
        </w:rPr>
      </w:pPr>
      <w:r w:rsidRPr="00720B6A">
        <w:rPr>
          <w:bCs/>
        </w:rPr>
        <w:t>While recognizing the need to revise the ITR, we need to have a consensus on the contentious issues before holding another WCIT</w:t>
      </w:r>
    </w:p>
    <w:p w:rsidR="006C6048" w:rsidRPr="00720B6A" w:rsidRDefault="006C6048" w:rsidP="00720B6A">
      <w:pPr>
        <w:spacing w:before="100" w:beforeAutospacing="1" w:after="100" w:afterAutospacing="1" w:line="240" w:lineRule="auto"/>
        <w:jc w:val="both"/>
        <w:rPr>
          <w:bCs/>
        </w:rPr>
      </w:pPr>
      <w:r w:rsidRPr="00720B6A">
        <w:rPr>
          <w:bCs/>
        </w:rPr>
        <w:t>Council to consider the proposal from African group for an extended term and mandate for the expert group to be addressed to the next PP 18.</w:t>
      </w:r>
    </w:p>
    <w:p w:rsidR="00A5042E" w:rsidRPr="00720B6A" w:rsidRDefault="006C6048" w:rsidP="00A009B8">
      <w:pPr>
        <w:spacing w:before="100" w:beforeAutospacing="1" w:after="100" w:afterAutospacing="1" w:line="240" w:lineRule="auto"/>
        <w:ind w:left="720" w:hanging="720"/>
        <w:jc w:val="both"/>
        <w:rPr>
          <w:rFonts w:cstheme="majorBidi"/>
          <w:b/>
          <w:spacing w:val="-4"/>
        </w:rPr>
      </w:pPr>
      <w:r w:rsidRPr="00720B6A">
        <w:rPr>
          <w:b/>
        </w:rPr>
        <w:t>4.</w:t>
      </w:r>
      <w:r w:rsidR="001F5480" w:rsidRPr="00720B6A">
        <w:rPr>
          <w:b/>
        </w:rPr>
        <w:t>2</w:t>
      </w:r>
      <w:r w:rsidRPr="00720B6A">
        <w:rPr>
          <w:b/>
        </w:rPr>
        <w:tab/>
      </w:r>
      <w:r w:rsidR="00A5042E" w:rsidRPr="00720B6A">
        <w:rPr>
          <w:rFonts w:cstheme="majorBidi"/>
          <w:b/>
          <w:spacing w:val="-4"/>
        </w:rPr>
        <w:t xml:space="preserve">Contribution </w:t>
      </w:r>
      <w:hyperlink r:id="rId11" w:history="1">
        <w:r w:rsidR="00A5042E" w:rsidRPr="00720B6A">
          <w:rPr>
            <w:rStyle w:val="Hyperlink"/>
            <w:rFonts w:cstheme="majorBidi"/>
            <w:b/>
            <w:spacing w:val="-4"/>
          </w:rPr>
          <w:t>EG-ITRs 4/6</w:t>
        </w:r>
      </w:hyperlink>
      <w:r w:rsidR="00A5042E" w:rsidRPr="00720B6A">
        <w:rPr>
          <w:rFonts w:cstheme="majorBidi"/>
          <w:b/>
          <w:spacing w:val="-4"/>
        </w:rPr>
        <w:t xml:space="preserve"> from the Russian Federation - Proposals for clarification of published ITRs (Version 2012) for use by Member States and Telecommunication Operators    </w:t>
      </w:r>
    </w:p>
    <w:p w:rsidR="007B1597" w:rsidRPr="00720B6A" w:rsidRDefault="007B1597" w:rsidP="00720B6A">
      <w:pPr>
        <w:spacing w:before="100" w:beforeAutospacing="1" w:after="100" w:afterAutospacing="1" w:line="240" w:lineRule="auto"/>
        <w:jc w:val="both"/>
        <w:rPr>
          <w:rFonts w:cstheme="majorBidi"/>
          <w:bCs/>
          <w:spacing w:val="-4"/>
        </w:rPr>
      </w:pPr>
      <w:r w:rsidRPr="00720B6A">
        <w:rPr>
          <w:rFonts w:cstheme="majorBidi"/>
          <w:bCs/>
          <w:spacing w:val="-4"/>
        </w:rPr>
        <w:t xml:space="preserve">The contribution states that ITRs 2012 are used by the operating agencies when entering into commercial contracts, resolving disputes, including in courts, and performing other relevant in law actions and face confusion with the two versions of the ITR 2012 published on the WCIT web-page at </w:t>
      </w:r>
      <w:hyperlink r:id="rId12" w:history="1">
        <w:r w:rsidRPr="00720B6A">
          <w:rPr>
            <w:rStyle w:val="Hyperlink"/>
            <w:rFonts w:cstheme="majorBidi"/>
            <w:bCs/>
            <w:spacing w:val="-4"/>
          </w:rPr>
          <w:t>https://www.itu.int/en/wcit-12/Documents/final-acts-wcit-12.pdf</w:t>
        </w:r>
      </w:hyperlink>
      <w:r w:rsidRPr="00720B6A">
        <w:rPr>
          <w:rFonts w:cstheme="majorBidi"/>
          <w:bCs/>
          <w:spacing w:val="-4"/>
        </w:rPr>
        <w:t xml:space="preserve"> and on the ITU publications page at </w:t>
      </w:r>
      <w:hyperlink r:id="rId13" w:history="1">
        <w:r w:rsidRPr="00720B6A">
          <w:rPr>
            <w:rStyle w:val="Hyperlink"/>
            <w:rFonts w:cstheme="majorBidi"/>
            <w:bCs/>
            <w:spacing w:val="-4"/>
          </w:rPr>
          <w:t>https://www.itu.int/pub/S-CONF-WCIT-2012/en</w:t>
        </w:r>
      </w:hyperlink>
      <w:r w:rsidRPr="00720B6A">
        <w:rPr>
          <w:rFonts w:cstheme="majorBidi"/>
          <w:bCs/>
          <w:spacing w:val="-4"/>
        </w:rPr>
        <w:t xml:space="preserve"> (which also requires registration/authorization).</w:t>
      </w:r>
    </w:p>
    <w:p w:rsidR="007B1597" w:rsidRPr="00720B6A" w:rsidRDefault="007B1597" w:rsidP="00720B6A">
      <w:pPr>
        <w:spacing w:before="100" w:beforeAutospacing="1" w:after="100" w:afterAutospacing="1" w:line="240" w:lineRule="auto"/>
        <w:jc w:val="both"/>
        <w:rPr>
          <w:rFonts w:cstheme="majorBidi"/>
          <w:bCs/>
          <w:spacing w:val="-4"/>
        </w:rPr>
      </w:pPr>
      <w:r w:rsidRPr="00720B6A">
        <w:rPr>
          <w:rFonts w:cstheme="majorBidi"/>
          <w:bCs/>
          <w:spacing w:val="-4"/>
        </w:rPr>
        <w:t>Taking into account that the ITRs is the international legally binding document and the use of different versions of the same treaty leads to legal collisions and significantly complicates consideration and resolution of disputes between telecommunication operators, the contribution requested the Legal Adviser to clarify which version of the ITRs (2012) should be used by telecommunication operators for their relevant in law actions, as well as the ITU Secretariat to ensure free access to the document without registration.</w:t>
      </w:r>
    </w:p>
    <w:p w:rsidR="00C01837" w:rsidRPr="00720B6A" w:rsidRDefault="001F5480" w:rsidP="00A009B8">
      <w:pPr>
        <w:snapToGrid w:val="0"/>
        <w:spacing w:before="100" w:beforeAutospacing="1" w:after="100" w:afterAutospacing="1" w:line="240" w:lineRule="auto"/>
        <w:ind w:left="720" w:hanging="720"/>
        <w:jc w:val="both"/>
        <w:outlineLvl w:val="0"/>
        <w:rPr>
          <w:rFonts w:cstheme="majorBidi"/>
          <w:b/>
        </w:rPr>
      </w:pPr>
      <w:r w:rsidRPr="00720B6A">
        <w:rPr>
          <w:rFonts w:cstheme="majorBidi"/>
          <w:b/>
        </w:rPr>
        <w:t>4.3</w:t>
      </w:r>
      <w:r w:rsidRPr="00720B6A">
        <w:rPr>
          <w:rFonts w:cstheme="majorBidi"/>
          <w:b/>
        </w:rPr>
        <w:tab/>
        <w:t xml:space="preserve">Contribution </w:t>
      </w:r>
      <w:hyperlink r:id="rId14" w:history="1">
        <w:r w:rsidRPr="00720B6A">
          <w:rPr>
            <w:rStyle w:val="Hyperlink"/>
            <w:rFonts w:cstheme="majorBidi"/>
            <w:b/>
          </w:rPr>
          <w:t>EG-ITRs 4/7</w:t>
        </w:r>
      </w:hyperlink>
      <w:r w:rsidRPr="00720B6A">
        <w:rPr>
          <w:rFonts w:cstheme="majorBidi"/>
          <w:b/>
        </w:rPr>
        <w:t xml:space="preserve"> from Bell Mobility (Canada); KDDI, NTT DOCOMO Inc. (Japan); BT (United Kingdom); AT&amp;T, Verizon (United States of America) - Review of the 2012 ITRs  </w:t>
      </w:r>
    </w:p>
    <w:p w:rsidR="001F5480" w:rsidRPr="00720B6A" w:rsidRDefault="001F5480" w:rsidP="00720B6A">
      <w:pPr>
        <w:jc w:val="both"/>
      </w:pPr>
      <w:r w:rsidRPr="00720B6A">
        <w:t xml:space="preserve">Contribution EG-ITRs-4/7 was submitted by Bell Mobility (Canada); KDDI, NTT DOCOMO Inc. (Japan); BT (United Kingdom); AT&amp;T, Verizon (United States of America).  Together, these companies exchange traffic with other operators to provide international telecommunication services to more than 220 UN recognized countries and territories.  The document </w:t>
      </w:r>
      <w:r w:rsidR="00BF5AB7">
        <w:t>expressed</w:t>
      </w:r>
      <w:r w:rsidRPr="00720B6A">
        <w:t xml:space="preserve"> the following key points based on the operators’ collective operational experience:  </w:t>
      </w:r>
      <w:proofErr w:type="spellStart"/>
      <w:r w:rsidRPr="00720B6A">
        <w:t>i</w:t>
      </w:r>
      <w:proofErr w:type="spellEnd"/>
      <w:r w:rsidRPr="00720B6A">
        <w:t xml:space="preserve">) the ITRs are no longer applicable to or relevant in today’s highly competitive international telecommunications market as the companies exchange virtually all international traffic globally through commercially-negotiated agreements, and any traffic settled under the ITRs is negligible; ii) the continued successful deployment and use of telecommunication infrastructure and services worldwide is mostly realized through policy frameworks that support ongoing innovation, market-based competition and private sector investment, rather than through a treaty instrument; and, iii)  to date, the companies have not experienced any practical obstacles resulting from the implementation of the 2012 ITRs.  The contributors also expressed their sincere appreciation to the ITR-EG Chairman and Regional Vice Chairmen for their excellent leadership in carrying out the work of the Group.  </w:t>
      </w:r>
    </w:p>
    <w:p w:rsidR="00A066F0" w:rsidRPr="00720B6A" w:rsidRDefault="00A066F0" w:rsidP="00A009B8">
      <w:pPr>
        <w:keepLines/>
        <w:spacing w:before="100" w:beforeAutospacing="1" w:after="100" w:afterAutospacing="1" w:line="240" w:lineRule="auto"/>
        <w:ind w:left="720" w:hanging="720"/>
        <w:jc w:val="both"/>
        <w:outlineLvl w:val="0"/>
        <w:rPr>
          <w:rFonts w:cstheme="majorBidi"/>
          <w:b/>
          <w:spacing w:val="-4"/>
        </w:rPr>
      </w:pPr>
      <w:r w:rsidRPr="00720B6A">
        <w:rPr>
          <w:rFonts w:cstheme="majorBidi"/>
          <w:b/>
        </w:rPr>
        <w:t>4.4</w:t>
      </w:r>
      <w:r w:rsidRPr="00720B6A">
        <w:rPr>
          <w:rFonts w:cstheme="majorBidi"/>
          <w:b/>
        </w:rPr>
        <w:tab/>
      </w:r>
      <w:r w:rsidRPr="00720B6A">
        <w:rPr>
          <w:rFonts w:cstheme="majorBidi"/>
          <w:b/>
          <w:spacing w:val="-4"/>
        </w:rPr>
        <w:t xml:space="preserve">Contribution </w:t>
      </w:r>
      <w:hyperlink r:id="rId15" w:history="1">
        <w:r w:rsidRPr="00720B6A">
          <w:rPr>
            <w:rStyle w:val="Hyperlink"/>
            <w:rFonts w:cstheme="majorBidi"/>
            <w:b/>
            <w:spacing w:val="-4"/>
          </w:rPr>
          <w:t>EG-ITRs 4/8</w:t>
        </w:r>
      </w:hyperlink>
      <w:r w:rsidRPr="00720B6A">
        <w:rPr>
          <w:rFonts w:cstheme="majorBidi"/>
          <w:b/>
          <w:spacing w:val="-4"/>
        </w:rPr>
        <w:t xml:space="preserve"> from</w:t>
      </w:r>
      <w:r w:rsidRPr="00720B6A">
        <w:rPr>
          <w:b/>
        </w:rPr>
        <w:t xml:space="preserve"> </w:t>
      </w:r>
      <w:proofErr w:type="spellStart"/>
      <w:r w:rsidRPr="00720B6A">
        <w:rPr>
          <w:rFonts w:cstheme="majorBidi"/>
          <w:b/>
          <w:spacing w:val="-4"/>
        </w:rPr>
        <w:t>Beltelecom</w:t>
      </w:r>
      <w:proofErr w:type="spellEnd"/>
      <w:r w:rsidRPr="00720B6A">
        <w:rPr>
          <w:rFonts w:cstheme="majorBidi"/>
          <w:b/>
          <w:spacing w:val="-4"/>
        </w:rPr>
        <w:t xml:space="preserve"> (Belarus), </w:t>
      </w:r>
      <w:proofErr w:type="spellStart"/>
      <w:r w:rsidRPr="00720B6A">
        <w:rPr>
          <w:rFonts w:cstheme="majorBidi"/>
          <w:b/>
          <w:spacing w:val="-4"/>
        </w:rPr>
        <w:t>MegaFon</w:t>
      </w:r>
      <w:proofErr w:type="spellEnd"/>
      <w:r w:rsidRPr="00720B6A">
        <w:rPr>
          <w:rFonts w:cstheme="majorBidi"/>
          <w:b/>
          <w:spacing w:val="-4"/>
        </w:rPr>
        <w:t xml:space="preserve"> (Russian Federation), </w:t>
      </w:r>
      <w:proofErr w:type="spellStart"/>
      <w:r w:rsidRPr="00720B6A">
        <w:rPr>
          <w:rFonts w:cstheme="majorBidi"/>
          <w:b/>
          <w:spacing w:val="-4"/>
        </w:rPr>
        <w:t>Kazakhtelecom</w:t>
      </w:r>
      <w:proofErr w:type="spellEnd"/>
      <w:r w:rsidRPr="00720B6A">
        <w:rPr>
          <w:rFonts w:cstheme="majorBidi"/>
          <w:b/>
          <w:spacing w:val="-4"/>
        </w:rPr>
        <w:t xml:space="preserve"> (Kazakhstan), </w:t>
      </w:r>
      <w:proofErr w:type="spellStart"/>
      <w:r w:rsidRPr="00720B6A">
        <w:rPr>
          <w:rFonts w:cstheme="majorBidi"/>
          <w:b/>
          <w:spacing w:val="-4"/>
        </w:rPr>
        <w:t>Rostelecom</w:t>
      </w:r>
      <w:proofErr w:type="spellEnd"/>
      <w:r w:rsidRPr="00720B6A">
        <w:rPr>
          <w:rFonts w:cstheme="majorBidi"/>
          <w:b/>
          <w:spacing w:val="-4"/>
        </w:rPr>
        <w:t xml:space="preserve"> (Russian Federation); Armenia, Azerbaijan, Belarus, Kazakhstan, Kyrgyzstan, Russian Federation, Tajikistan, Uzbekistan - Application of the International Telecommunication Regulations and relevant recommendations of the ITU-T sector</w:t>
      </w:r>
    </w:p>
    <w:p w:rsidR="007B1597" w:rsidRPr="00720B6A" w:rsidRDefault="007B1597" w:rsidP="00A009B8">
      <w:pPr>
        <w:keepLines/>
        <w:jc w:val="both"/>
      </w:pPr>
      <w:r w:rsidRPr="00720B6A">
        <w:t>The Administrations of RCC/CIS Member States carried out a survey of telecommunication operators concerning the application of the provisions ITRs and of relevant ITU-T Recommendations. Result of the survey:</w:t>
      </w:r>
    </w:p>
    <w:p w:rsidR="007B1597" w:rsidRPr="00720B6A" w:rsidRDefault="007B1597" w:rsidP="00720B6A">
      <w:pPr>
        <w:jc w:val="both"/>
      </w:pPr>
      <w:r w:rsidRPr="00720B6A">
        <w:t>- telecommunication operators in RCC/CIS countries, in their relations with foreign partners, apply individual provisions of the ITRs, either by explicit reference to specific points in the ITRs or indirectly, by incorporation of such provisions in commercial agreements without a reference to the ITRs, including cases, when there are no such provisions in the national legislation of the telecommunication operator’s country.</w:t>
      </w:r>
    </w:p>
    <w:p w:rsidR="007B1597" w:rsidRPr="00720B6A" w:rsidRDefault="007B1597" w:rsidP="00720B6A">
      <w:pPr>
        <w:jc w:val="both"/>
      </w:pPr>
      <w:r w:rsidRPr="00720B6A">
        <w:t>- operators noted a number of issues that could be covered by the ITRs in future in the light of modern trends;</w:t>
      </w:r>
    </w:p>
    <w:p w:rsidR="007B1597" w:rsidRPr="00720B6A" w:rsidRDefault="007B1597" w:rsidP="00720B6A">
      <w:pPr>
        <w:jc w:val="both"/>
      </w:pPr>
      <w:r w:rsidRPr="00720B6A">
        <w:t xml:space="preserve">- operators noted it difficult to establishing any difficulties and impediments with regard to the application of the 1988 and 2012 ITRs in relations with international partners applying different versions of the ITRs, given the lack of sufficient time to assess application practice. However, these operators noted that they foresaw potential future risks, and noted that work would be needed on the collection of data globally on a regular basis. </w:t>
      </w:r>
    </w:p>
    <w:p w:rsidR="007B1597" w:rsidRPr="00720B6A" w:rsidRDefault="007B1597" w:rsidP="00720B6A">
      <w:pPr>
        <w:jc w:val="both"/>
        <w:rPr>
          <w:rFonts w:cstheme="majorBidi"/>
          <w:b/>
          <w:spacing w:val="-4"/>
        </w:rPr>
      </w:pPr>
      <w:r w:rsidRPr="00720B6A">
        <w:t>Some administrations also noted that issues had already arisen during the provisional application period for the 2012 ITRs, and foresaw potential difficulties/conflicts in the continued applic</w:t>
      </w:r>
      <w:r w:rsidR="00AB5EAD" w:rsidRPr="00720B6A">
        <w:t>ation of the 1988 and 2012 ITRs.</w:t>
      </w:r>
    </w:p>
    <w:p w:rsidR="003A5819" w:rsidRPr="00720B6A" w:rsidRDefault="003A5819" w:rsidP="00720B6A">
      <w:pPr>
        <w:spacing w:before="100" w:beforeAutospacing="1" w:after="100" w:afterAutospacing="1" w:line="240" w:lineRule="auto"/>
        <w:jc w:val="both"/>
        <w:outlineLvl w:val="0"/>
        <w:rPr>
          <w:b/>
          <w:bCs/>
        </w:rPr>
      </w:pPr>
      <w:r w:rsidRPr="00720B6A">
        <w:rPr>
          <w:rFonts w:cstheme="majorBidi"/>
          <w:b/>
          <w:spacing w:val="-4"/>
        </w:rPr>
        <w:t>4.5</w:t>
      </w:r>
      <w:r w:rsidRPr="00720B6A">
        <w:rPr>
          <w:rFonts w:cstheme="majorBidi"/>
          <w:b/>
          <w:spacing w:val="-4"/>
        </w:rPr>
        <w:tab/>
      </w:r>
      <w:hyperlink r:id="rId16" w:history="1">
        <w:r w:rsidRPr="00720B6A">
          <w:rPr>
            <w:rStyle w:val="Hyperlink"/>
            <w:b/>
            <w:bCs/>
          </w:rPr>
          <w:t>Contribution to Council 2018</w:t>
        </w:r>
      </w:hyperlink>
      <w:r w:rsidRPr="00720B6A">
        <w:rPr>
          <w:b/>
          <w:bCs/>
        </w:rPr>
        <w:t xml:space="preserve"> from the Federative Republic of Brazil, Canada, Mexico, Paraguay and the United States of America - Views on a future World Conference on International Telecommunications</w:t>
      </w:r>
    </w:p>
    <w:p w:rsidR="00861D94" w:rsidRPr="00720B6A" w:rsidRDefault="00861D94" w:rsidP="00720B6A">
      <w:pPr>
        <w:jc w:val="both"/>
      </w:pPr>
      <w:r w:rsidRPr="00720B6A">
        <w:t>The contribution highlights the lack of consensus in all three areas under review by EG-ITRs: the applicability of the ITRs; legal analysis of the ITRs; and potential conflicts between the 1988 and 2012 versions of the ITRs. Considering the lack of consensus, and on the basis of specific contributions presented to EG-ITRs, the Groups' report to Council should include the costs (i.e., money and opportunity costs) and risks (e.g., loss of ITU's reputation and prestige, disagreements and further fracture among members, approval of a third conflicting version of the ITRs) associated with holding a WCIT to revise the ITRs in the near future.</w:t>
      </w:r>
    </w:p>
    <w:p w:rsidR="009F5F08" w:rsidRPr="00720B6A" w:rsidRDefault="00EE2F2D" w:rsidP="00720B6A">
      <w:pPr>
        <w:keepNext/>
        <w:keepLines/>
        <w:snapToGrid w:val="0"/>
        <w:spacing w:before="100" w:beforeAutospacing="1" w:after="100" w:afterAutospacing="1" w:line="240" w:lineRule="auto"/>
        <w:jc w:val="both"/>
        <w:rPr>
          <w:rFonts w:cstheme="majorBidi"/>
          <w:b/>
        </w:rPr>
      </w:pPr>
      <w:r w:rsidRPr="00720B6A">
        <w:rPr>
          <w:rFonts w:cstheme="majorBidi"/>
          <w:b/>
        </w:rPr>
        <w:t>5</w:t>
      </w:r>
      <w:r w:rsidR="00B00A4F" w:rsidRPr="00720B6A">
        <w:rPr>
          <w:rFonts w:cstheme="majorBidi"/>
          <w:b/>
        </w:rPr>
        <w:t>.</w:t>
      </w:r>
      <w:r w:rsidR="009F5F08" w:rsidRPr="00720B6A">
        <w:rPr>
          <w:rFonts w:cstheme="majorBidi"/>
          <w:b/>
        </w:rPr>
        <w:tab/>
        <w:t>Discussions</w:t>
      </w:r>
      <w:r w:rsidR="00254030" w:rsidRPr="00720B6A">
        <w:rPr>
          <w:rFonts w:cstheme="majorBidi"/>
          <w:b/>
        </w:rPr>
        <w:t xml:space="preserve"> on </w:t>
      </w:r>
      <w:r w:rsidR="008D7A87" w:rsidRPr="00720B6A">
        <w:rPr>
          <w:rFonts w:cstheme="majorBidi"/>
          <w:b/>
        </w:rPr>
        <w:t>C</w:t>
      </w:r>
      <w:r w:rsidR="00254030" w:rsidRPr="00720B6A">
        <w:rPr>
          <w:rFonts w:cstheme="majorBidi"/>
          <w:b/>
        </w:rPr>
        <w:t xml:space="preserve">ontributions </w:t>
      </w:r>
      <w:r w:rsidR="008D7A87" w:rsidRPr="00720B6A">
        <w:rPr>
          <w:rFonts w:cstheme="majorBidi"/>
          <w:b/>
        </w:rPr>
        <w:t>to the fourth meeting</w:t>
      </w:r>
    </w:p>
    <w:p w:rsidR="008D7A87" w:rsidRPr="00720B6A" w:rsidRDefault="008D7A87" w:rsidP="00720B6A">
      <w:pPr>
        <w:snapToGrid w:val="0"/>
        <w:spacing w:before="100" w:beforeAutospacing="1" w:after="100" w:afterAutospacing="1" w:line="240" w:lineRule="auto"/>
        <w:jc w:val="both"/>
        <w:rPr>
          <w:rFonts w:cstheme="majorBidi"/>
        </w:rPr>
      </w:pPr>
      <w:r w:rsidRPr="00720B6A">
        <w:rPr>
          <w:rFonts w:cstheme="majorBidi"/>
        </w:rPr>
        <w:t>The Chairman proposed that (a) the contributions providing specific edits</w:t>
      </w:r>
      <w:r w:rsidR="00B00A4F" w:rsidRPr="00720B6A">
        <w:rPr>
          <w:rFonts w:cstheme="majorBidi"/>
        </w:rPr>
        <w:t xml:space="preserve"> </w:t>
      </w:r>
      <w:r w:rsidR="00FC366A" w:rsidRPr="00720B6A">
        <w:rPr>
          <w:rFonts w:cstheme="majorBidi"/>
        </w:rPr>
        <w:t xml:space="preserve">to </w:t>
      </w:r>
      <w:r w:rsidRPr="00720B6A">
        <w:rPr>
          <w:rFonts w:cstheme="majorBidi"/>
        </w:rPr>
        <w:t xml:space="preserve">the final report would be discussed while going through document </w:t>
      </w:r>
      <w:hyperlink r:id="rId17" w:history="1">
        <w:r w:rsidRPr="00720B6A">
          <w:rPr>
            <w:rStyle w:val="Hyperlink"/>
            <w:rFonts w:cstheme="majorBidi"/>
          </w:rPr>
          <w:t>TD 1-GEN</w:t>
        </w:r>
      </w:hyperlink>
      <w:r w:rsidRPr="00720B6A">
        <w:rPr>
          <w:rFonts w:cstheme="majorBidi"/>
        </w:rPr>
        <w:t xml:space="preserve"> compiling all proposed edits </w:t>
      </w:r>
      <w:r w:rsidR="00B00A4F" w:rsidRPr="00720B6A">
        <w:rPr>
          <w:rFonts w:cstheme="majorBidi"/>
        </w:rPr>
        <w:t>to</w:t>
      </w:r>
      <w:r w:rsidRPr="00720B6A">
        <w:rPr>
          <w:rFonts w:cstheme="majorBidi"/>
        </w:rPr>
        <w:t xml:space="preserve"> </w:t>
      </w:r>
      <w:r w:rsidR="00B00A4F" w:rsidRPr="00720B6A">
        <w:rPr>
          <w:rFonts w:cstheme="majorBidi"/>
        </w:rPr>
        <w:t xml:space="preserve">Draft </w:t>
      </w:r>
      <w:r w:rsidRPr="00720B6A">
        <w:rPr>
          <w:rFonts w:cstheme="majorBidi"/>
        </w:rPr>
        <w:t xml:space="preserve">2.0 of the </w:t>
      </w:r>
      <w:r w:rsidR="00B00A4F" w:rsidRPr="00720B6A">
        <w:rPr>
          <w:rFonts w:cstheme="majorBidi"/>
        </w:rPr>
        <w:t>final</w:t>
      </w:r>
      <w:r w:rsidRPr="00720B6A">
        <w:rPr>
          <w:rFonts w:cstheme="majorBidi"/>
        </w:rPr>
        <w:t xml:space="preserve"> report </w:t>
      </w:r>
      <w:r w:rsidR="00E755E5" w:rsidRPr="00720B6A">
        <w:rPr>
          <w:rFonts w:cstheme="majorBidi"/>
        </w:rPr>
        <w:t>(see item 6 of the</w:t>
      </w:r>
      <w:r w:rsidR="00B00A4F" w:rsidRPr="00720B6A">
        <w:rPr>
          <w:rFonts w:cstheme="majorBidi"/>
        </w:rPr>
        <w:t xml:space="preserve"> </w:t>
      </w:r>
      <w:r w:rsidR="00BF62D4" w:rsidRPr="00720B6A">
        <w:rPr>
          <w:rFonts w:cstheme="majorBidi"/>
        </w:rPr>
        <w:t xml:space="preserve">meeting </w:t>
      </w:r>
      <w:hyperlink r:id="rId18" w:history="1">
        <w:r w:rsidR="00B00A4F" w:rsidRPr="00720B6A">
          <w:rPr>
            <w:rStyle w:val="Hyperlink"/>
            <w:rFonts w:cstheme="majorBidi"/>
          </w:rPr>
          <w:t>agenda</w:t>
        </w:r>
      </w:hyperlink>
      <w:r w:rsidR="00B00A4F" w:rsidRPr="00720B6A">
        <w:rPr>
          <w:rFonts w:cstheme="majorBidi"/>
        </w:rPr>
        <w:t>)</w:t>
      </w:r>
      <w:r w:rsidR="00E755E5" w:rsidRPr="00720B6A">
        <w:rPr>
          <w:rFonts w:cstheme="majorBidi"/>
        </w:rPr>
        <w:t xml:space="preserve">; </w:t>
      </w:r>
      <w:r w:rsidRPr="00720B6A">
        <w:rPr>
          <w:rFonts w:cstheme="majorBidi"/>
        </w:rPr>
        <w:t xml:space="preserve">(b) all other contributions to the meeting </w:t>
      </w:r>
      <w:r w:rsidR="00E755E5" w:rsidRPr="00720B6A">
        <w:rPr>
          <w:rFonts w:cstheme="majorBidi"/>
        </w:rPr>
        <w:t>would be</w:t>
      </w:r>
      <w:r w:rsidRPr="00720B6A">
        <w:rPr>
          <w:rFonts w:cstheme="majorBidi"/>
        </w:rPr>
        <w:t xml:space="preserve"> discussed individually</w:t>
      </w:r>
      <w:r w:rsidR="003A598E" w:rsidRPr="00720B6A">
        <w:rPr>
          <w:rFonts w:cstheme="majorBidi"/>
        </w:rPr>
        <w:t xml:space="preserve"> </w:t>
      </w:r>
      <w:r w:rsidR="00FC366A" w:rsidRPr="00720B6A">
        <w:rPr>
          <w:rFonts w:cstheme="majorBidi"/>
        </w:rPr>
        <w:t xml:space="preserve">following </w:t>
      </w:r>
      <w:r w:rsidR="00E755E5" w:rsidRPr="00720B6A">
        <w:rPr>
          <w:rFonts w:cstheme="majorBidi"/>
        </w:rPr>
        <w:t xml:space="preserve">the </w:t>
      </w:r>
      <w:r w:rsidR="00B00A4F" w:rsidRPr="00720B6A">
        <w:rPr>
          <w:rFonts w:cstheme="majorBidi"/>
        </w:rPr>
        <w:t xml:space="preserve">order of the </w:t>
      </w:r>
      <w:r w:rsidR="00E755E5" w:rsidRPr="00720B6A">
        <w:rPr>
          <w:rFonts w:cstheme="majorBidi"/>
        </w:rPr>
        <w:t>agenda.</w:t>
      </w:r>
      <w:r w:rsidRPr="00720B6A">
        <w:rPr>
          <w:rFonts w:cstheme="majorBidi"/>
        </w:rPr>
        <w:t xml:space="preserve">  </w:t>
      </w:r>
      <w:r w:rsidR="00E755E5" w:rsidRPr="00720B6A">
        <w:rPr>
          <w:rFonts w:cstheme="majorBidi"/>
        </w:rPr>
        <w:t xml:space="preserve">Discussions on item (b) are reflected below: </w:t>
      </w:r>
    </w:p>
    <w:p w:rsidR="005A447C" w:rsidRPr="00720B6A" w:rsidRDefault="00EE2F2D" w:rsidP="00A009B8">
      <w:pPr>
        <w:keepNext/>
        <w:keepLines/>
        <w:spacing w:before="100" w:beforeAutospacing="1" w:after="100" w:afterAutospacing="1" w:line="240" w:lineRule="auto"/>
        <w:ind w:left="720" w:hanging="720"/>
        <w:jc w:val="both"/>
        <w:rPr>
          <w:rFonts w:cstheme="majorBidi"/>
          <w:b/>
          <w:spacing w:val="-4"/>
        </w:rPr>
      </w:pPr>
      <w:r w:rsidRPr="00720B6A">
        <w:rPr>
          <w:b/>
        </w:rPr>
        <w:t>5</w:t>
      </w:r>
      <w:r w:rsidR="00254030" w:rsidRPr="00720B6A">
        <w:rPr>
          <w:b/>
        </w:rPr>
        <w:t>.1</w:t>
      </w:r>
      <w:r w:rsidR="00254030" w:rsidRPr="00720B6A">
        <w:rPr>
          <w:b/>
        </w:rPr>
        <w:tab/>
        <w:t xml:space="preserve">Discussion on </w:t>
      </w:r>
      <w:r w:rsidR="00254030" w:rsidRPr="00720B6A">
        <w:rPr>
          <w:rFonts w:cstheme="majorBidi"/>
          <w:b/>
          <w:spacing w:val="-4"/>
        </w:rPr>
        <w:t xml:space="preserve">Contribution </w:t>
      </w:r>
      <w:hyperlink r:id="rId19" w:history="1">
        <w:r w:rsidR="00254030" w:rsidRPr="00720B6A">
          <w:rPr>
            <w:rStyle w:val="Hyperlink"/>
            <w:rFonts w:cstheme="majorBidi"/>
            <w:b/>
            <w:spacing w:val="-4"/>
          </w:rPr>
          <w:t xml:space="preserve">EG-ITRs </w:t>
        </w:r>
        <w:r w:rsidR="008D7A87" w:rsidRPr="00720B6A">
          <w:rPr>
            <w:rStyle w:val="Hyperlink"/>
            <w:rFonts w:cstheme="majorBidi"/>
            <w:b/>
            <w:spacing w:val="-4"/>
          </w:rPr>
          <w:t>4</w:t>
        </w:r>
        <w:r w:rsidR="00254030" w:rsidRPr="00720B6A">
          <w:rPr>
            <w:rStyle w:val="Hyperlink"/>
            <w:rFonts w:cstheme="majorBidi"/>
            <w:b/>
            <w:spacing w:val="-4"/>
          </w:rPr>
          <w:t>/</w:t>
        </w:r>
        <w:r w:rsidR="008D7A87" w:rsidRPr="00720B6A">
          <w:rPr>
            <w:rStyle w:val="Hyperlink"/>
            <w:rFonts w:cstheme="majorBidi"/>
            <w:b/>
            <w:spacing w:val="-4"/>
          </w:rPr>
          <w:t>6</w:t>
        </w:r>
      </w:hyperlink>
      <w:r w:rsidR="00254030" w:rsidRPr="00720B6A">
        <w:rPr>
          <w:rFonts w:cstheme="majorBidi"/>
          <w:b/>
          <w:spacing w:val="-4"/>
        </w:rPr>
        <w:t xml:space="preserve"> </w:t>
      </w:r>
      <w:r w:rsidR="008D7A87" w:rsidRPr="00720B6A">
        <w:rPr>
          <w:rFonts w:cstheme="majorBidi"/>
          <w:b/>
          <w:spacing w:val="-4"/>
        </w:rPr>
        <w:t xml:space="preserve">from the Russian Federation - Proposals for </w:t>
      </w:r>
      <w:r w:rsidR="00BC38C0" w:rsidRPr="00720B6A">
        <w:rPr>
          <w:rFonts w:cstheme="majorBidi"/>
          <w:b/>
          <w:spacing w:val="-4"/>
        </w:rPr>
        <w:t>c</w:t>
      </w:r>
      <w:r w:rsidR="008D7A87" w:rsidRPr="00720B6A">
        <w:rPr>
          <w:rFonts w:cstheme="majorBidi"/>
          <w:b/>
          <w:spacing w:val="-4"/>
        </w:rPr>
        <w:t xml:space="preserve">larification of published ITRs (Version 2012) for use by Member States and Telecommunication Operators    </w:t>
      </w:r>
    </w:p>
    <w:p w:rsidR="00C547D8" w:rsidRPr="00720B6A" w:rsidRDefault="00C36B10" w:rsidP="00A009B8">
      <w:pPr>
        <w:pStyle w:val="ListParagraph"/>
        <w:keepNext/>
        <w:keepLines/>
        <w:numPr>
          <w:ilvl w:val="0"/>
          <w:numId w:val="21"/>
        </w:numPr>
        <w:spacing w:before="100" w:beforeAutospacing="1" w:after="100" w:afterAutospacing="1"/>
        <w:jc w:val="both"/>
        <w:rPr>
          <w:rFonts w:asciiTheme="minorHAnsi" w:eastAsiaTheme="minorEastAsia" w:hAnsiTheme="minorHAnsi" w:cstheme="minorBidi"/>
          <w:bCs/>
          <w:sz w:val="22"/>
          <w:szCs w:val="22"/>
          <w:lang w:val="en-US" w:eastAsia="zh-CN"/>
        </w:rPr>
      </w:pPr>
      <w:r w:rsidRPr="00720B6A">
        <w:rPr>
          <w:rFonts w:asciiTheme="minorHAnsi" w:eastAsiaTheme="minorEastAsia" w:hAnsiTheme="minorHAnsi" w:cstheme="minorBidi"/>
          <w:bCs/>
          <w:sz w:val="22"/>
          <w:szCs w:val="22"/>
          <w:lang w:val="en-US" w:eastAsia="zh-CN"/>
        </w:rPr>
        <w:t xml:space="preserve">The </w:t>
      </w:r>
      <w:r w:rsidR="00BA6B44" w:rsidRPr="00720B6A">
        <w:rPr>
          <w:rFonts w:asciiTheme="minorHAnsi" w:eastAsiaTheme="minorEastAsia" w:hAnsiTheme="minorHAnsi" w:cstheme="minorBidi"/>
          <w:bCs/>
          <w:sz w:val="22"/>
          <w:szCs w:val="22"/>
          <w:lang w:val="en-US" w:eastAsia="zh-CN"/>
        </w:rPr>
        <w:t>ITU Legal Advisor was invited to provide clarifi</w:t>
      </w:r>
      <w:r w:rsidR="00574A1C" w:rsidRPr="00720B6A">
        <w:rPr>
          <w:rFonts w:asciiTheme="minorHAnsi" w:eastAsiaTheme="minorEastAsia" w:hAnsiTheme="minorHAnsi" w:cstheme="minorBidi"/>
          <w:bCs/>
          <w:sz w:val="22"/>
          <w:szCs w:val="22"/>
          <w:lang w:val="en-US" w:eastAsia="zh-CN"/>
        </w:rPr>
        <w:t>cation with regard to the questions raised in the contribution</w:t>
      </w:r>
      <w:r w:rsidR="00BA6B44" w:rsidRPr="00720B6A">
        <w:rPr>
          <w:rFonts w:asciiTheme="minorHAnsi" w:eastAsiaTheme="minorEastAsia" w:hAnsiTheme="minorHAnsi" w:cstheme="minorBidi"/>
          <w:bCs/>
          <w:sz w:val="22"/>
          <w:szCs w:val="22"/>
          <w:lang w:val="en-US" w:eastAsia="zh-CN"/>
        </w:rPr>
        <w:t xml:space="preserve">. He confirmed that the Final Acts of April 2013 </w:t>
      </w:r>
      <w:r w:rsidRPr="00720B6A">
        <w:rPr>
          <w:rFonts w:asciiTheme="minorHAnsi" w:eastAsiaTheme="minorEastAsia" w:hAnsiTheme="minorHAnsi" w:cstheme="minorBidi"/>
          <w:bCs/>
          <w:sz w:val="22"/>
          <w:szCs w:val="22"/>
          <w:lang w:val="en-US" w:eastAsia="zh-CN"/>
        </w:rPr>
        <w:t xml:space="preserve">are </w:t>
      </w:r>
      <w:r w:rsidR="00BA6B44" w:rsidRPr="00720B6A">
        <w:rPr>
          <w:rFonts w:asciiTheme="minorHAnsi" w:eastAsiaTheme="minorEastAsia" w:hAnsiTheme="minorHAnsi" w:cstheme="minorBidi"/>
          <w:bCs/>
          <w:sz w:val="22"/>
          <w:szCs w:val="22"/>
          <w:lang w:val="en-US" w:eastAsia="zh-CN"/>
        </w:rPr>
        <w:t xml:space="preserve">the official version of the </w:t>
      </w:r>
      <w:r w:rsidRPr="00720B6A">
        <w:rPr>
          <w:rFonts w:asciiTheme="minorHAnsi" w:eastAsiaTheme="minorEastAsia" w:hAnsiTheme="minorHAnsi" w:cstheme="minorBidi"/>
          <w:bCs/>
          <w:sz w:val="22"/>
          <w:szCs w:val="22"/>
          <w:lang w:val="en-US" w:eastAsia="zh-CN"/>
        </w:rPr>
        <w:t xml:space="preserve">2012 </w:t>
      </w:r>
      <w:r w:rsidR="00BA6B44" w:rsidRPr="00720B6A">
        <w:rPr>
          <w:rFonts w:asciiTheme="minorHAnsi" w:eastAsiaTheme="minorEastAsia" w:hAnsiTheme="minorHAnsi" w:cstheme="minorBidi"/>
          <w:bCs/>
          <w:sz w:val="22"/>
          <w:szCs w:val="22"/>
          <w:lang w:val="en-US" w:eastAsia="zh-CN"/>
        </w:rPr>
        <w:t>ITRs</w:t>
      </w:r>
      <w:r w:rsidR="0088561C" w:rsidRPr="00720B6A">
        <w:rPr>
          <w:rFonts w:asciiTheme="minorHAnsi" w:eastAsiaTheme="minorEastAsia" w:hAnsiTheme="minorHAnsi" w:cstheme="minorBidi"/>
          <w:bCs/>
          <w:sz w:val="22"/>
          <w:szCs w:val="22"/>
          <w:lang w:val="en-US" w:eastAsia="zh-CN"/>
        </w:rPr>
        <w:t xml:space="preserve"> and</w:t>
      </w:r>
      <w:r w:rsidR="006B5EDF" w:rsidRPr="00720B6A">
        <w:rPr>
          <w:rFonts w:asciiTheme="minorHAnsi" w:eastAsiaTheme="minorEastAsia" w:hAnsiTheme="minorHAnsi" w:cstheme="minorBidi"/>
          <w:bCs/>
          <w:sz w:val="22"/>
          <w:szCs w:val="22"/>
          <w:lang w:val="en-US" w:eastAsia="zh-CN"/>
        </w:rPr>
        <w:t xml:space="preserve"> that the </w:t>
      </w:r>
      <w:r w:rsidR="007A139D" w:rsidRPr="00720B6A">
        <w:rPr>
          <w:rFonts w:asciiTheme="minorHAnsi" w:eastAsiaTheme="minorEastAsia" w:hAnsiTheme="minorHAnsi" w:cstheme="minorBidi"/>
          <w:bCs/>
          <w:sz w:val="22"/>
          <w:szCs w:val="22"/>
          <w:lang w:val="en-US" w:eastAsia="zh-CN"/>
        </w:rPr>
        <w:t xml:space="preserve">numbering </w:t>
      </w:r>
      <w:r w:rsidR="00B11018" w:rsidRPr="00720B6A">
        <w:rPr>
          <w:rFonts w:asciiTheme="minorHAnsi" w:eastAsiaTheme="minorEastAsia" w:hAnsiTheme="minorHAnsi" w:cstheme="minorBidi"/>
          <w:bCs/>
          <w:sz w:val="22"/>
          <w:szCs w:val="22"/>
          <w:lang w:val="en-US" w:eastAsia="zh-CN"/>
        </w:rPr>
        <w:t>in</w:t>
      </w:r>
      <w:r w:rsidR="007A139D" w:rsidRPr="00720B6A">
        <w:rPr>
          <w:rFonts w:asciiTheme="minorHAnsi" w:eastAsiaTheme="minorEastAsia" w:hAnsiTheme="minorHAnsi" w:cstheme="minorBidi"/>
          <w:bCs/>
          <w:sz w:val="22"/>
          <w:szCs w:val="22"/>
          <w:lang w:val="en-US" w:eastAsia="zh-CN"/>
        </w:rPr>
        <w:t xml:space="preserve"> the official version is the one to be </w:t>
      </w:r>
      <w:r w:rsidR="00B11018" w:rsidRPr="00720B6A">
        <w:rPr>
          <w:rFonts w:asciiTheme="minorHAnsi" w:eastAsiaTheme="minorEastAsia" w:hAnsiTheme="minorHAnsi" w:cstheme="minorBidi"/>
          <w:bCs/>
          <w:sz w:val="22"/>
          <w:szCs w:val="22"/>
          <w:lang w:val="en-US" w:eastAsia="zh-CN"/>
        </w:rPr>
        <w:t>applied</w:t>
      </w:r>
      <w:r w:rsidR="007A139D" w:rsidRPr="00720B6A">
        <w:rPr>
          <w:rFonts w:asciiTheme="minorHAnsi" w:eastAsiaTheme="minorEastAsia" w:hAnsiTheme="minorHAnsi" w:cstheme="minorBidi"/>
          <w:bCs/>
          <w:sz w:val="22"/>
          <w:szCs w:val="22"/>
          <w:lang w:val="en-US" w:eastAsia="zh-CN"/>
        </w:rPr>
        <w:t xml:space="preserve">. </w:t>
      </w:r>
    </w:p>
    <w:p w:rsidR="00326D3A" w:rsidRPr="00720B6A" w:rsidRDefault="00C547D8" w:rsidP="00720B6A">
      <w:pPr>
        <w:pStyle w:val="ListParagraph"/>
        <w:numPr>
          <w:ilvl w:val="0"/>
          <w:numId w:val="21"/>
        </w:numPr>
        <w:spacing w:before="100" w:beforeAutospacing="1" w:after="100" w:afterAutospacing="1"/>
        <w:jc w:val="both"/>
        <w:rPr>
          <w:rFonts w:asciiTheme="minorHAnsi" w:eastAsiaTheme="minorEastAsia" w:hAnsiTheme="minorHAnsi" w:cstheme="minorBidi"/>
          <w:bCs/>
          <w:sz w:val="22"/>
          <w:szCs w:val="22"/>
          <w:lang w:val="en-US" w:eastAsia="zh-CN"/>
        </w:rPr>
      </w:pPr>
      <w:r w:rsidRPr="00720B6A">
        <w:rPr>
          <w:rFonts w:asciiTheme="minorHAnsi" w:eastAsiaTheme="minorEastAsia" w:hAnsiTheme="minorHAnsi" w:cstheme="minorBidi"/>
          <w:bCs/>
          <w:sz w:val="22"/>
          <w:szCs w:val="22"/>
          <w:lang w:val="en-US" w:eastAsia="zh-CN"/>
        </w:rPr>
        <w:t xml:space="preserve">With regard to access to the electronic version of the Final Acts, the Legal Advisor </w:t>
      </w:r>
      <w:r w:rsidR="006166E8" w:rsidRPr="00720B6A">
        <w:rPr>
          <w:rFonts w:asciiTheme="minorHAnsi" w:eastAsiaTheme="minorEastAsia" w:hAnsiTheme="minorHAnsi" w:cstheme="minorBidi"/>
          <w:bCs/>
          <w:sz w:val="22"/>
          <w:szCs w:val="22"/>
          <w:lang w:val="en-US" w:eastAsia="zh-CN"/>
        </w:rPr>
        <w:t xml:space="preserve">confirmed that access is public and free of charge. </w:t>
      </w:r>
      <w:r w:rsidR="005940B0" w:rsidRPr="00720B6A">
        <w:rPr>
          <w:rFonts w:asciiTheme="minorHAnsi" w:eastAsiaTheme="minorEastAsia" w:hAnsiTheme="minorHAnsi" w:cstheme="minorBidi"/>
          <w:bCs/>
          <w:sz w:val="22"/>
          <w:szCs w:val="22"/>
          <w:lang w:val="en-US" w:eastAsia="zh-CN"/>
        </w:rPr>
        <w:t>He further clarified that f</w:t>
      </w:r>
      <w:r w:rsidR="006166E8" w:rsidRPr="00720B6A">
        <w:rPr>
          <w:rFonts w:asciiTheme="minorHAnsi" w:eastAsiaTheme="minorEastAsia" w:hAnsiTheme="minorHAnsi" w:cstheme="minorBidi"/>
          <w:bCs/>
          <w:sz w:val="22"/>
          <w:szCs w:val="22"/>
          <w:lang w:val="en-US" w:eastAsia="zh-CN"/>
        </w:rPr>
        <w:t>or statistical purposes readers are asked to provide</w:t>
      </w:r>
      <w:r w:rsidR="00326D3A" w:rsidRPr="00720B6A">
        <w:rPr>
          <w:rFonts w:asciiTheme="minorHAnsi" w:eastAsiaTheme="minorEastAsia" w:hAnsiTheme="minorHAnsi" w:cstheme="minorBidi"/>
          <w:bCs/>
          <w:sz w:val="22"/>
          <w:szCs w:val="22"/>
          <w:lang w:val="en-US" w:eastAsia="zh-CN"/>
        </w:rPr>
        <w:t xml:space="preserve"> some general information </w:t>
      </w:r>
      <w:r w:rsidR="005940B0" w:rsidRPr="00720B6A">
        <w:rPr>
          <w:rFonts w:asciiTheme="minorHAnsi" w:eastAsiaTheme="minorEastAsia" w:hAnsiTheme="minorHAnsi" w:cstheme="minorBidi"/>
          <w:bCs/>
          <w:sz w:val="22"/>
          <w:szCs w:val="22"/>
          <w:lang w:val="en-US" w:eastAsia="zh-CN"/>
        </w:rPr>
        <w:t xml:space="preserve">through an online form </w:t>
      </w:r>
      <w:r w:rsidR="00326D3A" w:rsidRPr="00720B6A">
        <w:rPr>
          <w:rFonts w:asciiTheme="minorHAnsi" w:eastAsiaTheme="minorEastAsia" w:hAnsiTheme="minorHAnsi" w:cstheme="minorBidi"/>
          <w:bCs/>
          <w:sz w:val="22"/>
          <w:szCs w:val="22"/>
          <w:lang w:val="en-US" w:eastAsia="zh-CN"/>
        </w:rPr>
        <w:t xml:space="preserve">before </w:t>
      </w:r>
      <w:r w:rsidR="005940B0" w:rsidRPr="00720B6A">
        <w:rPr>
          <w:rFonts w:asciiTheme="minorHAnsi" w:eastAsiaTheme="minorEastAsia" w:hAnsiTheme="minorHAnsi" w:cstheme="minorBidi"/>
          <w:bCs/>
          <w:sz w:val="22"/>
          <w:szCs w:val="22"/>
          <w:lang w:val="en-US" w:eastAsia="zh-CN"/>
        </w:rPr>
        <w:t>downloading the electronic document.</w:t>
      </w:r>
    </w:p>
    <w:p w:rsidR="00514430" w:rsidRPr="00720B6A" w:rsidRDefault="00326D3A" w:rsidP="00720B6A">
      <w:pPr>
        <w:pStyle w:val="ListParagraph"/>
        <w:numPr>
          <w:ilvl w:val="0"/>
          <w:numId w:val="21"/>
        </w:numPr>
        <w:spacing w:before="100" w:beforeAutospacing="1" w:after="100" w:afterAutospacing="1"/>
        <w:jc w:val="both"/>
        <w:rPr>
          <w:rFonts w:asciiTheme="minorHAnsi" w:eastAsiaTheme="minorEastAsia" w:hAnsiTheme="minorHAnsi" w:cstheme="minorBidi"/>
          <w:bCs/>
          <w:sz w:val="22"/>
          <w:szCs w:val="22"/>
          <w:lang w:val="en-US" w:eastAsia="zh-CN"/>
        </w:rPr>
      </w:pPr>
      <w:r w:rsidRPr="00720B6A">
        <w:rPr>
          <w:rFonts w:asciiTheme="minorHAnsi" w:eastAsiaTheme="minorEastAsia" w:hAnsiTheme="minorHAnsi" w:cstheme="minorBidi"/>
          <w:bCs/>
          <w:sz w:val="22"/>
          <w:szCs w:val="22"/>
          <w:lang w:val="en-US" w:eastAsia="zh-CN"/>
        </w:rPr>
        <w:t xml:space="preserve">The proponent thanked the Legal Advisor and suggested that ITU Secretariat </w:t>
      </w:r>
      <w:r w:rsidR="005940B0" w:rsidRPr="00720B6A">
        <w:rPr>
          <w:rFonts w:asciiTheme="minorHAnsi" w:eastAsiaTheme="minorEastAsia" w:hAnsiTheme="minorHAnsi" w:cstheme="minorBidi"/>
          <w:bCs/>
          <w:sz w:val="22"/>
          <w:szCs w:val="22"/>
          <w:lang w:val="en-US" w:eastAsia="zh-CN"/>
        </w:rPr>
        <w:t xml:space="preserve">update the ITU Website </w:t>
      </w:r>
      <w:r w:rsidR="006B5EDF" w:rsidRPr="00720B6A">
        <w:rPr>
          <w:rFonts w:asciiTheme="minorHAnsi" w:eastAsiaTheme="minorEastAsia" w:hAnsiTheme="minorHAnsi" w:cstheme="minorBidi"/>
          <w:bCs/>
          <w:sz w:val="22"/>
          <w:szCs w:val="22"/>
          <w:lang w:val="en-US" w:eastAsia="zh-CN"/>
        </w:rPr>
        <w:t>to mak</w:t>
      </w:r>
      <w:r w:rsidR="00A62079" w:rsidRPr="00720B6A">
        <w:rPr>
          <w:rFonts w:asciiTheme="minorHAnsi" w:eastAsiaTheme="minorEastAsia" w:hAnsiTheme="minorHAnsi" w:cstheme="minorBidi"/>
          <w:bCs/>
          <w:sz w:val="22"/>
          <w:szCs w:val="22"/>
          <w:lang w:val="en-US" w:eastAsia="zh-CN"/>
        </w:rPr>
        <w:t>e</w:t>
      </w:r>
      <w:r w:rsidR="006B5EDF" w:rsidRPr="00720B6A">
        <w:rPr>
          <w:rFonts w:asciiTheme="minorHAnsi" w:eastAsiaTheme="minorEastAsia" w:hAnsiTheme="minorHAnsi" w:cstheme="minorBidi"/>
          <w:bCs/>
          <w:sz w:val="22"/>
          <w:szCs w:val="22"/>
          <w:lang w:val="en-US" w:eastAsia="zh-CN"/>
        </w:rPr>
        <w:t xml:space="preserve"> it clear that the Final Acts of April 2013 is the official version</w:t>
      </w:r>
      <w:r w:rsidRPr="00720B6A">
        <w:rPr>
          <w:rFonts w:asciiTheme="minorHAnsi" w:eastAsiaTheme="minorEastAsia" w:hAnsiTheme="minorHAnsi" w:cstheme="minorBidi"/>
          <w:bCs/>
          <w:sz w:val="22"/>
          <w:szCs w:val="22"/>
          <w:lang w:val="en-US" w:eastAsia="zh-CN"/>
        </w:rPr>
        <w:t xml:space="preserve">. The Chairman </w:t>
      </w:r>
      <w:r w:rsidR="000861CB" w:rsidRPr="00720B6A">
        <w:rPr>
          <w:rFonts w:asciiTheme="minorHAnsi" w:eastAsiaTheme="minorEastAsia" w:hAnsiTheme="minorHAnsi" w:cstheme="minorBidi"/>
          <w:bCs/>
          <w:sz w:val="22"/>
          <w:szCs w:val="22"/>
          <w:lang w:val="en-US" w:eastAsia="zh-CN"/>
        </w:rPr>
        <w:t>requested the support of</w:t>
      </w:r>
      <w:r w:rsidRPr="00720B6A">
        <w:rPr>
          <w:rFonts w:asciiTheme="minorHAnsi" w:eastAsiaTheme="minorEastAsia" w:hAnsiTheme="minorHAnsi" w:cstheme="minorBidi"/>
          <w:bCs/>
          <w:sz w:val="22"/>
          <w:szCs w:val="22"/>
          <w:lang w:val="en-US" w:eastAsia="zh-CN"/>
        </w:rPr>
        <w:t xml:space="preserve"> the ITU Secretariat to </w:t>
      </w:r>
      <w:r w:rsidR="00915657" w:rsidRPr="00720B6A">
        <w:rPr>
          <w:rFonts w:asciiTheme="minorHAnsi" w:eastAsiaTheme="minorEastAsia" w:hAnsiTheme="minorHAnsi" w:cstheme="minorBidi"/>
          <w:bCs/>
          <w:sz w:val="22"/>
          <w:szCs w:val="22"/>
          <w:lang w:val="en-US" w:eastAsia="zh-CN"/>
        </w:rPr>
        <w:t>look into the issue</w:t>
      </w:r>
      <w:r w:rsidRPr="00720B6A">
        <w:rPr>
          <w:rFonts w:asciiTheme="minorHAnsi" w:eastAsiaTheme="minorEastAsia" w:hAnsiTheme="minorHAnsi" w:cstheme="minorBidi"/>
          <w:bCs/>
          <w:sz w:val="22"/>
          <w:szCs w:val="22"/>
          <w:lang w:val="en-US" w:eastAsia="zh-CN"/>
        </w:rPr>
        <w:t xml:space="preserve">. </w:t>
      </w:r>
    </w:p>
    <w:p w:rsidR="00BC38C0" w:rsidRPr="00720B6A" w:rsidRDefault="00EE2F2D" w:rsidP="00A009B8">
      <w:pPr>
        <w:spacing w:before="100" w:beforeAutospacing="1" w:after="100" w:afterAutospacing="1" w:line="240" w:lineRule="auto"/>
        <w:ind w:left="720" w:hanging="720"/>
        <w:jc w:val="both"/>
        <w:outlineLvl w:val="0"/>
        <w:rPr>
          <w:rFonts w:cstheme="majorBidi"/>
          <w:b/>
          <w:spacing w:val="-4"/>
        </w:rPr>
      </w:pPr>
      <w:r w:rsidRPr="00720B6A">
        <w:rPr>
          <w:b/>
        </w:rPr>
        <w:t>5</w:t>
      </w:r>
      <w:r w:rsidR="00514430" w:rsidRPr="00720B6A">
        <w:rPr>
          <w:b/>
        </w:rPr>
        <w:t>.</w:t>
      </w:r>
      <w:r w:rsidR="009C4EEB" w:rsidRPr="00720B6A">
        <w:rPr>
          <w:b/>
        </w:rPr>
        <w:t>2</w:t>
      </w:r>
      <w:r w:rsidR="00514430" w:rsidRPr="00720B6A">
        <w:rPr>
          <w:b/>
        </w:rPr>
        <w:tab/>
      </w:r>
      <w:r w:rsidR="00BC38C0" w:rsidRPr="00720B6A">
        <w:rPr>
          <w:rFonts w:cstheme="majorBidi"/>
          <w:b/>
          <w:spacing w:val="-4"/>
        </w:rPr>
        <w:t xml:space="preserve">Discussion on Contribution </w:t>
      </w:r>
      <w:hyperlink r:id="rId20" w:history="1">
        <w:r w:rsidR="00BC38C0" w:rsidRPr="00720B6A">
          <w:rPr>
            <w:rStyle w:val="Hyperlink"/>
            <w:rFonts w:cstheme="majorBidi"/>
            <w:b/>
            <w:spacing w:val="-4"/>
          </w:rPr>
          <w:t>EG-ITRs 4/</w:t>
        </w:r>
        <w:r w:rsidR="00B851AE" w:rsidRPr="00720B6A">
          <w:rPr>
            <w:rStyle w:val="Hyperlink"/>
            <w:rFonts w:cstheme="majorBidi"/>
            <w:b/>
            <w:spacing w:val="-4"/>
          </w:rPr>
          <w:t>2</w:t>
        </w:r>
      </w:hyperlink>
      <w:r w:rsidR="00BC38C0" w:rsidRPr="00720B6A">
        <w:rPr>
          <w:rFonts w:cstheme="majorBidi"/>
          <w:b/>
          <w:spacing w:val="-4"/>
        </w:rPr>
        <w:t xml:space="preserve"> from Côte d'Ivoire - Comments from African Region on Draft Report 2.0   </w:t>
      </w:r>
    </w:p>
    <w:p w:rsidR="000861CB" w:rsidRPr="00720B6A" w:rsidRDefault="000861CB" w:rsidP="00720B6A">
      <w:pPr>
        <w:pStyle w:val="ListParagraph"/>
        <w:numPr>
          <w:ilvl w:val="0"/>
          <w:numId w:val="22"/>
        </w:numPr>
        <w:spacing w:before="100" w:beforeAutospacing="1" w:after="100" w:afterAutospacing="1"/>
        <w:jc w:val="both"/>
        <w:outlineLvl w:val="0"/>
        <w:rPr>
          <w:rFonts w:asciiTheme="minorHAnsi" w:hAnsiTheme="minorHAnsi" w:cstheme="majorBidi"/>
          <w:bCs/>
          <w:spacing w:val="-4"/>
          <w:sz w:val="22"/>
          <w:szCs w:val="22"/>
        </w:rPr>
      </w:pPr>
      <w:r w:rsidRPr="00720B6A">
        <w:rPr>
          <w:rFonts w:asciiTheme="minorHAnsi" w:hAnsiTheme="minorHAnsi" w:cstheme="majorBidi"/>
          <w:bCs/>
          <w:spacing w:val="-4"/>
          <w:sz w:val="22"/>
          <w:szCs w:val="22"/>
        </w:rPr>
        <w:t xml:space="preserve">Some Members supported the view that, at this moment, there are no conditions to </w:t>
      </w:r>
      <w:r w:rsidR="00883D0E" w:rsidRPr="00720B6A">
        <w:rPr>
          <w:rFonts w:asciiTheme="minorHAnsi" w:hAnsiTheme="minorHAnsi" w:cstheme="majorBidi"/>
          <w:bCs/>
          <w:spacing w:val="-4"/>
          <w:sz w:val="22"/>
          <w:szCs w:val="22"/>
        </w:rPr>
        <w:t>hold</w:t>
      </w:r>
      <w:r w:rsidR="002D3D13" w:rsidRPr="00720B6A">
        <w:rPr>
          <w:rFonts w:asciiTheme="minorHAnsi" w:hAnsiTheme="minorHAnsi" w:cstheme="majorBidi"/>
          <w:bCs/>
          <w:spacing w:val="-4"/>
          <w:sz w:val="22"/>
          <w:szCs w:val="22"/>
        </w:rPr>
        <w:t xml:space="preserve"> </w:t>
      </w:r>
      <w:r w:rsidRPr="00720B6A">
        <w:rPr>
          <w:rFonts w:asciiTheme="minorHAnsi" w:hAnsiTheme="minorHAnsi" w:cstheme="majorBidi"/>
          <w:bCs/>
          <w:spacing w:val="-4"/>
          <w:sz w:val="22"/>
          <w:szCs w:val="22"/>
        </w:rPr>
        <w:t>a new WCIT.</w:t>
      </w:r>
    </w:p>
    <w:p w:rsidR="000658EA" w:rsidRDefault="00072473" w:rsidP="00720B6A">
      <w:pPr>
        <w:pStyle w:val="ListParagraph"/>
        <w:numPr>
          <w:ilvl w:val="0"/>
          <w:numId w:val="22"/>
        </w:numPr>
        <w:spacing w:before="100" w:beforeAutospacing="1" w:after="100" w:afterAutospacing="1"/>
        <w:jc w:val="both"/>
        <w:outlineLvl w:val="0"/>
        <w:rPr>
          <w:rFonts w:asciiTheme="minorHAnsi" w:hAnsiTheme="minorHAnsi" w:cstheme="majorBidi"/>
          <w:bCs/>
          <w:spacing w:val="-4"/>
          <w:sz w:val="22"/>
          <w:szCs w:val="22"/>
        </w:rPr>
      </w:pPr>
      <w:r w:rsidRPr="00720B6A">
        <w:rPr>
          <w:rFonts w:asciiTheme="minorHAnsi" w:hAnsiTheme="minorHAnsi" w:cstheme="majorBidi"/>
          <w:bCs/>
          <w:spacing w:val="-4"/>
          <w:sz w:val="22"/>
          <w:szCs w:val="22"/>
        </w:rPr>
        <w:t xml:space="preserve">Some Members </w:t>
      </w:r>
      <w:r w:rsidR="00A2192A" w:rsidRPr="00720B6A">
        <w:rPr>
          <w:rFonts w:asciiTheme="minorHAnsi" w:hAnsiTheme="minorHAnsi" w:cstheme="majorBidi"/>
          <w:bCs/>
          <w:spacing w:val="-4"/>
          <w:sz w:val="22"/>
          <w:szCs w:val="22"/>
        </w:rPr>
        <w:t xml:space="preserve">supported </w:t>
      </w:r>
      <w:r w:rsidR="00F61B8C" w:rsidRPr="00720B6A">
        <w:rPr>
          <w:rFonts w:asciiTheme="minorHAnsi" w:hAnsiTheme="minorHAnsi" w:cstheme="majorBidi"/>
          <w:bCs/>
          <w:spacing w:val="-4"/>
          <w:sz w:val="22"/>
          <w:szCs w:val="22"/>
        </w:rPr>
        <w:t xml:space="preserve">continuing the </w:t>
      </w:r>
      <w:r w:rsidR="00A2192A" w:rsidRPr="00720B6A">
        <w:rPr>
          <w:rFonts w:asciiTheme="minorHAnsi" w:hAnsiTheme="minorHAnsi" w:cstheme="majorBidi"/>
          <w:bCs/>
          <w:spacing w:val="-4"/>
          <w:sz w:val="22"/>
          <w:szCs w:val="22"/>
        </w:rPr>
        <w:t xml:space="preserve">work of </w:t>
      </w:r>
      <w:r w:rsidR="00F61B8C" w:rsidRPr="00720B6A">
        <w:rPr>
          <w:rFonts w:asciiTheme="minorHAnsi" w:hAnsiTheme="minorHAnsi" w:cstheme="majorBidi"/>
          <w:bCs/>
          <w:spacing w:val="-4"/>
          <w:sz w:val="22"/>
          <w:szCs w:val="22"/>
        </w:rPr>
        <w:t>the Expert Group</w:t>
      </w:r>
      <w:r w:rsidR="00A2192A" w:rsidRPr="00720B6A">
        <w:rPr>
          <w:rFonts w:asciiTheme="minorHAnsi" w:hAnsiTheme="minorHAnsi" w:cstheme="majorBidi"/>
          <w:bCs/>
          <w:spacing w:val="-4"/>
          <w:sz w:val="22"/>
          <w:szCs w:val="22"/>
        </w:rPr>
        <w:t xml:space="preserve"> with revised T</w:t>
      </w:r>
      <w:r w:rsidR="00A319A9">
        <w:rPr>
          <w:rFonts w:asciiTheme="minorHAnsi" w:hAnsiTheme="minorHAnsi" w:cstheme="majorBidi"/>
          <w:bCs/>
          <w:spacing w:val="-4"/>
          <w:sz w:val="22"/>
          <w:szCs w:val="22"/>
        </w:rPr>
        <w:t>erms of Reference</w:t>
      </w:r>
      <w:r w:rsidR="00F61B8C" w:rsidRPr="00720B6A">
        <w:rPr>
          <w:rFonts w:asciiTheme="minorHAnsi" w:hAnsiTheme="minorHAnsi" w:cstheme="majorBidi"/>
          <w:bCs/>
          <w:spacing w:val="-4"/>
          <w:sz w:val="22"/>
          <w:szCs w:val="22"/>
        </w:rPr>
        <w:t xml:space="preserve">, </w:t>
      </w:r>
      <w:r w:rsidR="00D605D7" w:rsidRPr="00720B6A">
        <w:rPr>
          <w:rFonts w:asciiTheme="minorHAnsi" w:hAnsiTheme="minorHAnsi" w:cstheme="majorBidi"/>
          <w:bCs/>
          <w:spacing w:val="-4"/>
          <w:sz w:val="22"/>
          <w:szCs w:val="22"/>
        </w:rPr>
        <w:t xml:space="preserve">which </w:t>
      </w:r>
      <w:r w:rsidR="00F61B8C" w:rsidRPr="00720B6A">
        <w:rPr>
          <w:rFonts w:asciiTheme="minorHAnsi" w:hAnsiTheme="minorHAnsi" w:cstheme="majorBidi"/>
          <w:bCs/>
          <w:spacing w:val="-4"/>
          <w:sz w:val="22"/>
          <w:szCs w:val="22"/>
        </w:rPr>
        <w:t xml:space="preserve">would </w:t>
      </w:r>
      <w:r w:rsidR="00066A06" w:rsidRPr="00720B6A">
        <w:rPr>
          <w:rFonts w:asciiTheme="minorHAnsi" w:hAnsiTheme="minorHAnsi" w:cstheme="majorBidi"/>
          <w:bCs/>
          <w:spacing w:val="-4"/>
          <w:sz w:val="22"/>
          <w:szCs w:val="22"/>
        </w:rPr>
        <w:t>enable</w:t>
      </w:r>
      <w:r w:rsidR="00F61B8C" w:rsidRPr="00720B6A">
        <w:rPr>
          <w:rFonts w:asciiTheme="minorHAnsi" w:hAnsiTheme="minorHAnsi" w:cstheme="majorBidi"/>
          <w:bCs/>
          <w:spacing w:val="-4"/>
          <w:sz w:val="22"/>
          <w:szCs w:val="22"/>
        </w:rPr>
        <w:t xml:space="preserve"> </w:t>
      </w:r>
      <w:r w:rsidR="00237857" w:rsidRPr="00720B6A">
        <w:rPr>
          <w:rFonts w:asciiTheme="minorHAnsi" w:hAnsiTheme="minorHAnsi" w:cstheme="majorBidi"/>
          <w:bCs/>
          <w:spacing w:val="-4"/>
          <w:sz w:val="22"/>
          <w:szCs w:val="22"/>
        </w:rPr>
        <w:t xml:space="preserve">further </w:t>
      </w:r>
      <w:r w:rsidR="00F61B8C" w:rsidRPr="00720B6A">
        <w:rPr>
          <w:rFonts w:asciiTheme="minorHAnsi" w:hAnsiTheme="minorHAnsi" w:cstheme="majorBidi"/>
          <w:bCs/>
          <w:spacing w:val="-4"/>
          <w:sz w:val="22"/>
          <w:szCs w:val="22"/>
        </w:rPr>
        <w:t>discu</w:t>
      </w:r>
      <w:r w:rsidR="00A2192A" w:rsidRPr="00720B6A">
        <w:rPr>
          <w:rFonts w:asciiTheme="minorHAnsi" w:hAnsiTheme="minorHAnsi" w:cstheme="majorBidi"/>
          <w:bCs/>
          <w:spacing w:val="-4"/>
          <w:sz w:val="22"/>
          <w:szCs w:val="22"/>
        </w:rPr>
        <w:t>ssion</w:t>
      </w:r>
      <w:r w:rsidR="00F61B8C" w:rsidRPr="00720B6A">
        <w:rPr>
          <w:rFonts w:asciiTheme="minorHAnsi" w:hAnsiTheme="minorHAnsi" w:cstheme="majorBidi"/>
          <w:bCs/>
          <w:spacing w:val="-4"/>
          <w:sz w:val="22"/>
          <w:szCs w:val="22"/>
        </w:rPr>
        <w:t xml:space="preserve"> </w:t>
      </w:r>
      <w:r w:rsidR="00A2192A" w:rsidRPr="00720B6A">
        <w:rPr>
          <w:rFonts w:asciiTheme="minorHAnsi" w:hAnsiTheme="minorHAnsi" w:cstheme="majorBidi"/>
          <w:bCs/>
          <w:spacing w:val="-4"/>
          <w:sz w:val="22"/>
          <w:szCs w:val="22"/>
        </w:rPr>
        <w:t xml:space="preserve">on contentious issues with regard to the implementation of the ITRs. </w:t>
      </w:r>
      <w:r w:rsidR="000861CB" w:rsidRPr="00720B6A">
        <w:rPr>
          <w:rFonts w:asciiTheme="minorHAnsi" w:hAnsiTheme="minorHAnsi" w:cstheme="majorBidi"/>
          <w:bCs/>
          <w:spacing w:val="-4"/>
          <w:sz w:val="22"/>
          <w:szCs w:val="22"/>
        </w:rPr>
        <w:t xml:space="preserve"> </w:t>
      </w:r>
    </w:p>
    <w:p w:rsidR="00A319A9" w:rsidRPr="00A319A9" w:rsidRDefault="00A319A9" w:rsidP="00720B6A">
      <w:pPr>
        <w:pStyle w:val="ListParagraph"/>
        <w:numPr>
          <w:ilvl w:val="0"/>
          <w:numId w:val="22"/>
        </w:numPr>
        <w:spacing w:before="100" w:beforeAutospacing="1" w:after="100" w:afterAutospacing="1"/>
        <w:jc w:val="both"/>
        <w:outlineLvl w:val="0"/>
        <w:rPr>
          <w:rFonts w:ascii="Calibri" w:hAnsi="Calibri" w:cs="Calibri"/>
          <w:bCs/>
          <w:spacing w:val="-4"/>
          <w:sz w:val="22"/>
          <w:szCs w:val="22"/>
        </w:rPr>
      </w:pPr>
      <w:r w:rsidRPr="00A319A9">
        <w:rPr>
          <w:rFonts w:ascii="Calibri" w:hAnsi="Calibri" w:cs="Calibri"/>
          <w:bCs/>
          <w:spacing w:val="-4"/>
          <w:sz w:val="22"/>
          <w:szCs w:val="22"/>
        </w:rPr>
        <w:t xml:space="preserve">These members support </w:t>
      </w:r>
      <w:r w:rsidRPr="00A319A9">
        <w:rPr>
          <w:rFonts w:ascii="Calibri" w:hAnsi="Calibri" w:cs="Calibri"/>
          <w:sz w:val="22"/>
          <w:szCs w:val="22"/>
          <w:lang w:val="en-US"/>
        </w:rPr>
        <w:t>the regular review/revision of the ITRs given the current trends in the telecommunications/ICT market of the introduction of new technologies</w:t>
      </w:r>
      <w:r>
        <w:rPr>
          <w:rFonts w:ascii="Calibri" w:hAnsi="Calibri" w:cs="Calibri"/>
          <w:sz w:val="22"/>
          <w:szCs w:val="22"/>
          <w:lang w:val="en-US"/>
        </w:rPr>
        <w:t>.</w:t>
      </w:r>
    </w:p>
    <w:p w:rsidR="00A2192A" w:rsidRDefault="00A2192A" w:rsidP="00720B6A">
      <w:pPr>
        <w:pStyle w:val="ListParagraph"/>
        <w:numPr>
          <w:ilvl w:val="0"/>
          <w:numId w:val="22"/>
        </w:numPr>
        <w:spacing w:before="100" w:beforeAutospacing="1" w:after="100" w:afterAutospacing="1"/>
        <w:jc w:val="both"/>
        <w:outlineLvl w:val="0"/>
        <w:rPr>
          <w:rFonts w:asciiTheme="minorHAnsi" w:hAnsiTheme="minorHAnsi" w:cstheme="majorBidi"/>
          <w:bCs/>
          <w:spacing w:val="-4"/>
          <w:sz w:val="22"/>
          <w:szCs w:val="22"/>
        </w:rPr>
      </w:pPr>
      <w:r w:rsidRPr="00720B6A">
        <w:rPr>
          <w:rFonts w:asciiTheme="minorHAnsi" w:hAnsiTheme="minorHAnsi" w:cstheme="majorBidi"/>
          <w:bCs/>
          <w:spacing w:val="-4"/>
          <w:sz w:val="22"/>
          <w:szCs w:val="22"/>
        </w:rPr>
        <w:t>Some other Member</w:t>
      </w:r>
      <w:r w:rsidR="00FB0DFC" w:rsidRPr="00720B6A">
        <w:rPr>
          <w:rFonts w:asciiTheme="minorHAnsi" w:hAnsiTheme="minorHAnsi" w:cstheme="majorBidi"/>
          <w:bCs/>
          <w:spacing w:val="-4"/>
          <w:sz w:val="22"/>
          <w:szCs w:val="22"/>
        </w:rPr>
        <w:t xml:space="preserve">s </w:t>
      </w:r>
      <w:r w:rsidR="009051B4" w:rsidRPr="00720B6A">
        <w:rPr>
          <w:rFonts w:asciiTheme="minorHAnsi" w:hAnsiTheme="minorHAnsi" w:cstheme="majorBidi"/>
          <w:bCs/>
          <w:spacing w:val="-4"/>
          <w:sz w:val="22"/>
          <w:szCs w:val="22"/>
        </w:rPr>
        <w:t xml:space="preserve">highlighted </w:t>
      </w:r>
      <w:r w:rsidR="00D605D7" w:rsidRPr="00720B6A">
        <w:rPr>
          <w:rFonts w:asciiTheme="minorHAnsi" w:hAnsiTheme="minorHAnsi" w:cstheme="majorBidi"/>
          <w:bCs/>
          <w:spacing w:val="-4"/>
          <w:sz w:val="22"/>
          <w:szCs w:val="22"/>
        </w:rPr>
        <w:t xml:space="preserve">the </w:t>
      </w:r>
      <w:r w:rsidR="00237857" w:rsidRPr="00720B6A">
        <w:rPr>
          <w:rFonts w:asciiTheme="minorHAnsi" w:hAnsiTheme="minorHAnsi" w:cstheme="majorBidi"/>
          <w:bCs/>
          <w:spacing w:val="-4"/>
          <w:sz w:val="22"/>
          <w:szCs w:val="22"/>
        </w:rPr>
        <w:t xml:space="preserve">current </w:t>
      </w:r>
      <w:r w:rsidR="00FB0DFC" w:rsidRPr="00720B6A">
        <w:rPr>
          <w:rFonts w:asciiTheme="minorHAnsi" w:hAnsiTheme="minorHAnsi" w:cstheme="majorBidi"/>
          <w:bCs/>
          <w:spacing w:val="-4"/>
          <w:sz w:val="22"/>
          <w:szCs w:val="22"/>
        </w:rPr>
        <w:t>lack of consensus</w:t>
      </w:r>
      <w:r w:rsidR="009051B4" w:rsidRPr="00720B6A">
        <w:rPr>
          <w:rFonts w:asciiTheme="minorHAnsi" w:hAnsiTheme="minorHAnsi" w:cstheme="majorBidi"/>
          <w:bCs/>
          <w:spacing w:val="-4"/>
          <w:sz w:val="22"/>
          <w:szCs w:val="22"/>
        </w:rPr>
        <w:t xml:space="preserve"> around a possible revision of the ITRs</w:t>
      </w:r>
      <w:r w:rsidR="00FB0DFC" w:rsidRPr="00720B6A">
        <w:rPr>
          <w:rFonts w:asciiTheme="minorHAnsi" w:hAnsiTheme="minorHAnsi" w:cstheme="majorBidi"/>
          <w:bCs/>
          <w:spacing w:val="-4"/>
          <w:sz w:val="22"/>
          <w:szCs w:val="22"/>
        </w:rPr>
        <w:t xml:space="preserve"> </w:t>
      </w:r>
      <w:r w:rsidR="009051B4" w:rsidRPr="00720B6A">
        <w:rPr>
          <w:rFonts w:asciiTheme="minorHAnsi" w:hAnsiTheme="minorHAnsi" w:cstheme="majorBidi"/>
          <w:bCs/>
          <w:spacing w:val="-4"/>
          <w:sz w:val="22"/>
          <w:szCs w:val="22"/>
        </w:rPr>
        <w:t xml:space="preserve">and </w:t>
      </w:r>
      <w:r w:rsidR="00F61B8C" w:rsidRPr="00720B6A">
        <w:rPr>
          <w:rFonts w:asciiTheme="minorHAnsi" w:hAnsiTheme="minorHAnsi" w:cstheme="majorBidi"/>
          <w:bCs/>
          <w:spacing w:val="-4"/>
          <w:sz w:val="22"/>
          <w:szCs w:val="22"/>
        </w:rPr>
        <w:t>oppos</w:t>
      </w:r>
      <w:r w:rsidR="00D605D7" w:rsidRPr="00720B6A">
        <w:rPr>
          <w:rFonts w:asciiTheme="minorHAnsi" w:hAnsiTheme="minorHAnsi" w:cstheme="majorBidi"/>
          <w:bCs/>
          <w:spacing w:val="-4"/>
          <w:sz w:val="22"/>
          <w:szCs w:val="22"/>
        </w:rPr>
        <w:t>ed</w:t>
      </w:r>
      <w:r w:rsidR="00F61B8C" w:rsidRPr="00720B6A">
        <w:rPr>
          <w:rFonts w:asciiTheme="minorHAnsi" w:hAnsiTheme="minorHAnsi" w:cstheme="majorBidi"/>
          <w:bCs/>
          <w:spacing w:val="-4"/>
          <w:sz w:val="22"/>
          <w:szCs w:val="22"/>
        </w:rPr>
        <w:t xml:space="preserve"> the continuation of the </w:t>
      </w:r>
      <w:r w:rsidR="00237857" w:rsidRPr="00720B6A">
        <w:rPr>
          <w:rFonts w:asciiTheme="minorHAnsi" w:hAnsiTheme="minorHAnsi" w:cstheme="majorBidi"/>
          <w:bCs/>
          <w:spacing w:val="-4"/>
          <w:sz w:val="22"/>
          <w:szCs w:val="22"/>
        </w:rPr>
        <w:t>work of the Group</w:t>
      </w:r>
      <w:r w:rsidR="009051B4" w:rsidRPr="00720B6A">
        <w:rPr>
          <w:rFonts w:asciiTheme="minorHAnsi" w:hAnsiTheme="minorHAnsi" w:cstheme="majorBidi"/>
          <w:bCs/>
          <w:spacing w:val="-4"/>
          <w:sz w:val="22"/>
          <w:szCs w:val="22"/>
        </w:rPr>
        <w:t xml:space="preserve">. </w:t>
      </w:r>
    </w:p>
    <w:p w:rsidR="00E017AB" w:rsidRPr="00A319A9" w:rsidRDefault="00A319A9" w:rsidP="00E017AB">
      <w:pPr>
        <w:pStyle w:val="ListParagraph"/>
        <w:numPr>
          <w:ilvl w:val="0"/>
          <w:numId w:val="22"/>
        </w:numPr>
        <w:spacing w:before="100" w:beforeAutospacing="1" w:after="100" w:afterAutospacing="1"/>
        <w:jc w:val="both"/>
        <w:outlineLvl w:val="0"/>
        <w:rPr>
          <w:rFonts w:asciiTheme="minorHAnsi" w:hAnsiTheme="minorHAnsi" w:cstheme="majorBidi"/>
          <w:bCs/>
          <w:spacing w:val="-4"/>
          <w:sz w:val="22"/>
          <w:szCs w:val="22"/>
        </w:rPr>
      </w:pPr>
      <w:r>
        <w:rPr>
          <w:rFonts w:asciiTheme="minorHAnsi" w:hAnsiTheme="minorHAnsi" w:cstheme="majorBidi"/>
          <w:bCs/>
          <w:spacing w:val="-4"/>
          <w:sz w:val="22"/>
          <w:szCs w:val="22"/>
        </w:rPr>
        <w:t>These members</w:t>
      </w:r>
      <w:r w:rsidR="00E017AB">
        <w:rPr>
          <w:rFonts w:asciiTheme="minorHAnsi" w:hAnsiTheme="minorHAnsi" w:cstheme="majorBidi"/>
          <w:bCs/>
          <w:spacing w:val="-4"/>
          <w:sz w:val="22"/>
          <w:szCs w:val="22"/>
        </w:rPr>
        <w:t xml:space="preserve"> </w:t>
      </w:r>
      <w:r w:rsidR="00DC458F">
        <w:rPr>
          <w:rFonts w:asciiTheme="minorHAnsi" w:hAnsiTheme="minorHAnsi" w:cstheme="majorBidi"/>
          <w:bCs/>
          <w:spacing w:val="-4"/>
          <w:sz w:val="22"/>
          <w:szCs w:val="22"/>
        </w:rPr>
        <w:t>further referred</w:t>
      </w:r>
      <w:r w:rsidR="00E017AB">
        <w:rPr>
          <w:rFonts w:asciiTheme="minorHAnsi" w:hAnsiTheme="minorHAnsi" w:cstheme="majorBidi"/>
          <w:bCs/>
          <w:spacing w:val="-4"/>
          <w:sz w:val="22"/>
          <w:szCs w:val="22"/>
        </w:rPr>
        <w:t xml:space="preserve"> to previous </w:t>
      </w:r>
      <w:r w:rsidR="00DC458F">
        <w:rPr>
          <w:rFonts w:ascii="Calibri" w:hAnsi="Calibri" w:cs="Calibri"/>
          <w:bCs/>
          <w:spacing w:val="-4"/>
          <w:sz w:val="22"/>
          <w:szCs w:val="22"/>
        </w:rPr>
        <w:t>comments to the effect</w:t>
      </w:r>
      <w:r w:rsidR="00E017AB" w:rsidRPr="00A319A9">
        <w:rPr>
          <w:rFonts w:ascii="Calibri" w:hAnsi="Calibri" w:cs="Calibri"/>
          <w:bCs/>
          <w:spacing w:val="-4"/>
          <w:sz w:val="22"/>
          <w:szCs w:val="22"/>
        </w:rPr>
        <w:t xml:space="preserve"> that</w:t>
      </w:r>
      <w:r w:rsidRPr="00A319A9">
        <w:rPr>
          <w:rFonts w:ascii="Calibri" w:hAnsi="Calibri" w:cs="Calibri"/>
          <w:bCs/>
          <w:spacing w:val="-4"/>
          <w:sz w:val="22"/>
          <w:szCs w:val="22"/>
        </w:rPr>
        <w:t xml:space="preserve"> </w:t>
      </w:r>
      <w:r w:rsidR="00E017AB" w:rsidRPr="00A319A9">
        <w:rPr>
          <w:rFonts w:ascii="Calibri" w:hAnsi="Calibri" w:cs="Calibri"/>
          <w:bCs/>
          <w:spacing w:val="-4"/>
          <w:sz w:val="22"/>
          <w:szCs w:val="22"/>
        </w:rPr>
        <w:t>no conflicts had been found</w:t>
      </w:r>
      <w:r w:rsidR="00DC458F">
        <w:rPr>
          <w:rFonts w:ascii="Calibri" w:hAnsi="Calibri" w:cs="Calibri"/>
          <w:bCs/>
          <w:spacing w:val="-4"/>
          <w:sz w:val="22"/>
          <w:szCs w:val="22"/>
        </w:rPr>
        <w:t xml:space="preserve"> between the two versions of the ITRs</w:t>
      </w:r>
      <w:r w:rsidR="00E017AB" w:rsidRPr="00A319A9">
        <w:rPr>
          <w:rFonts w:ascii="Calibri" w:hAnsi="Calibri" w:cs="Calibri"/>
          <w:bCs/>
          <w:spacing w:val="-4"/>
          <w:sz w:val="22"/>
          <w:szCs w:val="22"/>
        </w:rPr>
        <w:t>.</w:t>
      </w:r>
    </w:p>
    <w:p w:rsidR="000861CB" w:rsidRPr="00720B6A" w:rsidRDefault="000861CB" w:rsidP="00720B6A">
      <w:pPr>
        <w:pStyle w:val="ListParagraph"/>
        <w:numPr>
          <w:ilvl w:val="0"/>
          <w:numId w:val="22"/>
        </w:numPr>
        <w:spacing w:before="100" w:beforeAutospacing="1" w:after="100" w:afterAutospacing="1"/>
        <w:jc w:val="both"/>
        <w:outlineLvl w:val="0"/>
        <w:rPr>
          <w:rFonts w:asciiTheme="minorHAnsi" w:hAnsiTheme="minorHAnsi" w:cstheme="majorBidi"/>
          <w:bCs/>
          <w:spacing w:val="-4"/>
          <w:sz w:val="22"/>
          <w:szCs w:val="22"/>
        </w:rPr>
      </w:pPr>
      <w:r w:rsidRPr="00720B6A">
        <w:rPr>
          <w:rFonts w:asciiTheme="minorHAnsi" w:hAnsiTheme="minorHAnsi" w:cstheme="majorBidi"/>
          <w:bCs/>
          <w:spacing w:val="-4"/>
          <w:sz w:val="22"/>
          <w:szCs w:val="22"/>
        </w:rPr>
        <w:t xml:space="preserve">It is understood </w:t>
      </w:r>
      <w:r w:rsidR="00E017AB">
        <w:rPr>
          <w:rFonts w:asciiTheme="minorHAnsi" w:hAnsiTheme="minorHAnsi" w:cstheme="majorBidi"/>
          <w:bCs/>
          <w:spacing w:val="-4"/>
          <w:sz w:val="22"/>
          <w:szCs w:val="22"/>
        </w:rPr>
        <w:t xml:space="preserve">by the group </w:t>
      </w:r>
      <w:r w:rsidRPr="00720B6A">
        <w:rPr>
          <w:rFonts w:asciiTheme="minorHAnsi" w:hAnsiTheme="minorHAnsi" w:cstheme="majorBidi"/>
          <w:bCs/>
          <w:spacing w:val="-4"/>
          <w:sz w:val="22"/>
          <w:szCs w:val="22"/>
        </w:rPr>
        <w:t>that th</w:t>
      </w:r>
      <w:r w:rsidR="00E017AB">
        <w:rPr>
          <w:rFonts w:asciiTheme="minorHAnsi" w:hAnsiTheme="minorHAnsi" w:cstheme="majorBidi"/>
          <w:bCs/>
          <w:spacing w:val="-4"/>
          <w:sz w:val="22"/>
          <w:szCs w:val="22"/>
        </w:rPr>
        <w:t>e</w:t>
      </w:r>
      <w:r w:rsidRPr="00720B6A">
        <w:rPr>
          <w:rFonts w:asciiTheme="minorHAnsi" w:hAnsiTheme="minorHAnsi" w:cstheme="majorBidi"/>
          <w:bCs/>
          <w:spacing w:val="-4"/>
          <w:sz w:val="22"/>
          <w:szCs w:val="22"/>
        </w:rPr>
        <w:t xml:space="preserve"> issue</w:t>
      </w:r>
      <w:r w:rsidR="00E017AB">
        <w:rPr>
          <w:rFonts w:asciiTheme="minorHAnsi" w:hAnsiTheme="minorHAnsi" w:cstheme="majorBidi"/>
          <w:bCs/>
          <w:spacing w:val="-4"/>
          <w:sz w:val="22"/>
          <w:szCs w:val="22"/>
        </w:rPr>
        <w:t>s raised by this contribution</w:t>
      </w:r>
      <w:r w:rsidRPr="00720B6A">
        <w:rPr>
          <w:rFonts w:asciiTheme="minorHAnsi" w:hAnsiTheme="minorHAnsi" w:cstheme="majorBidi"/>
          <w:bCs/>
          <w:spacing w:val="-4"/>
          <w:sz w:val="22"/>
          <w:szCs w:val="22"/>
        </w:rPr>
        <w:t xml:space="preserve"> </w:t>
      </w:r>
      <w:r w:rsidR="00B76D8B" w:rsidRPr="00720B6A">
        <w:rPr>
          <w:rFonts w:asciiTheme="minorHAnsi" w:hAnsiTheme="minorHAnsi" w:cstheme="majorBidi"/>
          <w:bCs/>
          <w:spacing w:val="-4"/>
          <w:sz w:val="22"/>
          <w:szCs w:val="22"/>
        </w:rPr>
        <w:t xml:space="preserve">could </w:t>
      </w:r>
      <w:r w:rsidR="00311A69">
        <w:rPr>
          <w:rFonts w:asciiTheme="minorHAnsi" w:hAnsiTheme="minorHAnsi" w:cstheme="majorBidi"/>
          <w:bCs/>
          <w:spacing w:val="-4"/>
          <w:sz w:val="22"/>
          <w:szCs w:val="22"/>
        </w:rPr>
        <w:t xml:space="preserve">also </w:t>
      </w:r>
      <w:r w:rsidR="00B76D8B" w:rsidRPr="00720B6A">
        <w:rPr>
          <w:rFonts w:asciiTheme="minorHAnsi" w:hAnsiTheme="minorHAnsi" w:cstheme="majorBidi"/>
          <w:bCs/>
          <w:spacing w:val="-4"/>
          <w:sz w:val="22"/>
          <w:szCs w:val="22"/>
        </w:rPr>
        <w:t>be addressed by Council or</w:t>
      </w:r>
      <w:r w:rsidRPr="00720B6A">
        <w:rPr>
          <w:rFonts w:asciiTheme="minorHAnsi" w:hAnsiTheme="minorHAnsi" w:cstheme="majorBidi"/>
          <w:bCs/>
          <w:spacing w:val="-4"/>
          <w:sz w:val="22"/>
          <w:szCs w:val="22"/>
        </w:rPr>
        <w:t xml:space="preserve"> by </w:t>
      </w:r>
      <w:r w:rsidR="00311A69">
        <w:rPr>
          <w:rFonts w:asciiTheme="minorHAnsi" w:hAnsiTheme="minorHAnsi" w:cstheme="majorBidi"/>
          <w:bCs/>
          <w:spacing w:val="-4"/>
          <w:sz w:val="22"/>
          <w:szCs w:val="22"/>
        </w:rPr>
        <w:t xml:space="preserve">the </w:t>
      </w:r>
      <w:r w:rsidRPr="00720B6A">
        <w:rPr>
          <w:rFonts w:asciiTheme="minorHAnsi" w:hAnsiTheme="minorHAnsi" w:cstheme="majorBidi"/>
          <w:bCs/>
          <w:spacing w:val="-4"/>
          <w:sz w:val="22"/>
          <w:szCs w:val="22"/>
        </w:rPr>
        <w:t>Plenipotentiary Conference</w:t>
      </w:r>
      <w:r w:rsidR="00E017AB">
        <w:rPr>
          <w:rFonts w:asciiTheme="minorHAnsi" w:hAnsiTheme="minorHAnsi" w:cstheme="majorBidi"/>
          <w:bCs/>
          <w:spacing w:val="-4"/>
          <w:sz w:val="22"/>
          <w:szCs w:val="22"/>
        </w:rPr>
        <w:t xml:space="preserve"> if needed</w:t>
      </w:r>
      <w:r w:rsidRPr="00720B6A">
        <w:rPr>
          <w:rFonts w:asciiTheme="minorHAnsi" w:hAnsiTheme="minorHAnsi" w:cstheme="majorBidi"/>
          <w:bCs/>
          <w:spacing w:val="-4"/>
          <w:sz w:val="22"/>
          <w:szCs w:val="22"/>
        </w:rPr>
        <w:t>.</w:t>
      </w:r>
    </w:p>
    <w:p w:rsidR="00935FD7" w:rsidRPr="00720B6A" w:rsidRDefault="00EE2F2D" w:rsidP="00A009B8">
      <w:pPr>
        <w:spacing w:before="100" w:beforeAutospacing="1" w:after="100" w:afterAutospacing="1" w:line="240" w:lineRule="auto"/>
        <w:ind w:left="720" w:hanging="720"/>
        <w:jc w:val="both"/>
        <w:outlineLvl w:val="0"/>
        <w:rPr>
          <w:rFonts w:cstheme="majorBidi"/>
          <w:b/>
          <w:spacing w:val="-4"/>
        </w:rPr>
      </w:pPr>
      <w:r w:rsidRPr="00720B6A">
        <w:rPr>
          <w:b/>
        </w:rPr>
        <w:t>5</w:t>
      </w:r>
      <w:r w:rsidR="00FB1CB4" w:rsidRPr="00720B6A">
        <w:rPr>
          <w:b/>
        </w:rPr>
        <w:t>.</w:t>
      </w:r>
      <w:r w:rsidR="009C4EEB" w:rsidRPr="00720B6A">
        <w:rPr>
          <w:b/>
        </w:rPr>
        <w:t>3</w:t>
      </w:r>
      <w:r w:rsidR="00FB1CB4" w:rsidRPr="00720B6A">
        <w:rPr>
          <w:b/>
        </w:rPr>
        <w:tab/>
      </w:r>
      <w:r w:rsidR="00FB1CB4" w:rsidRPr="00720B6A">
        <w:rPr>
          <w:rFonts w:cstheme="majorBidi"/>
          <w:b/>
          <w:spacing w:val="-4"/>
        </w:rPr>
        <w:t xml:space="preserve"> </w:t>
      </w:r>
      <w:r w:rsidR="00B851AE" w:rsidRPr="00720B6A">
        <w:rPr>
          <w:rFonts w:cstheme="majorBidi"/>
          <w:b/>
          <w:spacing w:val="-4"/>
        </w:rPr>
        <w:t xml:space="preserve">Discussion on Contribution </w:t>
      </w:r>
      <w:hyperlink r:id="rId21" w:history="1">
        <w:r w:rsidR="00B851AE" w:rsidRPr="00720B6A">
          <w:rPr>
            <w:rStyle w:val="Hyperlink"/>
            <w:rFonts w:cstheme="majorBidi"/>
            <w:b/>
            <w:spacing w:val="-4"/>
          </w:rPr>
          <w:t>EG-ITRs 4/7</w:t>
        </w:r>
      </w:hyperlink>
      <w:r w:rsidR="00B851AE" w:rsidRPr="00720B6A">
        <w:rPr>
          <w:rFonts w:cstheme="majorBidi"/>
          <w:b/>
          <w:spacing w:val="-4"/>
        </w:rPr>
        <w:t xml:space="preserve"> from Bell Mobility (Canada); KDDI, NTT DOCOMO Inc. (Japan); BT (United Kingdom); AT&amp;T, Verizon (United States of America) - Review of the 2012 ITRs  </w:t>
      </w:r>
    </w:p>
    <w:p w:rsidR="009051B4" w:rsidRPr="00720B6A" w:rsidRDefault="00F61B8C" w:rsidP="00720B6A">
      <w:pPr>
        <w:pStyle w:val="ListParagraph"/>
        <w:numPr>
          <w:ilvl w:val="0"/>
          <w:numId w:val="23"/>
        </w:numPr>
        <w:spacing w:before="100" w:beforeAutospacing="1" w:after="100" w:afterAutospacing="1"/>
        <w:jc w:val="both"/>
        <w:outlineLvl w:val="0"/>
        <w:rPr>
          <w:rFonts w:asciiTheme="minorHAnsi" w:hAnsiTheme="minorHAnsi" w:cstheme="majorBidi"/>
          <w:bCs/>
          <w:spacing w:val="-4"/>
          <w:sz w:val="22"/>
          <w:szCs w:val="22"/>
        </w:rPr>
      </w:pPr>
      <w:r w:rsidRPr="00720B6A">
        <w:rPr>
          <w:rFonts w:asciiTheme="minorHAnsi" w:hAnsiTheme="minorHAnsi" w:cstheme="majorBidi"/>
          <w:bCs/>
          <w:spacing w:val="-4"/>
          <w:sz w:val="22"/>
          <w:szCs w:val="22"/>
        </w:rPr>
        <w:t>Some Memb</w:t>
      </w:r>
      <w:r w:rsidR="00A26B24" w:rsidRPr="00720B6A">
        <w:rPr>
          <w:rFonts w:asciiTheme="minorHAnsi" w:hAnsiTheme="minorHAnsi" w:cstheme="majorBidi"/>
          <w:bCs/>
          <w:spacing w:val="-4"/>
          <w:sz w:val="22"/>
          <w:szCs w:val="22"/>
        </w:rPr>
        <w:t>ers</w:t>
      </w:r>
      <w:r w:rsidRPr="00720B6A">
        <w:rPr>
          <w:rFonts w:asciiTheme="minorHAnsi" w:hAnsiTheme="minorHAnsi" w:cstheme="majorBidi"/>
          <w:bCs/>
          <w:spacing w:val="-4"/>
          <w:sz w:val="22"/>
          <w:szCs w:val="22"/>
        </w:rPr>
        <w:t xml:space="preserve"> </w:t>
      </w:r>
      <w:r w:rsidR="00A26B24" w:rsidRPr="00720B6A">
        <w:rPr>
          <w:rFonts w:asciiTheme="minorHAnsi" w:hAnsiTheme="minorHAnsi" w:cstheme="majorBidi"/>
          <w:bCs/>
          <w:spacing w:val="-4"/>
          <w:sz w:val="22"/>
          <w:szCs w:val="22"/>
        </w:rPr>
        <w:t>support</w:t>
      </w:r>
      <w:r w:rsidR="0080702C" w:rsidRPr="00720B6A">
        <w:rPr>
          <w:rFonts w:asciiTheme="minorHAnsi" w:hAnsiTheme="minorHAnsi" w:cstheme="majorBidi"/>
          <w:bCs/>
          <w:spacing w:val="-4"/>
          <w:sz w:val="22"/>
          <w:szCs w:val="22"/>
        </w:rPr>
        <w:t>ed</w:t>
      </w:r>
      <w:r w:rsidR="00A26B24" w:rsidRPr="00720B6A">
        <w:rPr>
          <w:rFonts w:asciiTheme="minorHAnsi" w:hAnsiTheme="minorHAnsi" w:cstheme="majorBidi"/>
          <w:bCs/>
          <w:spacing w:val="-4"/>
          <w:sz w:val="22"/>
          <w:szCs w:val="22"/>
        </w:rPr>
        <w:t xml:space="preserve"> the </w:t>
      </w:r>
      <w:r w:rsidR="00A605A0" w:rsidRPr="00720B6A">
        <w:rPr>
          <w:rFonts w:asciiTheme="minorHAnsi" w:hAnsiTheme="minorHAnsi" w:cstheme="majorBidi"/>
          <w:bCs/>
          <w:spacing w:val="-4"/>
          <w:sz w:val="22"/>
          <w:szCs w:val="22"/>
        </w:rPr>
        <w:t>contribution</w:t>
      </w:r>
      <w:r w:rsidR="00F42500" w:rsidRPr="00720B6A">
        <w:rPr>
          <w:rFonts w:asciiTheme="minorHAnsi" w:hAnsiTheme="minorHAnsi" w:cstheme="majorBidi"/>
          <w:bCs/>
          <w:spacing w:val="-4"/>
          <w:sz w:val="22"/>
          <w:szCs w:val="22"/>
        </w:rPr>
        <w:t>,</w:t>
      </w:r>
      <w:r w:rsidR="00A605A0" w:rsidRPr="00720B6A">
        <w:rPr>
          <w:rFonts w:asciiTheme="minorHAnsi" w:hAnsiTheme="minorHAnsi" w:cstheme="majorBidi"/>
          <w:bCs/>
          <w:spacing w:val="-4"/>
          <w:sz w:val="22"/>
          <w:szCs w:val="22"/>
        </w:rPr>
        <w:t xml:space="preserve"> reiterating the view </w:t>
      </w:r>
      <w:r w:rsidR="00A26B24" w:rsidRPr="00720B6A">
        <w:rPr>
          <w:rFonts w:asciiTheme="minorHAnsi" w:hAnsiTheme="minorHAnsi" w:cstheme="majorBidi"/>
          <w:bCs/>
          <w:spacing w:val="-4"/>
          <w:sz w:val="22"/>
          <w:szCs w:val="22"/>
        </w:rPr>
        <w:t xml:space="preserve">that </w:t>
      </w:r>
      <w:r w:rsidR="00F42500" w:rsidRPr="00720B6A">
        <w:rPr>
          <w:rFonts w:asciiTheme="minorHAnsi" w:hAnsiTheme="minorHAnsi" w:cstheme="majorBidi"/>
          <w:bCs/>
          <w:spacing w:val="-4"/>
          <w:sz w:val="22"/>
          <w:szCs w:val="22"/>
        </w:rPr>
        <w:t xml:space="preserve">although operators </w:t>
      </w:r>
      <w:r w:rsidR="00A25277" w:rsidRPr="00720B6A">
        <w:rPr>
          <w:rFonts w:asciiTheme="minorHAnsi" w:hAnsiTheme="minorHAnsi" w:cstheme="majorBidi"/>
          <w:bCs/>
          <w:spacing w:val="-4"/>
          <w:sz w:val="22"/>
          <w:szCs w:val="22"/>
        </w:rPr>
        <w:t xml:space="preserve">continue to work within a certain regulatory framework, </w:t>
      </w:r>
      <w:r w:rsidR="00A26B24" w:rsidRPr="00720B6A">
        <w:rPr>
          <w:rFonts w:asciiTheme="minorHAnsi" w:hAnsiTheme="minorHAnsi" w:cstheme="majorBidi"/>
          <w:bCs/>
          <w:spacing w:val="-4"/>
          <w:sz w:val="22"/>
          <w:szCs w:val="22"/>
        </w:rPr>
        <w:t>the ITRs</w:t>
      </w:r>
      <w:r w:rsidR="00A605A0" w:rsidRPr="00720B6A">
        <w:rPr>
          <w:rFonts w:asciiTheme="minorHAnsi" w:hAnsiTheme="minorHAnsi"/>
          <w:sz w:val="22"/>
          <w:szCs w:val="22"/>
        </w:rPr>
        <w:t xml:space="preserve"> </w:t>
      </w:r>
      <w:r w:rsidR="00A605A0" w:rsidRPr="00720B6A">
        <w:rPr>
          <w:rFonts w:asciiTheme="minorHAnsi" w:hAnsiTheme="minorHAnsi" w:cstheme="majorBidi"/>
          <w:bCs/>
          <w:spacing w:val="-4"/>
          <w:sz w:val="22"/>
          <w:szCs w:val="22"/>
        </w:rPr>
        <w:t xml:space="preserve">are </w:t>
      </w:r>
      <w:r w:rsidR="00295B70" w:rsidRPr="00720B6A">
        <w:rPr>
          <w:rFonts w:asciiTheme="minorHAnsi" w:hAnsiTheme="minorHAnsi" w:cstheme="majorBidi"/>
          <w:bCs/>
          <w:spacing w:val="-4"/>
          <w:sz w:val="22"/>
          <w:szCs w:val="22"/>
        </w:rPr>
        <w:t>not</w:t>
      </w:r>
      <w:r w:rsidR="00A605A0" w:rsidRPr="00720B6A">
        <w:rPr>
          <w:rFonts w:asciiTheme="minorHAnsi" w:hAnsiTheme="minorHAnsi" w:cstheme="majorBidi"/>
          <w:bCs/>
          <w:spacing w:val="-4"/>
          <w:sz w:val="22"/>
          <w:szCs w:val="22"/>
        </w:rPr>
        <w:t xml:space="preserve"> </w:t>
      </w:r>
      <w:r w:rsidR="00A25277" w:rsidRPr="00720B6A">
        <w:rPr>
          <w:rFonts w:asciiTheme="minorHAnsi" w:hAnsiTheme="minorHAnsi" w:cstheme="majorBidi"/>
          <w:bCs/>
          <w:spacing w:val="-4"/>
          <w:sz w:val="22"/>
          <w:szCs w:val="22"/>
        </w:rPr>
        <w:t>relevant</w:t>
      </w:r>
      <w:r w:rsidR="00A605A0" w:rsidRPr="00720B6A">
        <w:rPr>
          <w:rFonts w:asciiTheme="minorHAnsi" w:hAnsiTheme="minorHAnsi" w:cstheme="majorBidi"/>
          <w:bCs/>
          <w:spacing w:val="-4"/>
          <w:sz w:val="22"/>
          <w:szCs w:val="22"/>
        </w:rPr>
        <w:t xml:space="preserve"> </w:t>
      </w:r>
      <w:r w:rsidR="00A25277" w:rsidRPr="00720B6A">
        <w:rPr>
          <w:rFonts w:asciiTheme="minorHAnsi" w:hAnsiTheme="minorHAnsi" w:cstheme="majorBidi"/>
          <w:bCs/>
          <w:spacing w:val="-4"/>
          <w:sz w:val="22"/>
          <w:szCs w:val="22"/>
        </w:rPr>
        <w:t xml:space="preserve">in the case of </w:t>
      </w:r>
      <w:r w:rsidR="00A605A0" w:rsidRPr="00720B6A">
        <w:rPr>
          <w:rFonts w:asciiTheme="minorHAnsi" w:hAnsiTheme="minorHAnsi" w:cstheme="majorBidi"/>
          <w:bCs/>
          <w:spacing w:val="-4"/>
          <w:sz w:val="22"/>
          <w:szCs w:val="22"/>
        </w:rPr>
        <w:t>commercially-negotiated agreements</w:t>
      </w:r>
      <w:r w:rsidR="00A25277" w:rsidRPr="00720B6A">
        <w:rPr>
          <w:rFonts w:asciiTheme="minorHAnsi" w:hAnsiTheme="minorHAnsi" w:cstheme="majorBidi"/>
          <w:bCs/>
          <w:spacing w:val="-4"/>
          <w:sz w:val="22"/>
          <w:szCs w:val="22"/>
        </w:rPr>
        <w:t>.</w:t>
      </w:r>
      <w:r w:rsidR="00A26B24" w:rsidRPr="00720B6A">
        <w:rPr>
          <w:rFonts w:asciiTheme="minorHAnsi" w:hAnsiTheme="minorHAnsi" w:cstheme="majorBidi"/>
          <w:bCs/>
          <w:spacing w:val="-4"/>
          <w:sz w:val="22"/>
          <w:szCs w:val="22"/>
        </w:rPr>
        <w:t xml:space="preserve"> </w:t>
      </w:r>
    </w:p>
    <w:p w:rsidR="00506775" w:rsidRPr="00720B6A" w:rsidRDefault="00295B70" w:rsidP="00720B6A">
      <w:pPr>
        <w:pStyle w:val="ListParagraph"/>
        <w:numPr>
          <w:ilvl w:val="0"/>
          <w:numId w:val="23"/>
        </w:numPr>
        <w:spacing w:before="100" w:beforeAutospacing="1" w:after="100" w:afterAutospacing="1"/>
        <w:jc w:val="both"/>
        <w:outlineLvl w:val="0"/>
        <w:rPr>
          <w:rFonts w:asciiTheme="minorHAnsi" w:hAnsiTheme="minorHAnsi" w:cstheme="majorBidi"/>
          <w:bCs/>
          <w:spacing w:val="-4"/>
          <w:sz w:val="22"/>
          <w:szCs w:val="22"/>
        </w:rPr>
      </w:pPr>
      <w:r w:rsidRPr="00720B6A">
        <w:rPr>
          <w:rFonts w:asciiTheme="minorHAnsi" w:hAnsiTheme="minorHAnsi" w:cstheme="majorBidi"/>
          <w:bCs/>
          <w:spacing w:val="-4"/>
          <w:sz w:val="22"/>
          <w:szCs w:val="22"/>
        </w:rPr>
        <w:t>Other Members expressed the view that ITRs are applicable, even if they are not explicitly referenced in the relevant agreements</w:t>
      </w:r>
      <w:r w:rsidR="008176D2" w:rsidRPr="00720B6A">
        <w:rPr>
          <w:rFonts w:asciiTheme="minorHAnsi" w:hAnsiTheme="minorHAnsi" w:cstheme="majorBidi"/>
          <w:bCs/>
          <w:spacing w:val="-4"/>
          <w:sz w:val="22"/>
          <w:szCs w:val="22"/>
        </w:rPr>
        <w:t>,</w:t>
      </w:r>
      <w:r w:rsidR="0080702C" w:rsidRPr="00720B6A">
        <w:rPr>
          <w:rFonts w:asciiTheme="minorHAnsi" w:hAnsiTheme="minorHAnsi" w:cstheme="majorBidi"/>
          <w:bCs/>
          <w:spacing w:val="-4"/>
          <w:sz w:val="22"/>
          <w:szCs w:val="22"/>
        </w:rPr>
        <w:t xml:space="preserve"> and that even in case of commercially-negotiated agreements, the</w:t>
      </w:r>
      <w:r w:rsidR="00C241BB" w:rsidRPr="00720B6A">
        <w:rPr>
          <w:rFonts w:asciiTheme="minorHAnsi" w:hAnsiTheme="minorHAnsi" w:cstheme="majorBidi"/>
          <w:bCs/>
          <w:spacing w:val="-4"/>
          <w:sz w:val="22"/>
          <w:szCs w:val="22"/>
        </w:rPr>
        <w:t>se</w:t>
      </w:r>
      <w:r w:rsidR="008176D2" w:rsidRPr="00720B6A">
        <w:rPr>
          <w:rFonts w:asciiTheme="minorHAnsi" w:hAnsiTheme="minorHAnsi" w:cstheme="majorBidi"/>
          <w:bCs/>
          <w:spacing w:val="-4"/>
          <w:sz w:val="22"/>
          <w:szCs w:val="22"/>
        </w:rPr>
        <w:t xml:space="preserve"> </w:t>
      </w:r>
      <w:r w:rsidR="0080702C" w:rsidRPr="00720B6A">
        <w:rPr>
          <w:rFonts w:asciiTheme="minorHAnsi" w:hAnsiTheme="minorHAnsi" w:cstheme="majorBidi"/>
          <w:bCs/>
          <w:spacing w:val="-4"/>
          <w:sz w:val="22"/>
          <w:szCs w:val="22"/>
        </w:rPr>
        <w:t xml:space="preserve">are enabled under </w:t>
      </w:r>
      <w:r w:rsidR="00C50079" w:rsidRPr="00720B6A">
        <w:rPr>
          <w:rFonts w:asciiTheme="minorHAnsi" w:hAnsiTheme="minorHAnsi" w:cstheme="majorBidi"/>
          <w:bCs/>
          <w:spacing w:val="-4"/>
          <w:sz w:val="22"/>
          <w:szCs w:val="22"/>
        </w:rPr>
        <w:t xml:space="preserve">Article 9 of the </w:t>
      </w:r>
      <w:r w:rsidR="0080702C" w:rsidRPr="00720B6A">
        <w:rPr>
          <w:rFonts w:asciiTheme="minorHAnsi" w:hAnsiTheme="minorHAnsi" w:cstheme="majorBidi"/>
          <w:bCs/>
          <w:spacing w:val="-4"/>
          <w:sz w:val="22"/>
          <w:szCs w:val="22"/>
        </w:rPr>
        <w:t xml:space="preserve">1988 </w:t>
      </w:r>
      <w:r w:rsidR="00C50079" w:rsidRPr="00720B6A">
        <w:rPr>
          <w:rFonts w:asciiTheme="minorHAnsi" w:hAnsiTheme="minorHAnsi" w:cstheme="majorBidi"/>
          <w:bCs/>
          <w:spacing w:val="-4"/>
          <w:sz w:val="22"/>
          <w:szCs w:val="22"/>
        </w:rPr>
        <w:t>ITRs.</w:t>
      </w:r>
    </w:p>
    <w:p w:rsidR="00BA0A95" w:rsidRPr="00720B6A" w:rsidRDefault="00EE2F2D" w:rsidP="00A009B8">
      <w:pPr>
        <w:spacing w:before="100" w:beforeAutospacing="1" w:after="100" w:afterAutospacing="1" w:line="240" w:lineRule="auto"/>
        <w:ind w:left="720" w:hanging="720"/>
        <w:jc w:val="both"/>
        <w:outlineLvl w:val="0"/>
        <w:rPr>
          <w:rFonts w:cstheme="majorBidi"/>
          <w:b/>
          <w:spacing w:val="-4"/>
        </w:rPr>
      </w:pPr>
      <w:r w:rsidRPr="00720B6A">
        <w:rPr>
          <w:rFonts w:cstheme="majorBidi"/>
          <w:b/>
          <w:spacing w:val="-4"/>
        </w:rPr>
        <w:t>5</w:t>
      </w:r>
      <w:r w:rsidR="00873FCD" w:rsidRPr="00720B6A">
        <w:rPr>
          <w:rFonts w:cstheme="majorBidi"/>
          <w:b/>
          <w:spacing w:val="-4"/>
        </w:rPr>
        <w:t>.</w:t>
      </w:r>
      <w:r w:rsidR="009C4EEB" w:rsidRPr="00720B6A">
        <w:rPr>
          <w:rFonts w:cstheme="majorBidi"/>
          <w:b/>
          <w:spacing w:val="-4"/>
        </w:rPr>
        <w:t>4</w:t>
      </w:r>
      <w:r w:rsidR="00873FCD" w:rsidRPr="00720B6A">
        <w:rPr>
          <w:rFonts w:cstheme="majorBidi"/>
          <w:b/>
          <w:spacing w:val="-4"/>
        </w:rPr>
        <w:tab/>
      </w:r>
      <w:r w:rsidR="00873FCD" w:rsidRPr="00720B6A">
        <w:rPr>
          <w:b/>
        </w:rPr>
        <w:t xml:space="preserve">Discussion on </w:t>
      </w:r>
      <w:r w:rsidR="00873FCD" w:rsidRPr="00720B6A">
        <w:rPr>
          <w:rFonts w:cstheme="majorBidi"/>
          <w:b/>
          <w:spacing w:val="-4"/>
        </w:rPr>
        <w:t xml:space="preserve">Contribution </w:t>
      </w:r>
      <w:hyperlink r:id="rId22" w:history="1">
        <w:r w:rsidR="00873FCD" w:rsidRPr="00720B6A">
          <w:rPr>
            <w:rStyle w:val="Hyperlink"/>
            <w:rFonts w:cstheme="majorBidi"/>
            <w:b/>
            <w:spacing w:val="-4"/>
          </w:rPr>
          <w:t xml:space="preserve">EG-ITRs </w:t>
        </w:r>
        <w:r w:rsidR="00B851AE" w:rsidRPr="00720B6A">
          <w:rPr>
            <w:rStyle w:val="Hyperlink"/>
            <w:rFonts w:cstheme="majorBidi"/>
            <w:b/>
            <w:spacing w:val="-4"/>
          </w:rPr>
          <w:t>4</w:t>
        </w:r>
        <w:r w:rsidR="00873FCD" w:rsidRPr="00720B6A">
          <w:rPr>
            <w:rStyle w:val="Hyperlink"/>
            <w:rFonts w:cstheme="majorBidi"/>
            <w:b/>
            <w:spacing w:val="-4"/>
          </w:rPr>
          <w:t>/</w:t>
        </w:r>
        <w:r w:rsidR="00B851AE" w:rsidRPr="00720B6A">
          <w:rPr>
            <w:rStyle w:val="Hyperlink"/>
            <w:rFonts w:cstheme="majorBidi"/>
            <w:b/>
            <w:spacing w:val="-4"/>
          </w:rPr>
          <w:t>8</w:t>
        </w:r>
      </w:hyperlink>
      <w:r w:rsidR="00873FCD" w:rsidRPr="00720B6A">
        <w:rPr>
          <w:rFonts w:cstheme="majorBidi"/>
          <w:b/>
          <w:spacing w:val="-4"/>
        </w:rPr>
        <w:t xml:space="preserve"> from</w:t>
      </w:r>
      <w:r w:rsidR="00B851AE" w:rsidRPr="00720B6A">
        <w:t xml:space="preserve"> </w:t>
      </w:r>
      <w:proofErr w:type="spellStart"/>
      <w:r w:rsidR="00B851AE" w:rsidRPr="00720B6A">
        <w:rPr>
          <w:rFonts w:cstheme="majorBidi"/>
          <w:b/>
          <w:spacing w:val="-4"/>
        </w:rPr>
        <w:t>Beltelecom</w:t>
      </w:r>
      <w:proofErr w:type="spellEnd"/>
      <w:r w:rsidR="00B851AE" w:rsidRPr="00720B6A">
        <w:rPr>
          <w:rFonts w:cstheme="majorBidi"/>
          <w:b/>
          <w:spacing w:val="-4"/>
        </w:rPr>
        <w:t xml:space="preserve"> (Belarus), </w:t>
      </w:r>
      <w:proofErr w:type="spellStart"/>
      <w:r w:rsidR="00B851AE" w:rsidRPr="00720B6A">
        <w:rPr>
          <w:rFonts w:cstheme="majorBidi"/>
          <w:b/>
          <w:spacing w:val="-4"/>
        </w:rPr>
        <w:t>MegaFon</w:t>
      </w:r>
      <w:proofErr w:type="spellEnd"/>
      <w:r w:rsidR="00B851AE" w:rsidRPr="00720B6A">
        <w:rPr>
          <w:rFonts w:cstheme="majorBidi"/>
          <w:b/>
          <w:spacing w:val="-4"/>
        </w:rPr>
        <w:t xml:space="preserve"> (Russian Federation), </w:t>
      </w:r>
      <w:proofErr w:type="spellStart"/>
      <w:r w:rsidR="00B851AE" w:rsidRPr="00720B6A">
        <w:rPr>
          <w:rFonts w:cstheme="majorBidi"/>
          <w:b/>
          <w:spacing w:val="-4"/>
        </w:rPr>
        <w:t>Kazakhtelecom</w:t>
      </w:r>
      <w:proofErr w:type="spellEnd"/>
      <w:r w:rsidR="00B851AE" w:rsidRPr="00720B6A">
        <w:rPr>
          <w:rFonts w:cstheme="majorBidi"/>
          <w:b/>
          <w:spacing w:val="-4"/>
        </w:rPr>
        <w:t xml:space="preserve"> (Kazakhstan), </w:t>
      </w:r>
      <w:proofErr w:type="spellStart"/>
      <w:r w:rsidR="00B851AE" w:rsidRPr="00720B6A">
        <w:rPr>
          <w:rFonts w:cstheme="majorBidi"/>
          <w:b/>
          <w:spacing w:val="-4"/>
        </w:rPr>
        <w:t>Rostelecom</w:t>
      </w:r>
      <w:proofErr w:type="spellEnd"/>
      <w:r w:rsidR="00B851AE" w:rsidRPr="00720B6A">
        <w:rPr>
          <w:rFonts w:cstheme="majorBidi"/>
          <w:b/>
          <w:spacing w:val="-4"/>
        </w:rPr>
        <w:t xml:space="preserve"> (Russian Federation); Armenia, Azerbaijan, Belarus, Kazakhstan, Kyrgyzstan, Russian Federation, Tajikistan, Uzbekistan - Application of the International Telecommunication Regulations and relevant recommendations of the ITU-T sector</w:t>
      </w:r>
    </w:p>
    <w:p w:rsidR="00E02549" w:rsidRPr="00720B6A" w:rsidRDefault="00725724" w:rsidP="00720B6A">
      <w:pPr>
        <w:pStyle w:val="ListParagraph"/>
        <w:numPr>
          <w:ilvl w:val="0"/>
          <w:numId w:val="24"/>
        </w:numPr>
        <w:spacing w:before="100" w:beforeAutospacing="1" w:after="100" w:afterAutospacing="1"/>
        <w:jc w:val="both"/>
        <w:outlineLvl w:val="0"/>
        <w:rPr>
          <w:rFonts w:asciiTheme="minorHAnsi" w:eastAsiaTheme="minorEastAsia" w:hAnsiTheme="minorHAnsi" w:cstheme="minorBidi"/>
          <w:sz w:val="22"/>
          <w:szCs w:val="22"/>
          <w:lang w:val="en-US" w:eastAsia="zh-CN"/>
        </w:rPr>
      </w:pPr>
      <w:r w:rsidRPr="00720B6A">
        <w:rPr>
          <w:rFonts w:asciiTheme="minorHAnsi" w:hAnsiTheme="minorHAnsi" w:cstheme="majorBidi"/>
          <w:bCs/>
          <w:spacing w:val="-4"/>
          <w:sz w:val="22"/>
          <w:szCs w:val="22"/>
        </w:rPr>
        <w:t xml:space="preserve">Some </w:t>
      </w:r>
      <w:r w:rsidRPr="00720B6A">
        <w:rPr>
          <w:rFonts w:asciiTheme="minorHAnsi" w:eastAsiaTheme="minorEastAsia" w:hAnsiTheme="minorHAnsi" w:cstheme="minorBidi"/>
          <w:sz w:val="22"/>
          <w:szCs w:val="22"/>
          <w:lang w:val="en-US" w:eastAsia="zh-CN"/>
        </w:rPr>
        <w:t xml:space="preserve">Members expressed the view that the proposed additions to the </w:t>
      </w:r>
      <w:r w:rsidR="00E02549" w:rsidRPr="00720B6A">
        <w:rPr>
          <w:rFonts w:asciiTheme="minorHAnsi" w:eastAsiaTheme="minorEastAsia" w:hAnsiTheme="minorHAnsi" w:cstheme="minorBidi"/>
          <w:sz w:val="22"/>
          <w:szCs w:val="22"/>
          <w:lang w:val="en-US" w:eastAsia="zh-CN"/>
        </w:rPr>
        <w:t xml:space="preserve">Final Report of the EG-ITRs were already reflected in different parts of the report. One Member was of the view that </w:t>
      </w:r>
      <w:r w:rsidR="008F7353" w:rsidRPr="00720B6A">
        <w:rPr>
          <w:rFonts w:asciiTheme="minorHAnsi" w:eastAsiaTheme="minorEastAsia" w:hAnsiTheme="minorHAnsi" w:cstheme="minorBidi"/>
          <w:sz w:val="22"/>
          <w:szCs w:val="22"/>
          <w:lang w:val="en-US" w:eastAsia="zh-CN"/>
        </w:rPr>
        <w:t xml:space="preserve">the </w:t>
      </w:r>
      <w:r w:rsidR="00E02549" w:rsidRPr="00720B6A">
        <w:rPr>
          <w:rFonts w:asciiTheme="minorHAnsi" w:eastAsiaTheme="minorEastAsia" w:hAnsiTheme="minorHAnsi" w:cstheme="minorBidi"/>
          <w:sz w:val="22"/>
          <w:szCs w:val="22"/>
          <w:lang w:val="en-US" w:eastAsia="zh-CN"/>
        </w:rPr>
        <w:t xml:space="preserve">survey </w:t>
      </w:r>
      <w:r w:rsidR="008F7353" w:rsidRPr="00720B6A">
        <w:rPr>
          <w:rFonts w:asciiTheme="minorHAnsi" w:eastAsiaTheme="minorEastAsia" w:hAnsiTheme="minorHAnsi" w:cstheme="minorBidi"/>
          <w:sz w:val="22"/>
          <w:szCs w:val="22"/>
          <w:lang w:val="en-US" w:eastAsia="zh-CN"/>
        </w:rPr>
        <w:t xml:space="preserve">presented by the proponents did not identify concrete challenges </w:t>
      </w:r>
      <w:r w:rsidR="00E02549" w:rsidRPr="00720B6A">
        <w:rPr>
          <w:rFonts w:asciiTheme="minorHAnsi" w:eastAsiaTheme="minorEastAsia" w:hAnsiTheme="minorHAnsi" w:cstheme="minorBidi"/>
          <w:sz w:val="22"/>
          <w:szCs w:val="22"/>
          <w:lang w:val="en-US" w:eastAsia="zh-CN"/>
        </w:rPr>
        <w:t xml:space="preserve">with regard to the application of ITRs. </w:t>
      </w:r>
    </w:p>
    <w:p w:rsidR="007F7E90" w:rsidRPr="00720B6A" w:rsidRDefault="008176D2" w:rsidP="00720B6A">
      <w:pPr>
        <w:pStyle w:val="ListParagraph"/>
        <w:numPr>
          <w:ilvl w:val="0"/>
          <w:numId w:val="24"/>
        </w:numPr>
        <w:spacing w:before="100" w:beforeAutospacing="1" w:after="100" w:afterAutospacing="1"/>
        <w:jc w:val="both"/>
        <w:outlineLvl w:val="0"/>
        <w:rPr>
          <w:rFonts w:asciiTheme="minorHAnsi" w:eastAsiaTheme="minorEastAsia" w:hAnsiTheme="minorHAnsi" w:cstheme="minorBidi"/>
          <w:sz w:val="22"/>
          <w:szCs w:val="22"/>
          <w:lang w:val="en-US" w:eastAsia="zh-CN"/>
        </w:rPr>
      </w:pPr>
      <w:r w:rsidRPr="00720B6A">
        <w:rPr>
          <w:rFonts w:asciiTheme="minorHAnsi" w:eastAsiaTheme="minorEastAsia" w:hAnsiTheme="minorHAnsi" w:cstheme="minorBidi"/>
          <w:sz w:val="22"/>
          <w:szCs w:val="22"/>
          <w:lang w:val="en-US" w:eastAsia="zh-CN"/>
        </w:rPr>
        <w:t>Some o</w:t>
      </w:r>
      <w:r w:rsidR="00E02549" w:rsidRPr="00720B6A">
        <w:rPr>
          <w:rFonts w:asciiTheme="minorHAnsi" w:eastAsiaTheme="minorEastAsia" w:hAnsiTheme="minorHAnsi" w:cstheme="minorBidi"/>
          <w:sz w:val="22"/>
          <w:szCs w:val="22"/>
          <w:lang w:val="en-US" w:eastAsia="zh-CN"/>
        </w:rPr>
        <w:t>ther Member</w:t>
      </w:r>
      <w:r w:rsidR="00774EA3" w:rsidRPr="00720B6A">
        <w:rPr>
          <w:rFonts w:asciiTheme="minorHAnsi" w:eastAsiaTheme="minorEastAsia" w:hAnsiTheme="minorHAnsi" w:cstheme="minorBidi"/>
          <w:sz w:val="22"/>
          <w:szCs w:val="22"/>
          <w:lang w:val="en-US" w:eastAsia="zh-CN"/>
        </w:rPr>
        <w:t>s</w:t>
      </w:r>
      <w:r w:rsidR="00E02549" w:rsidRPr="00720B6A">
        <w:rPr>
          <w:rFonts w:asciiTheme="minorHAnsi" w:eastAsiaTheme="minorEastAsia" w:hAnsiTheme="minorHAnsi" w:cstheme="minorBidi"/>
          <w:sz w:val="22"/>
          <w:szCs w:val="22"/>
          <w:lang w:val="en-US" w:eastAsia="zh-CN"/>
        </w:rPr>
        <w:t xml:space="preserve"> considered that </w:t>
      </w:r>
      <w:r w:rsidR="007F7E90" w:rsidRPr="00720B6A">
        <w:rPr>
          <w:rFonts w:asciiTheme="minorHAnsi" w:eastAsiaTheme="minorEastAsia" w:hAnsiTheme="minorHAnsi" w:cstheme="minorBidi"/>
          <w:sz w:val="22"/>
          <w:szCs w:val="22"/>
          <w:lang w:val="en-US" w:eastAsia="zh-CN"/>
        </w:rPr>
        <w:t xml:space="preserve">some of the presented points were </w:t>
      </w:r>
      <w:r w:rsidR="00E921C7" w:rsidRPr="00720B6A">
        <w:rPr>
          <w:rFonts w:asciiTheme="minorHAnsi" w:eastAsiaTheme="minorEastAsia" w:hAnsiTheme="minorHAnsi" w:cstheme="minorBidi"/>
          <w:sz w:val="22"/>
          <w:szCs w:val="22"/>
          <w:lang w:val="en-US" w:eastAsia="zh-CN"/>
        </w:rPr>
        <w:t xml:space="preserve">not reflected in the </w:t>
      </w:r>
      <w:r w:rsidRPr="00720B6A">
        <w:rPr>
          <w:rFonts w:asciiTheme="minorHAnsi" w:eastAsiaTheme="minorEastAsia" w:hAnsiTheme="minorHAnsi" w:cstheme="minorBidi"/>
          <w:sz w:val="22"/>
          <w:szCs w:val="22"/>
          <w:lang w:val="en-US" w:eastAsia="zh-CN"/>
        </w:rPr>
        <w:t xml:space="preserve">draft final </w:t>
      </w:r>
      <w:r w:rsidR="00E921C7" w:rsidRPr="00720B6A">
        <w:rPr>
          <w:rFonts w:asciiTheme="minorHAnsi" w:eastAsiaTheme="minorEastAsia" w:hAnsiTheme="minorHAnsi" w:cstheme="minorBidi"/>
          <w:sz w:val="22"/>
          <w:szCs w:val="22"/>
          <w:lang w:val="en-US" w:eastAsia="zh-CN"/>
        </w:rPr>
        <w:t>report</w:t>
      </w:r>
      <w:r w:rsidR="007F7E90" w:rsidRPr="00720B6A">
        <w:rPr>
          <w:rFonts w:asciiTheme="minorHAnsi" w:eastAsiaTheme="minorEastAsia" w:hAnsiTheme="minorHAnsi" w:cstheme="minorBidi"/>
          <w:sz w:val="22"/>
          <w:szCs w:val="22"/>
          <w:lang w:val="en-US" w:eastAsia="zh-CN"/>
        </w:rPr>
        <w:t xml:space="preserve"> and suggested that the contributors come back with a concise text </w:t>
      </w:r>
      <w:r w:rsidR="00E921C7" w:rsidRPr="00720B6A">
        <w:rPr>
          <w:rFonts w:asciiTheme="minorHAnsi" w:eastAsiaTheme="minorEastAsia" w:hAnsiTheme="minorHAnsi" w:cstheme="minorBidi"/>
          <w:sz w:val="22"/>
          <w:szCs w:val="22"/>
          <w:lang w:val="en-US" w:eastAsia="zh-CN"/>
        </w:rPr>
        <w:t>for addition</w:t>
      </w:r>
      <w:r w:rsidR="007F7E90" w:rsidRPr="00720B6A">
        <w:rPr>
          <w:rFonts w:asciiTheme="minorHAnsi" w:eastAsiaTheme="minorEastAsia" w:hAnsiTheme="minorHAnsi" w:cstheme="minorBidi"/>
          <w:sz w:val="22"/>
          <w:szCs w:val="22"/>
          <w:lang w:val="en-US" w:eastAsia="zh-CN"/>
        </w:rPr>
        <w:t xml:space="preserve"> </w:t>
      </w:r>
      <w:r w:rsidR="00E921C7" w:rsidRPr="00720B6A">
        <w:rPr>
          <w:rFonts w:asciiTheme="minorHAnsi" w:eastAsiaTheme="minorEastAsia" w:hAnsiTheme="minorHAnsi" w:cstheme="minorBidi"/>
          <w:sz w:val="22"/>
          <w:szCs w:val="22"/>
          <w:lang w:val="en-US" w:eastAsia="zh-CN"/>
        </w:rPr>
        <w:t>to</w:t>
      </w:r>
      <w:r w:rsidR="007F7E90" w:rsidRPr="00720B6A">
        <w:rPr>
          <w:rFonts w:asciiTheme="minorHAnsi" w:eastAsiaTheme="minorEastAsia" w:hAnsiTheme="minorHAnsi" w:cstheme="minorBidi"/>
          <w:sz w:val="22"/>
          <w:szCs w:val="22"/>
          <w:lang w:val="en-US" w:eastAsia="zh-CN"/>
        </w:rPr>
        <w:t xml:space="preserve"> the final report. </w:t>
      </w:r>
    </w:p>
    <w:p w:rsidR="00C01837" w:rsidRPr="00720B6A" w:rsidRDefault="007F7E90" w:rsidP="00720B6A">
      <w:pPr>
        <w:pStyle w:val="ListParagraph"/>
        <w:numPr>
          <w:ilvl w:val="0"/>
          <w:numId w:val="24"/>
        </w:numPr>
        <w:spacing w:before="100" w:beforeAutospacing="1" w:after="100" w:afterAutospacing="1"/>
        <w:jc w:val="both"/>
        <w:outlineLvl w:val="0"/>
        <w:rPr>
          <w:rFonts w:asciiTheme="minorHAnsi" w:eastAsiaTheme="minorEastAsia" w:hAnsiTheme="minorHAnsi" w:cstheme="minorBidi"/>
          <w:sz w:val="22"/>
          <w:szCs w:val="22"/>
          <w:lang w:val="en-US" w:eastAsia="zh-CN"/>
        </w:rPr>
      </w:pPr>
      <w:r w:rsidRPr="00720B6A">
        <w:rPr>
          <w:rFonts w:asciiTheme="minorHAnsi" w:eastAsiaTheme="minorEastAsia" w:hAnsiTheme="minorHAnsi" w:cstheme="minorBidi"/>
          <w:sz w:val="22"/>
          <w:szCs w:val="22"/>
          <w:lang w:val="en-US" w:eastAsia="zh-CN"/>
        </w:rPr>
        <w:t xml:space="preserve">The Chairman suggested </w:t>
      </w:r>
      <w:r w:rsidR="00E921C7" w:rsidRPr="00720B6A">
        <w:rPr>
          <w:rFonts w:asciiTheme="minorHAnsi" w:eastAsiaTheme="minorEastAsia" w:hAnsiTheme="minorHAnsi" w:cstheme="minorBidi"/>
          <w:sz w:val="22"/>
          <w:szCs w:val="22"/>
          <w:lang w:val="en-US" w:eastAsia="zh-CN"/>
        </w:rPr>
        <w:t>deferring</w:t>
      </w:r>
      <w:r w:rsidRPr="00720B6A">
        <w:rPr>
          <w:rFonts w:asciiTheme="minorHAnsi" w:eastAsiaTheme="minorEastAsia" w:hAnsiTheme="minorHAnsi" w:cstheme="minorBidi"/>
          <w:sz w:val="22"/>
          <w:szCs w:val="22"/>
          <w:lang w:val="en-US" w:eastAsia="zh-CN"/>
        </w:rPr>
        <w:t xml:space="preserve"> the discussion </w:t>
      </w:r>
      <w:r w:rsidR="008B0DED" w:rsidRPr="00720B6A">
        <w:rPr>
          <w:rFonts w:asciiTheme="minorHAnsi" w:eastAsiaTheme="minorEastAsia" w:hAnsiTheme="minorHAnsi" w:cstheme="minorBidi"/>
          <w:sz w:val="22"/>
          <w:szCs w:val="22"/>
          <w:lang w:val="en-US" w:eastAsia="zh-CN"/>
        </w:rPr>
        <w:t>to</w:t>
      </w:r>
      <w:r w:rsidRPr="00720B6A">
        <w:rPr>
          <w:rFonts w:asciiTheme="minorHAnsi" w:eastAsiaTheme="minorEastAsia" w:hAnsiTheme="minorHAnsi" w:cstheme="minorBidi"/>
          <w:sz w:val="22"/>
          <w:szCs w:val="22"/>
          <w:lang w:val="en-US" w:eastAsia="zh-CN"/>
        </w:rPr>
        <w:t xml:space="preserve"> agenda item 6 on the draft final report.  </w:t>
      </w:r>
    </w:p>
    <w:p w:rsidR="00C426F3" w:rsidRPr="00720B6A" w:rsidRDefault="00C01837" w:rsidP="00A009B8">
      <w:pPr>
        <w:spacing w:before="100" w:beforeAutospacing="1" w:after="100" w:afterAutospacing="1"/>
        <w:ind w:left="720" w:hanging="720"/>
        <w:jc w:val="both"/>
        <w:outlineLvl w:val="0"/>
        <w:rPr>
          <w:b/>
          <w:bCs/>
        </w:rPr>
      </w:pPr>
      <w:r w:rsidRPr="00720B6A">
        <w:rPr>
          <w:b/>
          <w:bCs/>
        </w:rPr>
        <w:t>5.5</w:t>
      </w:r>
      <w:r w:rsidRPr="00720B6A">
        <w:tab/>
      </w:r>
      <w:r w:rsidRPr="00720B6A">
        <w:rPr>
          <w:b/>
          <w:bCs/>
        </w:rPr>
        <w:t xml:space="preserve">Discussion on </w:t>
      </w:r>
      <w:hyperlink r:id="rId23" w:history="1">
        <w:r w:rsidRPr="00720B6A">
          <w:rPr>
            <w:rStyle w:val="Hyperlink"/>
            <w:b/>
            <w:bCs/>
          </w:rPr>
          <w:t>Contribution to Council 2018</w:t>
        </w:r>
      </w:hyperlink>
      <w:r w:rsidRPr="00720B6A">
        <w:rPr>
          <w:b/>
          <w:bCs/>
        </w:rPr>
        <w:t xml:space="preserve"> from the Federative Republic of Brazil, Canada, Mexico, Paraguay and the United States of America - Views on a future World Conference on International Telecommunications</w:t>
      </w:r>
    </w:p>
    <w:p w:rsidR="00935FD7" w:rsidRPr="00720B6A" w:rsidRDefault="002C7891" w:rsidP="00720B6A">
      <w:pPr>
        <w:pStyle w:val="ListParagraph"/>
        <w:numPr>
          <w:ilvl w:val="0"/>
          <w:numId w:val="25"/>
        </w:numPr>
        <w:spacing w:before="100" w:beforeAutospacing="1" w:after="100" w:afterAutospacing="1"/>
        <w:jc w:val="both"/>
        <w:outlineLvl w:val="0"/>
        <w:rPr>
          <w:rFonts w:asciiTheme="minorHAnsi" w:eastAsiaTheme="minorEastAsia" w:hAnsiTheme="minorHAnsi" w:cstheme="minorBidi"/>
          <w:sz w:val="22"/>
          <w:szCs w:val="22"/>
          <w:lang w:val="en-US" w:eastAsia="zh-CN"/>
        </w:rPr>
      </w:pPr>
      <w:r w:rsidRPr="00720B6A">
        <w:rPr>
          <w:rFonts w:asciiTheme="minorHAnsi" w:hAnsiTheme="minorHAnsi"/>
          <w:sz w:val="22"/>
          <w:szCs w:val="22"/>
        </w:rPr>
        <w:t xml:space="preserve">The contribution was presented for the information of the Group. The Group agreed that discussion on the substance of the document will take place in the upcoming Council 2018 meeting. </w:t>
      </w:r>
    </w:p>
    <w:p w:rsidR="00F95214" w:rsidRPr="00720B6A" w:rsidRDefault="00B851AE" w:rsidP="00720B6A">
      <w:pPr>
        <w:spacing w:before="100" w:beforeAutospacing="1" w:after="100" w:afterAutospacing="1" w:line="240" w:lineRule="auto"/>
        <w:jc w:val="both"/>
        <w:rPr>
          <w:b/>
          <w:bCs/>
        </w:rPr>
      </w:pPr>
      <w:r w:rsidRPr="00720B6A">
        <w:rPr>
          <w:b/>
          <w:bCs/>
        </w:rPr>
        <w:t>6</w:t>
      </w:r>
      <w:r w:rsidR="00F95214" w:rsidRPr="00720B6A">
        <w:rPr>
          <w:b/>
          <w:bCs/>
        </w:rPr>
        <w:tab/>
      </w:r>
      <w:r w:rsidR="00AB6FF3" w:rsidRPr="00720B6A">
        <w:rPr>
          <w:b/>
          <w:bCs/>
        </w:rPr>
        <w:t>Discussion on the</w:t>
      </w:r>
      <w:r w:rsidR="00143C74" w:rsidRPr="00720B6A">
        <w:t xml:space="preserve"> </w:t>
      </w:r>
      <w:r w:rsidR="00143C74" w:rsidRPr="00720B6A">
        <w:rPr>
          <w:b/>
          <w:bCs/>
        </w:rPr>
        <w:t>Draft Final Report of the EG-ITRs</w:t>
      </w:r>
      <w:r w:rsidR="00AB6FF3" w:rsidRPr="00720B6A">
        <w:rPr>
          <w:b/>
          <w:bCs/>
        </w:rPr>
        <w:t xml:space="preserve"> </w:t>
      </w:r>
    </w:p>
    <w:p w:rsidR="00F95214" w:rsidRPr="00720B6A" w:rsidRDefault="00F95214" w:rsidP="00720B6A">
      <w:pPr>
        <w:pStyle w:val="ListParagraph"/>
        <w:numPr>
          <w:ilvl w:val="0"/>
          <w:numId w:val="16"/>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asciiTheme="minorHAnsi" w:hAnsiTheme="minorHAnsi"/>
          <w:sz w:val="22"/>
          <w:szCs w:val="22"/>
        </w:rPr>
      </w:pPr>
      <w:r w:rsidRPr="00720B6A">
        <w:rPr>
          <w:rFonts w:asciiTheme="minorHAnsi" w:hAnsiTheme="minorHAnsi"/>
          <w:sz w:val="22"/>
          <w:szCs w:val="22"/>
        </w:rPr>
        <w:t>A compilation document was presented to the Group containing edits, comments and new text proposals submitted by member</w:t>
      </w:r>
      <w:r w:rsidR="00D47FEE" w:rsidRPr="00720B6A">
        <w:rPr>
          <w:rFonts w:asciiTheme="minorHAnsi" w:hAnsiTheme="minorHAnsi"/>
          <w:sz w:val="22"/>
          <w:szCs w:val="22"/>
        </w:rPr>
        <w:t>s</w:t>
      </w:r>
      <w:r w:rsidRPr="00720B6A">
        <w:rPr>
          <w:rFonts w:asciiTheme="minorHAnsi" w:hAnsiTheme="minorHAnsi"/>
          <w:sz w:val="22"/>
          <w:szCs w:val="22"/>
        </w:rPr>
        <w:t xml:space="preserve"> on </w:t>
      </w:r>
      <w:hyperlink r:id="rId24" w:history="1">
        <w:r w:rsidRPr="00720B6A">
          <w:rPr>
            <w:rFonts w:asciiTheme="minorHAnsi" w:hAnsiTheme="minorHAnsi"/>
            <w:sz w:val="22"/>
            <w:szCs w:val="22"/>
          </w:rPr>
          <w:t xml:space="preserve">Draft </w:t>
        </w:r>
        <w:r w:rsidR="00B851AE" w:rsidRPr="00720B6A">
          <w:rPr>
            <w:rFonts w:asciiTheme="minorHAnsi" w:hAnsiTheme="minorHAnsi"/>
            <w:sz w:val="22"/>
            <w:szCs w:val="22"/>
          </w:rPr>
          <w:t>2</w:t>
        </w:r>
        <w:r w:rsidR="00D47FEE" w:rsidRPr="00720B6A">
          <w:rPr>
            <w:rFonts w:asciiTheme="minorHAnsi" w:hAnsiTheme="minorHAnsi"/>
            <w:sz w:val="22"/>
            <w:szCs w:val="22"/>
          </w:rPr>
          <w:t>.0 of the Final Report of the Expert Group to Council 2018</w:t>
        </w:r>
      </w:hyperlink>
      <w:r w:rsidRPr="00720B6A">
        <w:rPr>
          <w:rFonts w:asciiTheme="minorHAnsi" w:hAnsiTheme="minorHAnsi"/>
          <w:sz w:val="22"/>
          <w:szCs w:val="22"/>
        </w:rPr>
        <w:t xml:space="preserve">. </w:t>
      </w:r>
    </w:p>
    <w:p w:rsidR="00DC5FA5" w:rsidRPr="00720B6A" w:rsidRDefault="00D47FEE" w:rsidP="00720B6A">
      <w:pPr>
        <w:pStyle w:val="ListParagraph"/>
        <w:numPr>
          <w:ilvl w:val="0"/>
          <w:numId w:val="16"/>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asciiTheme="minorHAnsi" w:hAnsiTheme="minorHAnsi"/>
          <w:sz w:val="22"/>
          <w:szCs w:val="22"/>
        </w:rPr>
      </w:pPr>
      <w:r w:rsidRPr="00720B6A">
        <w:rPr>
          <w:rFonts w:asciiTheme="minorHAnsi" w:hAnsiTheme="minorHAnsi"/>
          <w:sz w:val="22"/>
          <w:szCs w:val="22"/>
        </w:rPr>
        <w:t xml:space="preserve">The Group went through the Draft </w:t>
      </w:r>
      <w:r w:rsidR="00B851AE" w:rsidRPr="00720B6A">
        <w:rPr>
          <w:rFonts w:asciiTheme="minorHAnsi" w:hAnsiTheme="minorHAnsi"/>
          <w:sz w:val="22"/>
          <w:szCs w:val="22"/>
        </w:rPr>
        <w:t>2</w:t>
      </w:r>
      <w:r w:rsidRPr="00720B6A">
        <w:rPr>
          <w:rFonts w:asciiTheme="minorHAnsi" w:hAnsiTheme="minorHAnsi"/>
          <w:sz w:val="22"/>
          <w:szCs w:val="22"/>
        </w:rPr>
        <w:t>.0 section by section</w:t>
      </w:r>
      <w:r w:rsidR="00DC5FA5" w:rsidRPr="00720B6A">
        <w:rPr>
          <w:rFonts w:asciiTheme="minorHAnsi" w:hAnsiTheme="minorHAnsi"/>
          <w:sz w:val="22"/>
          <w:szCs w:val="22"/>
        </w:rPr>
        <w:t>. The Chairman invited those who had submitted comments on the report to present their comments to the Group. E</w:t>
      </w:r>
      <w:r w:rsidRPr="00720B6A">
        <w:rPr>
          <w:rFonts w:asciiTheme="minorHAnsi" w:hAnsiTheme="minorHAnsi"/>
          <w:sz w:val="22"/>
          <w:szCs w:val="22"/>
        </w:rPr>
        <w:t xml:space="preserve">ach section </w:t>
      </w:r>
      <w:r w:rsidR="00DC5FA5" w:rsidRPr="00720B6A">
        <w:rPr>
          <w:rFonts w:asciiTheme="minorHAnsi" w:hAnsiTheme="minorHAnsi"/>
          <w:sz w:val="22"/>
          <w:szCs w:val="22"/>
        </w:rPr>
        <w:t>as well as the comments receive</w:t>
      </w:r>
      <w:r w:rsidR="00594CE9" w:rsidRPr="00720B6A">
        <w:rPr>
          <w:rFonts w:asciiTheme="minorHAnsi" w:hAnsiTheme="minorHAnsi"/>
          <w:sz w:val="22"/>
          <w:szCs w:val="22"/>
        </w:rPr>
        <w:t>d</w:t>
      </w:r>
      <w:r w:rsidR="00DC5FA5" w:rsidRPr="00720B6A">
        <w:rPr>
          <w:rFonts w:asciiTheme="minorHAnsi" w:hAnsiTheme="minorHAnsi"/>
          <w:sz w:val="22"/>
          <w:szCs w:val="22"/>
        </w:rPr>
        <w:t xml:space="preserve"> were then discussed in detail</w:t>
      </w:r>
      <w:r w:rsidRPr="00720B6A">
        <w:rPr>
          <w:rFonts w:asciiTheme="minorHAnsi" w:hAnsiTheme="minorHAnsi"/>
          <w:sz w:val="22"/>
          <w:szCs w:val="22"/>
        </w:rPr>
        <w:t>.</w:t>
      </w:r>
      <w:r w:rsidR="00DC5FA5" w:rsidRPr="00720B6A">
        <w:rPr>
          <w:rFonts w:asciiTheme="minorHAnsi" w:hAnsiTheme="minorHAnsi"/>
          <w:sz w:val="22"/>
          <w:szCs w:val="22"/>
        </w:rPr>
        <w:t xml:space="preserve"> </w:t>
      </w:r>
    </w:p>
    <w:p w:rsidR="0091063C" w:rsidRPr="00720B6A" w:rsidRDefault="00F63D33" w:rsidP="00720B6A">
      <w:pPr>
        <w:snapToGrid w:val="0"/>
        <w:spacing w:before="100" w:beforeAutospacing="1" w:after="100" w:afterAutospacing="1" w:line="240" w:lineRule="auto"/>
        <w:jc w:val="both"/>
        <w:outlineLvl w:val="0"/>
        <w:rPr>
          <w:rFonts w:cstheme="majorBidi"/>
          <w:b/>
        </w:rPr>
      </w:pPr>
      <w:r w:rsidRPr="00720B6A">
        <w:rPr>
          <w:rFonts w:cstheme="majorBidi"/>
          <w:b/>
        </w:rPr>
        <w:t>7</w:t>
      </w:r>
      <w:r w:rsidR="00F61B8C" w:rsidRPr="00720B6A">
        <w:rPr>
          <w:rFonts w:cstheme="majorBidi"/>
          <w:b/>
        </w:rPr>
        <w:t>.</w:t>
      </w:r>
      <w:r w:rsidR="003B3322" w:rsidRPr="00720B6A">
        <w:rPr>
          <w:rFonts w:cstheme="majorBidi"/>
          <w:b/>
        </w:rPr>
        <w:tab/>
        <w:t>Actions to be taken</w:t>
      </w:r>
    </w:p>
    <w:p w:rsidR="00700148" w:rsidRPr="00720B6A" w:rsidRDefault="00700148" w:rsidP="00720B6A">
      <w:pPr>
        <w:snapToGrid w:val="0"/>
        <w:spacing w:before="100" w:beforeAutospacing="1" w:after="100" w:afterAutospacing="1" w:line="240" w:lineRule="auto"/>
        <w:jc w:val="both"/>
        <w:outlineLvl w:val="0"/>
        <w:rPr>
          <w:rFonts w:cstheme="majorBidi"/>
          <w:bCs/>
        </w:rPr>
      </w:pPr>
      <w:r w:rsidRPr="00720B6A">
        <w:rPr>
          <w:rFonts w:cstheme="majorBidi"/>
          <w:bCs/>
        </w:rPr>
        <w:t xml:space="preserve">The Final Report of EG-ITRs was agreed by consensus. The Group agreed to transmit the Final Report to Council </w:t>
      </w:r>
      <w:r w:rsidR="00E95365" w:rsidRPr="00720B6A">
        <w:rPr>
          <w:rFonts w:cstheme="majorBidi"/>
          <w:bCs/>
        </w:rPr>
        <w:t xml:space="preserve">2018 </w:t>
      </w:r>
      <w:r w:rsidRPr="00720B6A">
        <w:rPr>
          <w:rFonts w:cstheme="majorBidi"/>
          <w:bCs/>
        </w:rPr>
        <w:t>for examination and submission to the 2018 Plenipotentiary Conference with the Council’s comments.</w:t>
      </w:r>
    </w:p>
    <w:p w:rsidR="003B3322" w:rsidRPr="00720B6A" w:rsidRDefault="00F63D33" w:rsidP="00720B6A">
      <w:pPr>
        <w:snapToGrid w:val="0"/>
        <w:spacing w:before="100" w:beforeAutospacing="1" w:after="100" w:afterAutospacing="1" w:line="240" w:lineRule="auto"/>
        <w:jc w:val="both"/>
        <w:outlineLvl w:val="0"/>
        <w:rPr>
          <w:rFonts w:cstheme="majorBidi"/>
          <w:b/>
        </w:rPr>
      </w:pPr>
      <w:r w:rsidRPr="00720B6A">
        <w:rPr>
          <w:rFonts w:cstheme="majorBidi"/>
          <w:b/>
        </w:rPr>
        <w:t>8</w:t>
      </w:r>
      <w:r w:rsidR="00F61B8C" w:rsidRPr="00720B6A">
        <w:rPr>
          <w:rFonts w:cstheme="majorBidi"/>
          <w:b/>
        </w:rPr>
        <w:t>.</w:t>
      </w:r>
      <w:r w:rsidR="003B3322" w:rsidRPr="00720B6A">
        <w:rPr>
          <w:rFonts w:cstheme="majorBidi"/>
          <w:b/>
        </w:rPr>
        <w:tab/>
        <w:t>Closing of the Meeting</w:t>
      </w:r>
    </w:p>
    <w:p w:rsidR="003B3322" w:rsidRPr="00720B6A" w:rsidRDefault="003B3322" w:rsidP="00720B6A">
      <w:pPr>
        <w:snapToGrid w:val="0"/>
        <w:spacing w:before="100" w:beforeAutospacing="1" w:after="100" w:afterAutospacing="1" w:line="240" w:lineRule="auto"/>
        <w:jc w:val="both"/>
        <w:rPr>
          <w:rFonts w:cstheme="majorBidi"/>
          <w:b/>
        </w:rPr>
      </w:pPr>
      <w:r w:rsidRPr="00720B6A">
        <w:rPr>
          <w:rFonts w:cstheme="majorBidi"/>
        </w:rPr>
        <w:t>In closing, the Chairman thanked all the ITU Member States and Sector Members who made contributions and participated in the work of the Expert Group</w:t>
      </w:r>
      <w:r w:rsidR="00FC6A46" w:rsidRPr="00720B6A">
        <w:rPr>
          <w:rFonts w:cstheme="majorBidi"/>
        </w:rPr>
        <w:t xml:space="preserve"> (including those who participated remotely)</w:t>
      </w:r>
      <w:r w:rsidRPr="00720B6A">
        <w:rPr>
          <w:rFonts w:cstheme="majorBidi"/>
        </w:rPr>
        <w:t>, the Vice-Chairmen, and ITU Elected Officials and the Secretariat for their efficient assistance during the meeting.</w:t>
      </w:r>
      <w:r w:rsidR="00F172C5" w:rsidRPr="00720B6A">
        <w:rPr>
          <w:rFonts w:cstheme="majorBidi"/>
        </w:rPr>
        <w:t xml:space="preserve"> </w:t>
      </w:r>
    </w:p>
    <w:p w:rsidR="003B3322" w:rsidRPr="00720B6A" w:rsidRDefault="003B3322" w:rsidP="00720B6A">
      <w:pPr>
        <w:snapToGrid w:val="0"/>
        <w:spacing w:before="100" w:beforeAutospacing="1" w:after="100" w:afterAutospacing="1" w:line="240" w:lineRule="auto"/>
        <w:jc w:val="both"/>
        <w:rPr>
          <w:rFonts w:cstheme="majorBidi"/>
          <w:b/>
        </w:rPr>
      </w:pPr>
      <w:r w:rsidRPr="00720B6A">
        <w:rPr>
          <w:rFonts w:cstheme="majorBidi"/>
        </w:rPr>
        <w:t>The Group thanked the Chairman</w:t>
      </w:r>
      <w:r w:rsidR="006953C2" w:rsidRPr="00720B6A">
        <w:rPr>
          <w:rFonts w:cstheme="majorBidi"/>
        </w:rPr>
        <w:t>, Vice</w:t>
      </w:r>
      <w:r w:rsidR="00074262" w:rsidRPr="00720B6A">
        <w:rPr>
          <w:rFonts w:cstheme="majorBidi"/>
        </w:rPr>
        <w:t>-</w:t>
      </w:r>
      <w:r w:rsidR="006953C2" w:rsidRPr="00720B6A">
        <w:rPr>
          <w:rFonts w:cstheme="majorBidi"/>
        </w:rPr>
        <w:t>Chairmen</w:t>
      </w:r>
      <w:r w:rsidRPr="00720B6A">
        <w:rPr>
          <w:rFonts w:cstheme="majorBidi"/>
        </w:rPr>
        <w:t xml:space="preserve"> and Secretariat for their effective organization and management of the Group.</w:t>
      </w:r>
      <w:r w:rsidR="00FC6A46" w:rsidRPr="00720B6A">
        <w:rPr>
          <w:rFonts w:cstheme="majorBidi"/>
        </w:rPr>
        <w:t xml:space="preserve"> The Group </w:t>
      </w:r>
      <w:r w:rsidR="00247754" w:rsidRPr="00720B6A">
        <w:rPr>
          <w:rFonts w:cstheme="majorBidi"/>
        </w:rPr>
        <w:t xml:space="preserve">also </w:t>
      </w:r>
      <w:r w:rsidR="00FC6A46" w:rsidRPr="00720B6A">
        <w:rPr>
          <w:rFonts w:cstheme="majorBidi"/>
        </w:rPr>
        <w:t>thanked the interpreters and the remote moderator.</w:t>
      </w:r>
    </w:p>
    <w:p w:rsidR="003B6FD8" w:rsidRPr="00720B6A" w:rsidRDefault="003B3322" w:rsidP="00720B6A">
      <w:pPr>
        <w:snapToGrid w:val="0"/>
        <w:spacing w:before="100" w:beforeAutospacing="1" w:after="100" w:afterAutospacing="1" w:line="240" w:lineRule="auto"/>
        <w:jc w:val="both"/>
        <w:outlineLvl w:val="0"/>
        <w:rPr>
          <w:rFonts w:cstheme="majorBidi"/>
          <w:b/>
          <w:lang w:val="es-ES_tradnl"/>
        </w:rPr>
      </w:pPr>
      <w:proofErr w:type="spellStart"/>
      <w:r w:rsidRPr="00720B6A">
        <w:rPr>
          <w:rFonts w:cstheme="majorBidi"/>
          <w:b/>
          <w:lang w:val="es-ES_tradnl"/>
        </w:rPr>
        <w:t>Chairman</w:t>
      </w:r>
      <w:proofErr w:type="spellEnd"/>
      <w:r w:rsidRPr="00720B6A">
        <w:rPr>
          <w:rFonts w:cstheme="majorBidi"/>
          <w:b/>
          <w:lang w:val="es-ES_tradnl"/>
        </w:rPr>
        <w:t>: Mr</w:t>
      </w:r>
      <w:r w:rsidR="006E4056" w:rsidRPr="00720B6A">
        <w:rPr>
          <w:rFonts w:cstheme="majorBidi"/>
          <w:b/>
          <w:lang w:val="es-ES_tradnl"/>
        </w:rPr>
        <w:t>.</w:t>
      </w:r>
      <w:r w:rsidRPr="00720B6A">
        <w:rPr>
          <w:rFonts w:cstheme="majorBidi"/>
          <w:b/>
          <w:lang w:val="es-ES_tradnl"/>
        </w:rPr>
        <w:t xml:space="preserve"> Fernando Borjón (Mexico)</w:t>
      </w:r>
    </w:p>
    <w:p w:rsidR="00E57DBD" w:rsidRPr="00720B6A" w:rsidRDefault="00E57DBD" w:rsidP="00720B6A">
      <w:pPr>
        <w:snapToGrid w:val="0"/>
        <w:spacing w:before="100" w:beforeAutospacing="1" w:after="100" w:afterAutospacing="1" w:line="240" w:lineRule="auto"/>
        <w:jc w:val="both"/>
        <w:outlineLvl w:val="0"/>
        <w:rPr>
          <w:rFonts w:cstheme="majorBidi"/>
          <w:b/>
          <w:lang w:val="es-ES_tradnl"/>
        </w:rPr>
      </w:pPr>
    </w:p>
    <w:p w:rsidR="00E57DBD" w:rsidRPr="00A009B8" w:rsidRDefault="00A009B8" w:rsidP="00A009B8">
      <w:pPr>
        <w:snapToGrid w:val="0"/>
        <w:spacing w:before="100" w:beforeAutospacing="1" w:after="100" w:afterAutospacing="1" w:line="240" w:lineRule="auto"/>
        <w:jc w:val="center"/>
        <w:outlineLvl w:val="0"/>
        <w:rPr>
          <w:rFonts w:cstheme="majorBidi"/>
          <w:b/>
          <w:u w:val="single"/>
          <w:lang w:val="es-ES_tradnl"/>
        </w:rPr>
      </w:pPr>
      <w:r>
        <w:rPr>
          <w:rFonts w:cstheme="majorBidi"/>
          <w:b/>
          <w:u w:val="single"/>
          <w:lang w:val="es-ES_tradnl"/>
        </w:rPr>
        <w:t>                                           </w:t>
      </w:r>
      <w:bookmarkStart w:id="1" w:name="_GoBack"/>
      <w:bookmarkEnd w:id="1"/>
    </w:p>
    <w:sectPr w:rsidR="00E57DBD" w:rsidRPr="00A009B8" w:rsidSect="008B485E">
      <w:headerReference w:type="default" r:id="rId25"/>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BB3" w:rsidRDefault="00843BB3" w:rsidP="008B485E">
      <w:pPr>
        <w:spacing w:after="0" w:line="240" w:lineRule="auto"/>
      </w:pPr>
      <w:r>
        <w:separator/>
      </w:r>
    </w:p>
  </w:endnote>
  <w:endnote w:type="continuationSeparator" w:id="0">
    <w:p w:rsidR="00843BB3" w:rsidRDefault="00843BB3" w:rsidP="008B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BB3" w:rsidRDefault="00843BB3" w:rsidP="008B485E">
      <w:pPr>
        <w:spacing w:after="0" w:line="240" w:lineRule="auto"/>
      </w:pPr>
      <w:r>
        <w:separator/>
      </w:r>
    </w:p>
  </w:footnote>
  <w:footnote w:type="continuationSeparator" w:id="0">
    <w:p w:rsidR="00843BB3" w:rsidRDefault="00843BB3" w:rsidP="008B4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66" w:rsidRDefault="00823366" w:rsidP="008B485E">
    <w:pPr>
      <w:pStyle w:val="Header"/>
      <w:jc w:val="center"/>
    </w:pPr>
    <w:r>
      <w:fldChar w:fldCharType="begin"/>
    </w:r>
    <w:r>
      <w:instrText xml:space="preserve"> PAGE   \* MERGEFORMAT </w:instrText>
    </w:r>
    <w:r>
      <w:fldChar w:fldCharType="separate"/>
    </w:r>
    <w:r w:rsidR="00A009B8">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0966"/>
    <w:multiLevelType w:val="hybridMultilevel"/>
    <w:tmpl w:val="38B4ADBC"/>
    <w:lvl w:ilvl="0" w:tplc="D92E6EFE">
      <w:numFmt w:val="bullet"/>
      <w:lvlText w:val="-"/>
      <w:lvlJc w:val="left"/>
      <w:pPr>
        <w:ind w:left="1080" w:hanging="360"/>
      </w:pPr>
      <w:rPr>
        <w:rFonts w:ascii="Calibri" w:eastAsia="SimSu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6312535"/>
    <w:multiLevelType w:val="hybridMultilevel"/>
    <w:tmpl w:val="6E7283C8"/>
    <w:lvl w:ilvl="0" w:tplc="F52AF7A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A75C77"/>
    <w:multiLevelType w:val="hybridMultilevel"/>
    <w:tmpl w:val="282C6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05199"/>
    <w:multiLevelType w:val="hybridMultilevel"/>
    <w:tmpl w:val="2AA0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A4E08"/>
    <w:multiLevelType w:val="hybridMultilevel"/>
    <w:tmpl w:val="862CA9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9B3675"/>
    <w:multiLevelType w:val="hybridMultilevel"/>
    <w:tmpl w:val="E344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F254F"/>
    <w:multiLevelType w:val="multilevel"/>
    <w:tmpl w:val="E0CC76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3F80DFF"/>
    <w:multiLevelType w:val="multilevel"/>
    <w:tmpl w:val="68E44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37E6D"/>
    <w:multiLevelType w:val="hybridMultilevel"/>
    <w:tmpl w:val="F3E4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E2D72"/>
    <w:multiLevelType w:val="hybridMultilevel"/>
    <w:tmpl w:val="C2C0B542"/>
    <w:lvl w:ilvl="0" w:tplc="00B0BED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7FB039B"/>
    <w:multiLevelType w:val="hybridMultilevel"/>
    <w:tmpl w:val="ECEE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A40C1"/>
    <w:multiLevelType w:val="hybridMultilevel"/>
    <w:tmpl w:val="2EC2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F4D5D"/>
    <w:multiLevelType w:val="hybridMultilevel"/>
    <w:tmpl w:val="069CCA3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14" w15:restartNumberingAfterBreak="0">
    <w:nsid w:val="408A26CA"/>
    <w:multiLevelType w:val="hybridMultilevel"/>
    <w:tmpl w:val="8CBEC6F4"/>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6777AE"/>
    <w:multiLevelType w:val="hybridMultilevel"/>
    <w:tmpl w:val="38240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FA195A"/>
    <w:multiLevelType w:val="hybridMultilevel"/>
    <w:tmpl w:val="98C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E1C84"/>
    <w:multiLevelType w:val="hybridMultilevel"/>
    <w:tmpl w:val="FDA6914C"/>
    <w:lvl w:ilvl="0" w:tplc="ED404D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871AA"/>
    <w:multiLevelType w:val="hybridMultilevel"/>
    <w:tmpl w:val="FF32D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1E0BD2"/>
    <w:multiLevelType w:val="hybridMultilevel"/>
    <w:tmpl w:val="6ECA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21822"/>
    <w:multiLevelType w:val="hybridMultilevel"/>
    <w:tmpl w:val="B6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B43A1B"/>
    <w:multiLevelType w:val="hybridMultilevel"/>
    <w:tmpl w:val="99B6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1037F"/>
    <w:multiLevelType w:val="hybridMultilevel"/>
    <w:tmpl w:val="A1E4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A21BF"/>
    <w:multiLevelType w:val="hybridMultilevel"/>
    <w:tmpl w:val="70388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3"/>
  </w:num>
  <w:num w:numId="4">
    <w:abstractNumId w:val="0"/>
  </w:num>
  <w:num w:numId="5">
    <w:abstractNumId w:val="0"/>
  </w:num>
  <w:num w:numId="6">
    <w:abstractNumId w:val="23"/>
  </w:num>
  <w:num w:numId="7">
    <w:abstractNumId w:val="2"/>
  </w:num>
  <w:num w:numId="8">
    <w:abstractNumId w:val="7"/>
  </w:num>
  <w:num w:numId="9">
    <w:abstractNumId w:val="6"/>
  </w:num>
  <w:num w:numId="10">
    <w:abstractNumId w:val="19"/>
  </w:num>
  <w:num w:numId="11">
    <w:abstractNumId w:val="11"/>
  </w:num>
  <w:num w:numId="12">
    <w:abstractNumId w:val="17"/>
  </w:num>
  <w:num w:numId="13">
    <w:abstractNumId w:val="20"/>
  </w:num>
  <w:num w:numId="14">
    <w:abstractNumId w:val="1"/>
  </w:num>
  <w:num w:numId="15">
    <w:abstractNumId w:val="21"/>
  </w:num>
  <w:num w:numId="16">
    <w:abstractNumId w:val="8"/>
  </w:num>
  <w:num w:numId="17">
    <w:abstractNumId w:val="15"/>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lvlOverride w:ilvl="2"/>
    <w:lvlOverride w:ilvl="3"/>
    <w:lvlOverride w:ilvl="4"/>
    <w:lvlOverride w:ilvl="5"/>
    <w:lvlOverride w:ilvl="6"/>
    <w:lvlOverride w:ilvl="7"/>
    <w:lvlOverride w:ilvl="8"/>
  </w:num>
  <w:num w:numId="20">
    <w:abstractNumId w:val="17"/>
  </w:num>
  <w:num w:numId="21">
    <w:abstractNumId w:val="22"/>
  </w:num>
  <w:num w:numId="22">
    <w:abstractNumId w:val="16"/>
  </w:num>
  <w:num w:numId="23">
    <w:abstractNumId w:val="10"/>
  </w:num>
  <w:num w:numId="24">
    <w:abstractNumId w:val="5"/>
  </w:num>
  <w:num w:numId="25">
    <w:abstractNumId w:val="3"/>
  </w:num>
  <w:num w:numId="26">
    <w:abstractNumId w:val="1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69"/>
    <w:rsid w:val="00001698"/>
    <w:rsid w:val="00001A0E"/>
    <w:rsid w:val="00001BC2"/>
    <w:rsid w:val="000027F1"/>
    <w:rsid w:val="00006E03"/>
    <w:rsid w:val="00012C0F"/>
    <w:rsid w:val="00015710"/>
    <w:rsid w:val="00016AB1"/>
    <w:rsid w:val="000204D0"/>
    <w:rsid w:val="00023584"/>
    <w:rsid w:val="00027968"/>
    <w:rsid w:val="000301A7"/>
    <w:rsid w:val="00030FA0"/>
    <w:rsid w:val="00037A92"/>
    <w:rsid w:val="00042CA1"/>
    <w:rsid w:val="00045E52"/>
    <w:rsid w:val="00045FF9"/>
    <w:rsid w:val="00047DEC"/>
    <w:rsid w:val="000544D9"/>
    <w:rsid w:val="00054958"/>
    <w:rsid w:val="0005563F"/>
    <w:rsid w:val="00060CEC"/>
    <w:rsid w:val="00062518"/>
    <w:rsid w:val="000658EA"/>
    <w:rsid w:val="00066A06"/>
    <w:rsid w:val="00072473"/>
    <w:rsid w:val="00073799"/>
    <w:rsid w:val="00074262"/>
    <w:rsid w:val="0007552F"/>
    <w:rsid w:val="000759F6"/>
    <w:rsid w:val="000861CB"/>
    <w:rsid w:val="00086662"/>
    <w:rsid w:val="00096EAD"/>
    <w:rsid w:val="00097B1F"/>
    <w:rsid w:val="000A0605"/>
    <w:rsid w:val="000A22CF"/>
    <w:rsid w:val="000A2562"/>
    <w:rsid w:val="000B1A86"/>
    <w:rsid w:val="000B3D65"/>
    <w:rsid w:val="000B4144"/>
    <w:rsid w:val="000B4BE2"/>
    <w:rsid w:val="000B4D92"/>
    <w:rsid w:val="000C58EB"/>
    <w:rsid w:val="000C74AF"/>
    <w:rsid w:val="000E2711"/>
    <w:rsid w:val="000E5ABA"/>
    <w:rsid w:val="000E5FA0"/>
    <w:rsid w:val="000E63CD"/>
    <w:rsid w:val="000F0BF8"/>
    <w:rsid w:val="000F230B"/>
    <w:rsid w:val="000F3294"/>
    <w:rsid w:val="000F4ED1"/>
    <w:rsid w:val="00102023"/>
    <w:rsid w:val="001032B6"/>
    <w:rsid w:val="00103703"/>
    <w:rsid w:val="00104195"/>
    <w:rsid w:val="001048F3"/>
    <w:rsid w:val="00110A10"/>
    <w:rsid w:val="001136BE"/>
    <w:rsid w:val="00114552"/>
    <w:rsid w:val="00115AE1"/>
    <w:rsid w:val="00115F5F"/>
    <w:rsid w:val="00125408"/>
    <w:rsid w:val="00132C7C"/>
    <w:rsid w:val="0013390F"/>
    <w:rsid w:val="00134257"/>
    <w:rsid w:val="0013580B"/>
    <w:rsid w:val="00136CF2"/>
    <w:rsid w:val="00141290"/>
    <w:rsid w:val="00142DBD"/>
    <w:rsid w:val="00143C74"/>
    <w:rsid w:val="00153183"/>
    <w:rsid w:val="00155FBD"/>
    <w:rsid w:val="00164E99"/>
    <w:rsid w:val="00166448"/>
    <w:rsid w:val="0017115C"/>
    <w:rsid w:val="00177E24"/>
    <w:rsid w:val="00184D67"/>
    <w:rsid w:val="00193B59"/>
    <w:rsid w:val="001A0454"/>
    <w:rsid w:val="001A78DF"/>
    <w:rsid w:val="001B04F2"/>
    <w:rsid w:val="001B0C90"/>
    <w:rsid w:val="001B1546"/>
    <w:rsid w:val="001B2A25"/>
    <w:rsid w:val="001B2BF9"/>
    <w:rsid w:val="001B64DC"/>
    <w:rsid w:val="001C0499"/>
    <w:rsid w:val="001C1297"/>
    <w:rsid w:val="001C13D1"/>
    <w:rsid w:val="001C25DC"/>
    <w:rsid w:val="001C51B9"/>
    <w:rsid w:val="001D0B2B"/>
    <w:rsid w:val="001D575F"/>
    <w:rsid w:val="001E0F68"/>
    <w:rsid w:val="001E1C03"/>
    <w:rsid w:val="001E3133"/>
    <w:rsid w:val="001E3984"/>
    <w:rsid w:val="001E5F42"/>
    <w:rsid w:val="001F33AB"/>
    <w:rsid w:val="001F51D8"/>
    <w:rsid w:val="001F5480"/>
    <w:rsid w:val="002042DD"/>
    <w:rsid w:val="002052DC"/>
    <w:rsid w:val="00210C9E"/>
    <w:rsid w:val="002124E1"/>
    <w:rsid w:val="00212D75"/>
    <w:rsid w:val="00214B2A"/>
    <w:rsid w:val="00215BAA"/>
    <w:rsid w:val="00217B95"/>
    <w:rsid w:val="0022325A"/>
    <w:rsid w:val="00223B46"/>
    <w:rsid w:val="002240D9"/>
    <w:rsid w:val="0023019F"/>
    <w:rsid w:val="00230CBA"/>
    <w:rsid w:val="00234CA5"/>
    <w:rsid w:val="002361F1"/>
    <w:rsid w:val="00236FC9"/>
    <w:rsid w:val="00237857"/>
    <w:rsid w:val="00237DCE"/>
    <w:rsid w:val="002401B0"/>
    <w:rsid w:val="00242EC5"/>
    <w:rsid w:val="00243CDE"/>
    <w:rsid w:val="00247560"/>
    <w:rsid w:val="00247754"/>
    <w:rsid w:val="00254030"/>
    <w:rsid w:val="00261C30"/>
    <w:rsid w:val="00265580"/>
    <w:rsid w:val="00266957"/>
    <w:rsid w:val="002679A9"/>
    <w:rsid w:val="002775E9"/>
    <w:rsid w:val="00277D19"/>
    <w:rsid w:val="002806D6"/>
    <w:rsid w:val="00280E7B"/>
    <w:rsid w:val="0028141E"/>
    <w:rsid w:val="002833C4"/>
    <w:rsid w:val="00286EF4"/>
    <w:rsid w:val="00294182"/>
    <w:rsid w:val="00295B70"/>
    <w:rsid w:val="002A1718"/>
    <w:rsid w:val="002A185E"/>
    <w:rsid w:val="002A1AD9"/>
    <w:rsid w:val="002A43ED"/>
    <w:rsid w:val="002A6258"/>
    <w:rsid w:val="002A7F41"/>
    <w:rsid w:val="002B565A"/>
    <w:rsid w:val="002B5896"/>
    <w:rsid w:val="002C0922"/>
    <w:rsid w:val="002C39C8"/>
    <w:rsid w:val="002C7891"/>
    <w:rsid w:val="002C7E24"/>
    <w:rsid w:val="002D2EA2"/>
    <w:rsid w:val="002D3D13"/>
    <w:rsid w:val="002D53C6"/>
    <w:rsid w:val="002E5DC2"/>
    <w:rsid w:val="002E76FF"/>
    <w:rsid w:val="002F2766"/>
    <w:rsid w:val="002F5DB3"/>
    <w:rsid w:val="002F7A67"/>
    <w:rsid w:val="002F7D67"/>
    <w:rsid w:val="002F7E62"/>
    <w:rsid w:val="00300FAF"/>
    <w:rsid w:val="003013F5"/>
    <w:rsid w:val="00301C89"/>
    <w:rsid w:val="0031014E"/>
    <w:rsid w:val="0031111A"/>
    <w:rsid w:val="00311A69"/>
    <w:rsid w:val="00311E9D"/>
    <w:rsid w:val="00312EE6"/>
    <w:rsid w:val="00315BEA"/>
    <w:rsid w:val="00316FCF"/>
    <w:rsid w:val="00320078"/>
    <w:rsid w:val="003212E7"/>
    <w:rsid w:val="00326D3A"/>
    <w:rsid w:val="003272FA"/>
    <w:rsid w:val="00335ECE"/>
    <w:rsid w:val="00340F7C"/>
    <w:rsid w:val="0034303E"/>
    <w:rsid w:val="003502FC"/>
    <w:rsid w:val="00353C35"/>
    <w:rsid w:val="003543F3"/>
    <w:rsid w:val="003568D0"/>
    <w:rsid w:val="00360281"/>
    <w:rsid w:val="0036565A"/>
    <w:rsid w:val="00366FD4"/>
    <w:rsid w:val="003710B1"/>
    <w:rsid w:val="00371414"/>
    <w:rsid w:val="0037179C"/>
    <w:rsid w:val="00381A74"/>
    <w:rsid w:val="0038489E"/>
    <w:rsid w:val="00390D21"/>
    <w:rsid w:val="0039120A"/>
    <w:rsid w:val="00393DFE"/>
    <w:rsid w:val="003A165E"/>
    <w:rsid w:val="003A3D60"/>
    <w:rsid w:val="003A5819"/>
    <w:rsid w:val="003A598E"/>
    <w:rsid w:val="003A7B47"/>
    <w:rsid w:val="003B03BB"/>
    <w:rsid w:val="003B1DE8"/>
    <w:rsid w:val="003B3322"/>
    <w:rsid w:val="003B3348"/>
    <w:rsid w:val="003B381C"/>
    <w:rsid w:val="003B6B31"/>
    <w:rsid w:val="003B6FD8"/>
    <w:rsid w:val="003C012E"/>
    <w:rsid w:val="003C1A75"/>
    <w:rsid w:val="003C2A4C"/>
    <w:rsid w:val="003D06D3"/>
    <w:rsid w:val="003D17A5"/>
    <w:rsid w:val="003D2408"/>
    <w:rsid w:val="003D4DE5"/>
    <w:rsid w:val="003D51CD"/>
    <w:rsid w:val="003E052A"/>
    <w:rsid w:val="003E0711"/>
    <w:rsid w:val="003E075B"/>
    <w:rsid w:val="003E1242"/>
    <w:rsid w:val="003E224A"/>
    <w:rsid w:val="003F280F"/>
    <w:rsid w:val="003F3503"/>
    <w:rsid w:val="003F5159"/>
    <w:rsid w:val="0040584A"/>
    <w:rsid w:val="004059D8"/>
    <w:rsid w:val="00411FD1"/>
    <w:rsid w:val="00421D98"/>
    <w:rsid w:val="00424B2E"/>
    <w:rsid w:val="004252EC"/>
    <w:rsid w:val="004255D8"/>
    <w:rsid w:val="00425F4B"/>
    <w:rsid w:val="00426019"/>
    <w:rsid w:val="004269A4"/>
    <w:rsid w:val="00427670"/>
    <w:rsid w:val="00433CC8"/>
    <w:rsid w:val="0044026F"/>
    <w:rsid w:val="00450EDB"/>
    <w:rsid w:val="004521FD"/>
    <w:rsid w:val="00454BFC"/>
    <w:rsid w:val="004634E0"/>
    <w:rsid w:val="00465379"/>
    <w:rsid w:val="004655D4"/>
    <w:rsid w:val="0047369C"/>
    <w:rsid w:val="0047711F"/>
    <w:rsid w:val="00477ADC"/>
    <w:rsid w:val="00482359"/>
    <w:rsid w:val="00482E53"/>
    <w:rsid w:val="004842F3"/>
    <w:rsid w:val="0048500D"/>
    <w:rsid w:val="00497D16"/>
    <w:rsid w:val="004A2C78"/>
    <w:rsid w:val="004A3A56"/>
    <w:rsid w:val="004A4C7B"/>
    <w:rsid w:val="004B1B00"/>
    <w:rsid w:val="004B2AB5"/>
    <w:rsid w:val="004B3945"/>
    <w:rsid w:val="004B6DC3"/>
    <w:rsid w:val="004C0AF6"/>
    <w:rsid w:val="004C142A"/>
    <w:rsid w:val="004C25DB"/>
    <w:rsid w:val="004C262C"/>
    <w:rsid w:val="004C4617"/>
    <w:rsid w:val="004C4B8A"/>
    <w:rsid w:val="004C540A"/>
    <w:rsid w:val="004C54C9"/>
    <w:rsid w:val="004C599C"/>
    <w:rsid w:val="004D1CC6"/>
    <w:rsid w:val="004D46E5"/>
    <w:rsid w:val="004D514F"/>
    <w:rsid w:val="004D7491"/>
    <w:rsid w:val="004D7EDA"/>
    <w:rsid w:val="004E0509"/>
    <w:rsid w:val="004E2FC1"/>
    <w:rsid w:val="004F3198"/>
    <w:rsid w:val="004F5F59"/>
    <w:rsid w:val="004F6B0A"/>
    <w:rsid w:val="004F6E92"/>
    <w:rsid w:val="00500740"/>
    <w:rsid w:val="00506775"/>
    <w:rsid w:val="005105E4"/>
    <w:rsid w:val="00514430"/>
    <w:rsid w:val="005152C1"/>
    <w:rsid w:val="00515D1C"/>
    <w:rsid w:val="0052022F"/>
    <w:rsid w:val="00523937"/>
    <w:rsid w:val="00525414"/>
    <w:rsid w:val="00532211"/>
    <w:rsid w:val="00533C3E"/>
    <w:rsid w:val="00533D3B"/>
    <w:rsid w:val="00534849"/>
    <w:rsid w:val="0054066A"/>
    <w:rsid w:val="005408C0"/>
    <w:rsid w:val="00542B26"/>
    <w:rsid w:val="0054763D"/>
    <w:rsid w:val="00550086"/>
    <w:rsid w:val="0055263C"/>
    <w:rsid w:val="005529A2"/>
    <w:rsid w:val="00553F28"/>
    <w:rsid w:val="00555ED4"/>
    <w:rsid w:val="00560241"/>
    <w:rsid w:val="00572E5B"/>
    <w:rsid w:val="00574A1C"/>
    <w:rsid w:val="00580230"/>
    <w:rsid w:val="0058309E"/>
    <w:rsid w:val="00583161"/>
    <w:rsid w:val="005848CA"/>
    <w:rsid w:val="00584D5F"/>
    <w:rsid w:val="005940B0"/>
    <w:rsid w:val="00594CE9"/>
    <w:rsid w:val="005A13CD"/>
    <w:rsid w:val="005A447C"/>
    <w:rsid w:val="005A56F9"/>
    <w:rsid w:val="005B77E8"/>
    <w:rsid w:val="005C0B53"/>
    <w:rsid w:val="005C1346"/>
    <w:rsid w:val="005C264F"/>
    <w:rsid w:val="005C53D5"/>
    <w:rsid w:val="005C693B"/>
    <w:rsid w:val="005D02E2"/>
    <w:rsid w:val="005D2D07"/>
    <w:rsid w:val="005D5386"/>
    <w:rsid w:val="005D723F"/>
    <w:rsid w:val="005E24D7"/>
    <w:rsid w:val="005E77CF"/>
    <w:rsid w:val="005F0544"/>
    <w:rsid w:val="005F1138"/>
    <w:rsid w:val="005F2BF7"/>
    <w:rsid w:val="005F3B6F"/>
    <w:rsid w:val="005F6457"/>
    <w:rsid w:val="005F6A3D"/>
    <w:rsid w:val="005F760B"/>
    <w:rsid w:val="0060198C"/>
    <w:rsid w:val="00602309"/>
    <w:rsid w:val="006064D0"/>
    <w:rsid w:val="00611B7F"/>
    <w:rsid w:val="0061421E"/>
    <w:rsid w:val="00614585"/>
    <w:rsid w:val="0061519E"/>
    <w:rsid w:val="006158BE"/>
    <w:rsid w:val="006166E8"/>
    <w:rsid w:val="00617C10"/>
    <w:rsid w:val="00627F3F"/>
    <w:rsid w:val="00630164"/>
    <w:rsid w:val="00645975"/>
    <w:rsid w:val="006520CD"/>
    <w:rsid w:val="006540F6"/>
    <w:rsid w:val="00654ECB"/>
    <w:rsid w:val="00660555"/>
    <w:rsid w:val="00661515"/>
    <w:rsid w:val="00666347"/>
    <w:rsid w:val="006666FA"/>
    <w:rsid w:val="0067148B"/>
    <w:rsid w:val="006733CA"/>
    <w:rsid w:val="00673F73"/>
    <w:rsid w:val="00676203"/>
    <w:rsid w:val="00683C5F"/>
    <w:rsid w:val="006862A2"/>
    <w:rsid w:val="00690434"/>
    <w:rsid w:val="00693F43"/>
    <w:rsid w:val="006953C2"/>
    <w:rsid w:val="0069556D"/>
    <w:rsid w:val="006A1BD4"/>
    <w:rsid w:val="006A2CB7"/>
    <w:rsid w:val="006A4EC3"/>
    <w:rsid w:val="006A5844"/>
    <w:rsid w:val="006A655A"/>
    <w:rsid w:val="006B5EDF"/>
    <w:rsid w:val="006C2A7F"/>
    <w:rsid w:val="006C4D00"/>
    <w:rsid w:val="006C6048"/>
    <w:rsid w:val="006D0D4C"/>
    <w:rsid w:val="006D263B"/>
    <w:rsid w:val="006D3D77"/>
    <w:rsid w:val="006D6442"/>
    <w:rsid w:val="006E3639"/>
    <w:rsid w:val="006E4056"/>
    <w:rsid w:val="006E7285"/>
    <w:rsid w:val="006E7DE8"/>
    <w:rsid w:val="006E7F60"/>
    <w:rsid w:val="006F03C0"/>
    <w:rsid w:val="006F3AA0"/>
    <w:rsid w:val="006F3B0D"/>
    <w:rsid w:val="006F706F"/>
    <w:rsid w:val="006F791E"/>
    <w:rsid w:val="006F799F"/>
    <w:rsid w:val="006F7C9C"/>
    <w:rsid w:val="00700148"/>
    <w:rsid w:val="00700B9C"/>
    <w:rsid w:val="00706F2A"/>
    <w:rsid w:val="00711499"/>
    <w:rsid w:val="00711969"/>
    <w:rsid w:val="007123D8"/>
    <w:rsid w:val="007152D9"/>
    <w:rsid w:val="00715808"/>
    <w:rsid w:val="00720B6A"/>
    <w:rsid w:val="00724D2A"/>
    <w:rsid w:val="00725724"/>
    <w:rsid w:val="00726ED7"/>
    <w:rsid w:val="007325AD"/>
    <w:rsid w:val="00737E38"/>
    <w:rsid w:val="007401FE"/>
    <w:rsid w:val="00741EA9"/>
    <w:rsid w:val="00745391"/>
    <w:rsid w:val="00753839"/>
    <w:rsid w:val="0075759F"/>
    <w:rsid w:val="00762A2B"/>
    <w:rsid w:val="00764F02"/>
    <w:rsid w:val="00766714"/>
    <w:rsid w:val="007712AA"/>
    <w:rsid w:val="00771463"/>
    <w:rsid w:val="00772983"/>
    <w:rsid w:val="00774EA3"/>
    <w:rsid w:val="0078105C"/>
    <w:rsid w:val="00785DFF"/>
    <w:rsid w:val="00790473"/>
    <w:rsid w:val="00790510"/>
    <w:rsid w:val="00792409"/>
    <w:rsid w:val="007974DD"/>
    <w:rsid w:val="007A139D"/>
    <w:rsid w:val="007A189B"/>
    <w:rsid w:val="007A28B1"/>
    <w:rsid w:val="007A48FF"/>
    <w:rsid w:val="007A6F4E"/>
    <w:rsid w:val="007A7332"/>
    <w:rsid w:val="007B1597"/>
    <w:rsid w:val="007B3F2A"/>
    <w:rsid w:val="007B565B"/>
    <w:rsid w:val="007C2E73"/>
    <w:rsid w:val="007D67D0"/>
    <w:rsid w:val="007E5AF3"/>
    <w:rsid w:val="007E78AC"/>
    <w:rsid w:val="007F0BD6"/>
    <w:rsid w:val="007F1801"/>
    <w:rsid w:val="007F4B37"/>
    <w:rsid w:val="007F7E90"/>
    <w:rsid w:val="00803455"/>
    <w:rsid w:val="00804308"/>
    <w:rsid w:val="0080647D"/>
    <w:rsid w:val="0080702C"/>
    <w:rsid w:val="00807EFC"/>
    <w:rsid w:val="008117E0"/>
    <w:rsid w:val="0081665C"/>
    <w:rsid w:val="00816D4B"/>
    <w:rsid w:val="008176D2"/>
    <w:rsid w:val="00817E2A"/>
    <w:rsid w:val="00822535"/>
    <w:rsid w:val="00823366"/>
    <w:rsid w:val="0082493B"/>
    <w:rsid w:val="008312F4"/>
    <w:rsid w:val="00831D82"/>
    <w:rsid w:val="008326BD"/>
    <w:rsid w:val="00836991"/>
    <w:rsid w:val="00840440"/>
    <w:rsid w:val="00840DBF"/>
    <w:rsid w:val="00842B45"/>
    <w:rsid w:val="008431DE"/>
    <w:rsid w:val="00843BB3"/>
    <w:rsid w:val="00845E58"/>
    <w:rsid w:val="00852885"/>
    <w:rsid w:val="00853829"/>
    <w:rsid w:val="008574CE"/>
    <w:rsid w:val="008614E1"/>
    <w:rsid w:val="00861D94"/>
    <w:rsid w:val="00861EB6"/>
    <w:rsid w:val="00863B94"/>
    <w:rsid w:val="008645E2"/>
    <w:rsid w:val="00873FCD"/>
    <w:rsid w:val="00877A83"/>
    <w:rsid w:val="00880DF8"/>
    <w:rsid w:val="0088167C"/>
    <w:rsid w:val="008835EC"/>
    <w:rsid w:val="00883D0E"/>
    <w:rsid w:val="0088561C"/>
    <w:rsid w:val="008876C8"/>
    <w:rsid w:val="00897CCC"/>
    <w:rsid w:val="008A3350"/>
    <w:rsid w:val="008A7BF6"/>
    <w:rsid w:val="008B0DED"/>
    <w:rsid w:val="008B485E"/>
    <w:rsid w:val="008B528B"/>
    <w:rsid w:val="008B7A59"/>
    <w:rsid w:val="008C6009"/>
    <w:rsid w:val="008D1D3C"/>
    <w:rsid w:val="008D2EC9"/>
    <w:rsid w:val="008D3BFC"/>
    <w:rsid w:val="008D3D21"/>
    <w:rsid w:val="008D4B25"/>
    <w:rsid w:val="008D7A87"/>
    <w:rsid w:val="008E05D9"/>
    <w:rsid w:val="008E24F9"/>
    <w:rsid w:val="008E5909"/>
    <w:rsid w:val="008F2C0D"/>
    <w:rsid w:val="008F7353"/>
    <w:rsid w:val="00900847"/>
    <w:rsid w:val="009033E1"/>
    <w:rsid w:val="00903CDE"/>
    <w:rsid w:val="009051B4"/>
    <w:rsid w:val="0091007F"/>
    <w:rsid w:val="009103CC"/>
    <w:rsid w:val="0091063C"/>
    <w:rsid w:val="00911E8F"/>
    <w:rsid w:val="00913975"/>
    <w:rsid w:val="00914BB4"/>
    <w:rsid w:val="00915657"/>
    <w:rsid w:val="00922A26"/>
    <w:rsid w:val="009240DB"/>
    <w:rsid w:val="0092453E"/>
    <w:rsid w:val="0092460A"/>
    <w:rsid w:val="00926083"/>
    <w:rsid w:val="009314B7"/>
    <w:rsid w:val="00935FD7"/>
    <w:rsid w:val="00937BC5"/>
    <w:rsid w:val="00942C45"/>
    <w:rsid w:val="009433A7"/>
    <w:rsid w:val="009528C6"/>
    <w:rsid w:val="00956B60"/>
    <w:rsid w:val="009570E5"/>
    <w:rsid w:val="009616CF"/>
    <w:rsid w:val="00965821"/>
    <w:rsid w:val="0096593E"/>
    <w:rsid w:val="00967AB2"/>
    <w:rsid w:val="00967D54"/>
    <w:rsid w:val="00970201"/>
    <w:rsid w:val="009751AE"/>
    <w:rsid w:val="009A00DD"/>
    <w:rsid w:val="009A3711"/>
    <w:rsid w:val="009B2088"/>
    <w:rsid w:val="009B65D9"/>
    <w:rsid w:val="009C3E63"/>
    <w:rsid w:val="009C4EEB"/>
    <w:rsid w:val="009C6960"/>
    <w:rsid w:val="009D4985"/>
    <w:rsid w:val="009D4D92"/>
    <w:rsid w:val="009E280B"/>
    <w:rsid w:val="009E6DD2"/>
    <w:rsid w:val="009F1C27"/>
    <w:rsid w:val="009F2907"/>
    <w:rsid w:val="009F3A78"/>
    <w:rsid w:val="009F5F08"/>
    <w:rsid w:val="00A009B8"/>
    <w:rsid w:val="00A03097"/>
    <w:rsid w:val="00A066F0"/>
    <w:rsid w:val="00A06BB7"/>
    <w:rsid w:val="00A12832"/>
    <w:rsid w:val="00A1522A"/>
    <w:rsid w:val="00A208B3"/>
    <w:rsid w:val="00A210A1"/>
    <w:rsid w:val="00A2192A"/>
    <w:rsid w:val="00A2291D"/>
    <w:rsid w:val="00A22C32"/>
    <w:rsid w:val="00A237CA"/>
    <w:rsid w:val="00A25277"/>
    <w:rsid w:val="00A26B24"/>
    <w:rsid w:val="00A31785"/>
    <w:rsid w:val="00A319A9"/>
    <w:rsid w:val="00A4025A"/>
    <w:rsid w:val="00A42D3A"/>
    <w:rsid w:val="00A43E33"/>
    <w:rsid w:val="00A46D3A"/>
    <w:rsid w:val="00A50422"/>
    <w:rsid w:val="00A5042E"/>
    <w:rsid w:val="00A50873"/>
    <w:rsid w:val="00A517B5"/>
    <w:rsid w:val="00A56336"/>
    <w:rsid w:val="00A56916"/>
    <w:rsid w:val="00A605A0"/>
    <w:rsid w:val="00A61F04"/>
    <w:rsid w:val="00A62079"/>
    <w:rsid w:val="00A6277C"/>
    <w:rsid w:val="00A65743"/>
    <w:rsid w:val="00A65A95"/>
    <w:rsid w:val="00A67B22"/>
    <w:rsid w:val="00A722E5"/>
    <w:rsid w:val="00A72D0B"/>
    <w:rsid w:val="00A75FF7"/>
    <w:rsid w:val="00A7665F"/>
    <w:rsid w:val="00A803E4"/>
    <w:rsid w:val="00A86213"/>
    <w:rsid w:val="00A92B44"/>
    <w:rsid w:val="00A935B5"/>
    <w:rsid w:val="00A95942"/>
    <w:rsid w:val="00A979B6"/>
    <w:rsid w:val="00AA337B"/>
    <w:rsid w:val="00AA4BC9"/>
    <w:rsid w:val="00AA5282"/>
    <w:rsid w:val="00AA5A69"/>
    <w:rsid w:val="00AB0512"/>
    <w:rsid w:val="00AB09C0"/>
    <w:rsid w:val="00AB2C06"/>
    <w:rsid w:val="00AB3BC1"/>
    <w:rsid w:val="00AB3C4F"/>
    <w:rsid w:val="00AB5EAD"/>
    <w:rsid w:val="00AB6FF3"/>
    <w:rsid w:val="00AB778A"/>
    <w:rsid w:val="00AC7266"/>
    <w:rsid w:val="00AD0FFF"/>
    <w:rsid w:val="00AD4014"/>
    <w:rsid w:val="00AD5658"/>
    <w:rsid w:val="00AD7401"/>
    <w:rsid w:val="00AD7CF1"/>
    <w:rsid w:val="00AE48EC"/>
    <w:rsid w:val="00AE55D6"/>
    <w:rsid w:val="00AF387B"/>
    <w:rsid w:val="00AF3B58"/>
    <w:rsid w:val="00B00A4F"/>
    <w:rsid w:val="00B079DB"/>
    <w:rsid w:val="00B11018"/>
    <w:rsid w:val="00B24124"/>
    <w:rsid w:val="00B25B79"/>
    <w:rsid w:val="00B310B5"/>
    <w:rsid w:val="00B332F2"/>
    <w:rsid w:val="00B40FC4"/>
    <w:rsid w:val="00B456FA"/>
    <w:rsid w:val="00B4747C"/>
    <w:rsid w:val="00B54DCD"/>
    <w:rsid w:val="00B5769A"/>
    <w:rsid w:val="00B57C4D"/>
    <w:rsid w:val="00B60017"/>
    <w:rsid w:val="00B63F88"/>
    <w:rsid w:val="00B63FC5"/>
    <w:rsid w:val="00B66233"/>
    <w:rsid w:val="00B70637"/>
    <w:rsid w:val="00B7283C"/>
    <w:rsid w:val="00B751C0"/>
    <w:rsid w:val="00B76D8B"/>
    <w:rsid w:val="00B770B6"/>
    <w:rsid w:val="00B851AE"/>
    <w:rsid w:val="00B94A7B"/>
    <w:rsid w:val="00B97811"/>
    <w:rsid w:val="00BA0A95"/>
    <w:rsid w:val="00BA1AAB"/>
    <w:rsid w:val="00BA483B"/>
    <w:rsid w:val="00BA5310"/>
    <w:rsid w:val="00BA6B44"/>
    <w:rsid w:val="00BA7D38"/>
    <w:rsid w:val="00BB23EE"/>
    <w:rsid w:val="00BB4C87"/>
    <w:rsid w:val="00BB5655"/>
    <w:rsid w:val="00BB6D8C"/>
    <w:rsid w:val="00BC38C0"/>
    <w:rsid w:val="00BC3B2C"/>
    <w:rsid w:val="00BC496D"/>
    <w:rsid w:val="00BD2C76"/>
    <w:rsid w:val="00BD324C"/>
    <w:rsid w:val="00BD3963"/>
    <w:rsid w:val="00BD53CB"/>
    <w:rsid w:val="00BD57CD"/>
    <w:rsid w:val="00BD7335"/>
    <w:rsid w:val="00BE24CC"/>
    <w:rsid w:val="00BF28C8"/>
    <w:rsid w:val="00BF4A27"/>
    <w:rsid w:val="00BF5AB7"/>
    <w:rsid w:val="00BF62D4"/>
    <w:rsid w:val="00C01837"/>
    <w:rsid w:val="00C03750"/>
    <w:rsid w:val="00C15E2B"/>
    <w:rsid w:val="00C1659C"/>
    <w:rsid w:val="00C207A8"/>
    <w:rsid w:val="00C241BB"/>
    <w:rsid w:val="00C24BAD"/>
    <w:rsid w:val="00C30BAD"/>
    <w:rsid w:val="00C3193F"/>
    <w:rsid w:val="00C3507C"/>
    <w:rsid w:val="00C36B10"/>
    <w:rsid w:val="00C36D09"/>
    <w:rsid w:val="00C37E08"/>
    <w:rsid w:val="00C42379"/>
    <w:rsid w:val="00C426F3"/>
    <w:rsid w:val="00C44679"/>
    <w:rsid w:val="00C453EC"/>
    <w:rsid w:val="00C462DA"/>
    <w:rsid w:val="00C50079"/>
    <w:rsid w:val="00C502C7"/>
    <w:rsid w:val="00C51C79"/>
    <w:rsid w:val="00C543BA"/>
    <w:rsid w:val="00C547D8"/>
    <w:rsid w:val="00C55872"/>
    <w:rsid w:val="00C569A6"/>
    <w:rsid w:val="00C57012"/>
    <w:rsid w:val="00C62BA2"/>
    <w:rsid w:val="00C65AFC"/>
    <w:rsid w:val="00C70B13"/>
    <w:rsid w:val="00C71D82"/>
    <w:rsid w:val="00C7385B"/>
    <w:rsid w:val="00C82EC3"/>
    <w:rsid w:val="00C836F5"/>
    <w:rsid w:val="00C85594"/>
    <w:rsid w:val="00C90B8C"/>
    <w:rsid w:val="00C917A4"/>
    <w:rsid w:val="00C926D6"/>
    <w:rsid w:val="00C92B51"/>
    <w:rsid w:val="00C930D6"/>
    <w:rsid w:val="00CA3AD7"/>
    <w:rsid w:val="00CA3DCF"/>
    <w:rsid w:val="00CA4E66"/>
    <w:rsid w:val="00CB06B7"/>
    <w:rsid w:val="00CB2A7D"/>
    <w:rsid w:val="00CC143C"/>
    <w:rsid w:val="00CC3AE1"/>
    <w:rsid w:val="00CC7471"/>
    <w:rsid w:val="00CD0ABA"/>
    <w:rsid w:val="00CD2CC0"/>
    <w:rsid w:val="00CD3247"/>
    <w:rsid w:val="00CD5A07"/>
    <w:rsid w:val="00CD6444"/>
    <w:rsid w:val="00CD702F"/>
    <w:rsid w:val="00CD741E"/>
    <w:rsid w:val="00CE317F"/>
    <w:rsid w:val="00CE4CC4"/>
    <w:rsid w:val="00CE56B3"/>
    <w:rsid w:val="00CF07B7"/>
    <w:rsid w:val="00D01F62"/>
    <w:rsid w:val="00D03302"/>
    <w:rsid w:val="00D03A2B"/>
    <w:rsid w:val="00D05B26"/>
    <w:rsid w:val="00D10583"/>
    <w:rsid w:val="00D1452C"/>
    <w:rsid w:val="00D15A7A"/>
    <w:rsid w:val="00D2130F"/>
    <w:rsid w:val="00D216A0"/>
    <w:rsid w:val="00D218B3"/>
    <w:rsid w:val="00D22ABC"/>
    <w:rsid w:val="00D231E2"/>
    <w:rsid w:val="00D23FD1"/>
    <w:rsid w:val="00D301A3"/>
    <w:rsid w:val="00D30AEA"/>
    <w:rsid w:val="00D3450E"/>
    <w:rsid w:val="00D36790"/>
    <w:rsid w:val="00D475A4"/>
    <w:rsid w:val="00D47FEE"/>
    <w:rsid w:val="00D50FAC"/>
    <w:rsid w:val="00D5509F"/>
    <w:rsid w:val="00D605D7"/>
    <w:rsid w:val="00D64AF1"/>
    <w:rsid w:val="00D65517"/>
    <w:rsid w:val="00D7104D"/>
    <w:rsid w:val="00D76AAA"/>
    <w:rsid w:val="00D77E9B"/>
    <w:rsid w:val="00D77EEE"/>
    <w:rsid w:val="00D805C4"/>
    <w:rsid w:val="00D8099A"/>
    <w:rsid w:val="00D8485D"/>
    <w:rsid w:val="00D85482"/>
    <w:rsid w:val="00D9271D"/>
    <w:rsid w:val="00D94C33"/>
    <w:rsid w:val="00D9547C"/>
    <w:rsid w:val="00DA0B72"/>
    <w:rsid w:val="00DA1AAA"/>
    <w:rsid w:val="00DA3DCE"/>
    <w:rsid w:val="00DA4002"/>
    <w:rsid w:val="00DA4B71"/>
    <w:rsid w:val="00DB45D8"/>
    <w:rsid w:val="00DB73ED"/>
    <w:rsid w:val="00DC0FBE"/>
    <w:rsid w:val="00DC344E"/>
    <w:rsid w:val="00DC458F"/>
    <w:rsid w:val="00DC5514"/>
    <w:rsid w:val="00DC5FA5"/>
    <w:rsid w:val="00DD21D1"/>
    <w:rsid w:val="00DD596F"/>
    <w:rsid w:val="00DD7369"/>
    <w:rsid w:val="00DE7549"/>
    <w:rsid w:val="00DF03DB"/>
    <w:rsid w:val="00DF5643"/>
    <w:rsid w:val="00E01015"/>
    <w:rsid w:val="00E017AB"/>
    <w:rsid w:val="00E02228"/>
    <w:rsid w:val="00E02549"/>
    <w:rsid w:val="00E05A27"/>
    <w:rsid w:val="00E05DAB"/>
    <w:rsid w:val="00E07A81"/>
    <w:rsid w:val="00E153F0"/>
    <w:rsid w:val="00E17980"/>
    <w:rsid w:val="00E209C2"/>
    <w:rsid w:val="00E22EA9"/>
    <w:rsid w:val="00E24C5B"/>
    <w:rsid w:val="00E25F2D"/>
    <w:rsid w:val="00E279E1"/>
    <w:rsid w:val="00E30B2E"/>
    <w:rsid w:val="00E31D1F"/>
    <w:rsid w:val="00E327CB"/>
    <w:rsid w:val="00E32E01"/>
    <w:rsid w:val="00E347E7"/>
    <w:rsid w:val="00E36A73"/>
    <w:rsid w:val="00E47077"/>
    <w:rsid w:val="00E4749F"/>
    <w:rsid w:val="00E47694"/>
    <w:rsid w:val="00E53BFE"/>
    <w:rsid w:val="00E5599B"/>
    <w:rsid w:val="00E57321"/>
    <w:rsid w:val="00E57DBD"/>
    <w:rsid w:val="00E61A85"/>
    <w:rsid w:val="00E671EB"/>
    <w:rsid w:val="00E705B1"/>
    <w:rsid w:val="00E710B5"/>
    <w:rsid w:val="00E755E5"/>
    <w:rsid w:val="00E844BF"/>
    <w:rsid w:val="00E852EF"/>
    <w:rsid w:val="00E921C7"/>
    <w:rsid w:val="00E9239A"/>
    <w:rsid w:val="00E95365"/>
    <w:rsid w:val="00E95D72"/>
    <w:rsid w:val="00E97D41"/>
    <w:rsid w:val="00EA3863"/>
    <w:rsid w:val="00EA4489"/>
    <w:rsid w:val="00EA7B11"/>
    <w:rsid w:val="00EB4898"/>
    <w:rsid w:val="00EC11C8"/>
    <w:rsid w:val="00EC4A34"/>
    <w:rsid w:val="00EC57A3"/>
    <w:rsid w:val="00ED04EA"/>
    <w:rsid w:val="00ED2E87"/>
    <w:rsid w:val="00ED2F68"/>
    <w:rsid w:val="00ED3662"/>
    <w:rsid w:val="00EE00C4"/>
    <w:rsid w:val="00EE023C"/>
    <w:rsid w:val="00EE1E95"/>
    <w:rsid w:val="00EE28A4"/>
    <w:rsid w:val="00EE2F2D"/>
    <w:rsid w:val="00EE2F58"/>
    <w:rsid w:val="00EF5C0D"/>
    <w:rsid w:val="00F05959"/>
    <w:rsid w:val="00F10B44"/>
    <w:rsid w:val="00F13309"/>
    <w:rsid w:val="00F13C83"/>
    <w:rsid w:val="00F16331"/>
    <w:rsid w:val="00F172C5"/>
    <w:rsid w:val="00F21350"/>
    <w:rsid w:val="00F235E9"/>
    <w:rsid w:val="00F23924"/>
    <w:rsid w:val="00F261AB"/>
    <w:rsid w:val="00F27787"/>
    <w:rsid w:val="00F41950"/>
    <w:rsid w:val="00F42500"/>
    <w:rsid w:val="00F44D6E"/>
    <w:rsid w:val="00F465CD"/>
    <w:rsid w:val="00F53149"/>
    <w:rsid w:val="00F55503"/>
    <w:rsid w:val="00F5669D"/>
    <w:rsid w:val="00F6002A"/>
    <w:rsid w:val="00F603DC"/>
    <w:rsid w:val="00F61B8C"/>
    <w:rsid w:val="00F629F5"/>
    <w:rsid w:val="00F63D33"/>
    <w:rsid w:val="00F64B40"/>
    <w:rsid w:val="00F7190B"/>
    <w:rsid w:val="00F7278E"/>
    <w:rsid w:val="00F77C44"/>
    <w:rsid w:val="00F80D81"/>
    <w:rsid w:val="00F85B44"/>
    <w:rsid w:val="00F91C39"/>
    <w:rsid w:val="00F95214"/>
    <w:rsid w:val="00F96736"/>
    <w:rsid w:val="00FA28B8"/>
    <w:rsid w:val="00FA34B0"/>
    <w:rsid w:val="00FB0DFC"/>
    <w:rsid w:val="00FB1019"/>
    <w:rsid w:val="00FB1CB4"/>
    <w:rsid w:val="00FB30EB"/>
    <w:rsid w:val="00FB5949"/>
    <w:rsid w:val="00FB6BA3"/>
    <w:rsid w:val="00FC3003"/>
    <w:rsid w:val="00FC366A"/>
    <w:rsid w:val="00FC6A46"/>
    <w:rsid w:val="00FD01D1"/>
    <w:rsid w:val="00FE198F"/>
    <w:rsid w:val="00FE3CB1"/>
    <w:rsid w:val="00FF4841"/>
    <w:rsid w:val="00FF5148"/>
    <w:rsid w:val="00FF52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BD48D-469F-41EB-AD16-0F53FC6A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DCF"/>
    <w:pPr>
      <w:tabs>
        <w:tab w:val="left" w:pos="794"/>
        <w:tab w:val="left" w:pos="1191"/>
        <w:tab w:val="left" w:pos="1588"/>
        <w:tab w:val="left" w:pos="1985"/>
      </w:tabs>
      <w:overflowPunct w:val="0"/>
      <w:autoSpaceDE w:val="0"/>
      <w:autoSpaceDN w:val="0"/>
      <w:adjustRightInd w:val="0"/>
      <w:spacing w:before="120" w:after="0" w:line="240" w:lineRule="auto"/>
      <w:ind w:left="720"/>
      <w:contextualSpacing/>
      <w:textAlignment w:val="baseline"/>
    </w:pPr>
    <w:rPr>
      <w:rFonts w:ascii="Times New Roman" w:eastAsia="Times New Roman" w:hAnsi="Times New Roman" w:cs="Times New Roman"/>
      <w:sz w:val="24"/>
      <w:szCs w:val="20"/>
      <w:lang w:val="en-GB" w:eastAsia="en-US"/>
    </w:rPr>
  </w:style>
  <w:style w:type="paragraph" w:customStyle="1" w:styleId="Title1">
    <w:name w:val="Title 1"/>
    <w:basedOn w:val="Normal"/>
    <w:next w:val="Normal"/>
    <w:rsid w:val="00054958"/>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caps/>
      <w:sz w:val="28"/>
      <w:szCs w:val="20"/>
      <w:lang w:val="en-GB" w:eastAsia="en-US"/>
    </w:rPr>
  </w:style>
  <w:style w:type="character" w:styleId="Hyperlink">
    <w:name w:val="Hyperlink"/>
    <w:rsid w:val="000027F1"/>
    <w:rPr>
      <w:color w:val="0000FF"/>
      <w:u w:val="single"/>
    </w:rPr>
  </w:style>
  <w:style w:type="paragraph" w:styleId="PlainText">
    <w:name w:val="Plain Text"/>
    <w:basedOn w:val="Normal"/>
    <w:link w:val="PlainTextChar"/>
    <w:uiPriority w:val="99"/>
    <w:semiHidden/>
    <w:unhideWhenUsed/>
    <w:rsid w:val="001041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04195"/>
    <w:rPr>
      <w:rFonts w:ascii="Calibri" w:hAnsi="Calibri"/>
      <w:szCs w:val="21"/>
    </w:rPr>
  </w:style>
  <w:style w:type="paragraph" w:styleId="BalloonText">
    <w:name w:val="Balloon Text"/>
    <w:basedOn w:val="Normal"/>
    <w:link w:val="BalloonTextChar"/>
    <w:uiPriority w:val="99"/>
    <w:semiHidden/>
    <w:unhideWhenUsed/>
    <w:rsid w:val="002A6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258"/>
    <w:rPr>
      <w:rFonts w:ascii="Segoe UI" w:hAnsi="Segoe UI" w:cs="Segoe UI"/>
      <w:sz w:val="18"/>
      <w:szCs w:val="18"/>
    </w:rPr>
  </w:style>
  <w:style w:type="paragraph" w:styleId="Header">
    <w:name w:val="header"/>
    <w:basedOn w:val="Normal"/>
    <w:link w:val="HeaderChar"/>
    <w:uiPriority w:val="99"/>
    <w:unhideWhenUsed/>
    <w:rsid w:val="008B4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85E"/>
  </w:style>
  <w:style w:type="paragraph" w:styleId="Footer">
    <w:name w:val="footer"/>
    <w:basedOn w:val="Normal"/>
    <w:link w:val="FooterChar"/>
    <w:uiPriority w:val="99"/>
    <w:unhideWhenUsed/>
    <w:rsid w:val="008B4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85E"/>
  </w:style>
  <w:style w:type="character" w:styleId="CommentReference">
    <w:name w:val="annotation reference"/>
    <w:basedOn w:val="DefaultParagraphFont"/>
    <w:uiPriority w:val="99"/>
    <w:semiHidden/>
    <w:unhideWhenUsed/>
    <w:rsid w:val="00CB2A7D"/>
    <w:rPr>
      <w:sz w:val="16"/>
      <w:szCs w:val="16"/>
    </w:rPr>
  </w:style>
  <w:style w:type="paragraph" w:styleId="CommentText">
    <w:name w:val="annotation text"/>
    <w:basedOn w:val="Normal"/>
    <w:link w:val="CommentTextChar"/>
    <w:uiPriority w:val="99"/>
    <w:semiHidden/>
    <w:unhideWhenUsed/>
    <w:rsid w:val="00CB2A7D"/>
    <w:pPr>
      <w:spacing w:line="240" w:lineRule="auto"/>
    </w:pPr>
    <w:rPr>
      <w:sz w:val="20"/>
      <w:szCs w:val="20"/>
    </w:rPr>
  </w:style>
  <w:style w:type="character" w:customStyle="1" w:styleId="CommentTextChar">
    <w:name w:val="Comment Text Char"/>
    <w:basedOn w:val="DefaultParagraphFont"/>
    <w:link w:val="CommentText"/>
    <w:uiPriority w:val="99"/>
    <w:semiHidden/>
    <w:rsid w:val="00CB2A7D"/>
    <w:rPr>
      <w:sz w:val="20"/>
      <w:szCs w:val="20"/>
    </w:rPr>
  </w:style>
  <w:style w:type="paragraph" w:styleId="CommentSubject">
    <w:name w:val="annotation subject"/>
    <w:basedOn w:val="CommentText"/>
    <w:next w:val="CommentText"/>
    <w:link w:val="CommentSubjectChar"/>
    <w:uiPriority w:val="99"/>
    <w:semiHidden/>
    <w:unhideWhenUsed/>
    <w:rsid w:val="00CB2A7D"/>
    <w:rPr>
      <w:b/>
      <w:bCs/>
    </w:rPr>
  </w:style>
  <w:style w:type="character" w:customStyle="1" w:styleId="CommentSubjectChar">
    <w:name w:val="Comment Subject Char"/>
    <w:basedOn w:val="CommentTextChar"/>
    <w:link w:val="CommentSubject"/>
    <w:uiPriority w:val="99"/>
    <w:semiHidden/>
    <w:rsid w:val="00CB2A7D"/>
    <w:rPr>
      <w:b/>
      <w:bCs/>
      <w:sz w:val="20"/>
      <w:szCs w:val="20"/>
    </w:rPr>
  </w:style>
  <w:style w:type="character" w:styleId="FollowedHyperlink">
    <w:name w:val="FollowedHyperlink"/>
    <w:basedOn w:val="DefaultParagraphFont"/>
    <w:uiPriority w:val="99"/>
    <w:semiHidden/>
    <w:unhideWhenUsed/>
    <w:rsid w:val="00E4749F"/>
    <w:rPr>
      <w:color w:val="954F72" w:themeColor="followedHyperlink"/>
      <w:u w:val="single"/>
    </w:rPr>
  </w:style>
  <w:style w:type="paragraph" w:styleId="FootnoteText">
    <w:name w:val="footnote text"/>
    <w:basedOn w:val="Normal"/>
    <w:link w:val="FootnoteTextChar"/>
    <w:uiPriority w:val="99"/>
    <w:semiHidden/>
    <w:unhideWhenUsed/>
    <w:rsid w:val="00C855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594"/>
    <w:rPr>
      <w:sz w:val="20"/>
      <w:szCs w:val="20"/>
    </w:rPr>
  </w:style>
  <w:style w:type="character" w:styleId="FootnoteReference">
    <w:name w:val="footnote reference"/>
    <w:basedOn w:val="DefaultParagraphFont"/>
    <w:uiPriority w:val="99"/>
    <w:semiHidden/>
    <w:unhideWhenUsed/>
    <w:rsid w:val="00C85594"/>
    <w:rPr>
      <w:vertAlign w:val="superscript"/>
    </w:rPr>
  </w:style>
  <w:style w:type="paragraph" w:styleId="Revision">
    <w:name w:val="Revision"/>
    <w:hidden/>
    <w:uiPriority w:val="99"/>
    <w:semiHidden/>
    <w:rsid w:val="003D5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38619">
      <w:bodyDiv w:val="1"/>
      <w:marLeft w:val="0"/>
      <w:marRight w:val="0"/>
      <w:marTop w:val="0"/>
      <w:marBottom w:val="0"/>
      <w:divBdr>
        <w:top w:val="none" w:sz="0" w:space="0" w:color="auto"/>
        <w:left w:val="none" w:sz="0" w:space="0" w:color="auto"/>
        <w:bottom w:val="none" w:sz="0" w:space="0" w:color="auto"/>
        <w:right w:val="none" w:sz="0" w:space="0" w:color="auto"/>
      </w:divBdr>
    </w:div>
    <w:div w:id="544102094">
      <w:bodyDiv w:val="1"/>
      <w:marLeft w:val="0"/>
      <w:marRight w:val="0"/>
      <w:marTop w:val="0"/>
      <w:marBottom w:val="0"/>
      <w:divBdr>
        <w:top w:val="none" w:sz="0" w:space="0" w:color="auto"/>
        <w:left w:val="none" w:sz="0" w:space="0" w:color="auto"/>
        <w:bottom w:val="none" w:sz="0" w:space="0" w:color="auto"/>
        <w:right w:val="none" w:sz="0" w:space="0" w:color="auto"/>
      </w:divBdr>
    </w:div>
    <w:div w:id="583074297">
      <w:bodyDiv w:val="1"/>
      <w:marLeft w:val="0"/>
      <w:marRight w:val="0"/>
      <w:marTop w:val="0"/>
      <w:marBottom w:val="0"/>
      <w:divBdr>
        <w:top w:val="none" w:sz="0" w:space="0" w:color="auto"/>
        <w:left w:val="none" w:sz="0" w:space="0" w:color="auto"/>
        <w:bottom w:val="none" w:sz="0" w:space="0" w:color="auto"/>
        <w:right w:val="none" w:sz="0" w:space="0" w:color="auto"/>
      </w:divBdr>
    </w:div>
    <w:div w:id="705058979">
      <w:bodyDiv w:val="1"/>
      <w:marLeft w:val="0"/>
      <w:marRight w:val="0"/>
      <w:marTop w:val="0"/>
      <w:marBottom w:val="0"/>
      <w:divBdr>
        <w:top w:val="none" w:sz="0" w:space="0" w:color="auto"/>
        <w:left w:val="none" w:sz="0" w:space="0" w:color="auto"/>
        <w:bottom w:val="none" w:sz="0" w:space="0" w:color="auto"/>
        <w:right w:val="none" w:sz="0" w:space="0" w:color="auto"/>
      </w:divBdr>
    </w:div>
    <w:div w:id="1210335368">
      <w:bodyDiv w:val="1"/>
      <w:marLeft w:val="0"/>
      <w:marRight w:val="0"/>
      <w:marTop w:val="0"/>
      <w:marBottom w:val="0"/>
      <w:divBdr>
        <w:top w:val="none" w:sz="0" w:space="0" w:color="auto"/>
        <w:left w:val="none" w:sz="0" w:space="0" w:color="auto"/>
        <w:bottom w:val="none" w:sz="0" w:space="0" w:color="auto"/>
        <w:right w:val="none" w:sz="0" w:space="0" w:color="auto"/>
      </w:divBdr>
    </w:div>
    <w:div w:id="1315647388">
      <w:bodyDiv w:val="1"/>
      <w:marLeft w:val="0"/>
      <w:marRight w:val="0"/>
      <w:marTop w:val="0"/>
      <w:marBottom w:val="0"/>
      <w:divBdr>
        <w:top w:val="none" w:sz="0" w:space="0" w:color="auto"/>
        <w:left w:val="none" w:sz="0" w:space="0" w:color="auto"/>
        <w:bottom w:val="none" w:sz="0" w:space="0" w:color="auto"/>
        <w:right w:val="none" w:sz="0" w:space="0" w:color="auto"/>
      </w:divBdr>
    </w:div>
    <w:div w:id="1395085617">
      <w:bodyDiv w:val="1"/>
      <w:marLeft w:val="0"/>
      <w:marRight w:val="0"/>
      <w:marTop w:val="0"/>
      <w:marBottom w:val="0"/>
      <w:divBdr>
        <w:top w:val="none" w:sz="0" w:space="0" w:color="auto"/>
        <w:left w:val="none" w:sz="0" w:space="0" w:color="auto"/>
        <w:bottom w:val="none" w:sz="0" w:space="0" w:color="auto"/>
        <w:right w:val="none" w:sz="0" w:space="0" w:color="auto"/>
      </w:divBdr>
    </w:div>
    <w:div w:id="1405182634">
      <w:bodyDiv w:val="1"/>
      <w:marLeft w:val="0"/>
      <w:marRight w:val="0"/>
      <w:marTop w:val="0"/>
      <w:marBottom w:val="0"/>
      <w:divBdr>
        <w:top w:val="none" w:sz="0" w:space="0" w:color="auto"/>
        <w:left w:val="none" w:sz="0" w:space="0" w:color="auto"/>
        <w:bottom w:val="none" w:sz="0" w:space="0" w:color="auto"/>
        <w:right w:val="none" w:sz="0" w:space="0" w:color="auto"/>
      </w:divBdr>
    </w:div>
    <w:div w:id="1801654101">
      <w:bodyDiv w:val="1"/>
      <w:marLeft w:val="0"/>
      <w:marRight w:val="0"/>
      <w:marTop w:val="0"/>
      <w:marBottom w:val="0"/>
      <w:divBdr>
        <w:top w:val="none" w:sz="0" w:space="0" w:color="auto"/>
        <w:left w:val="none" w:sz="0" w:space="0" w:color="auto"/>
        <w:bottom w:val="none" w:sz="0" w:space="0" w:color="auto"/>
        <w:right w:val="none" w:sz="0" w:space="0" w:color="auto"/>
      </w:divBdr>
    </w:div>
    <w:div w:id="1935476267">
      <w:bodyDiv w:val="1"/>
      <w:marLeft w:val="0"/>
      <w:marRight w:val="0"/>
      <w:marTop w:val="0"/>
      <w:marBottom w:val="0"/>
      <w:divBdr>
        <w:top w:val="none" w:sz="0" w:space="0" w:color="auto"/>
        <w:left w:val="none" w:sz="0" w:space="0" w:color="auto"/>
        <w:bottom w:val="none" w:sz="0" w:space="0" w:color="auto"/>
        <w:right w:val="none" w:sz="0" w:space="0" w:color="auto"/>
      </w:divBdr>
    </w:div>
    <w:div w:id="20111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EGITR4-C-0001/en" TargetMode="External"/><Relationship Id="rId13" Type="http://schemas.openxmlformats.org/officeDocument/2006/relationships/hyperlink" Target="https://www.itu.int/pub/S-CONF-WCIT-2012/en" TargetMode="External"/><Relationship Id="rId18" Type="http://schemas.openxmlformats.org/officeDocument/2006/relationships/hyperlink" Target="https://www.itu.int/md/meetingdoc.asp?lang=en&amp;parent=S18-CLEGITR4-C-000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tu.int/md/meetingdoc.asp?lang=en&amp;parent=S18-CLEGITR4-C-0007" TargetMode="External"/><Relationship Id="rId7" Type="http://schemas.openxmlformats.org/officeDocument/2006/relationships/image" Target="media/image1.png"/><Relationship Id="rId12" Type="http://schemas.openxmlformats.org/officeDocument/2006/relationships/hyperlink" Target="https://www.itu.int/en/wcit-12/Documents/final-acts-wcit-12.pdf" TargetMode="External"/><Relationship Id="rId17" Type="http://schemas.openxmlformats.org/officeDocument/2006/relationships/hyperlink" Target="https://www.itu.int/md/meetingdoc.asp?lang=en&amp;parent=S18-CLEGITR4-180412-TD-000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18-CL-C-0092/en" TargetMode="External"/><Relationship Id="rId20" Type="http://schemas.openxmlformats.org/officeDocument/2006/relationships/hyperlink" Target="https://www.itu.int/md/meetingdoc.asp?lang=en&amp;parent=S18-CLEGITR4-C-00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S18-CLEGITR4-C-0006" TargetMode="External"/><Relationship Id="rId24" Type="http://schemas.openxmlformats.org/officeDocument/2006/relationships/hyperlink" Target="https://www.itu.int/md/S18-CLEGITRREP-C-0001/en" TargetMode="External"/><Relationship Id="rId5" Type="http://schemas.openxmlformats.org/officeDocument/2006/relationships/footnotes" Target="footnotes.xml"/><Relationship Id="rId15" Type="http://schemas.openxmlformats.org/officeDocument/2006/relationships/hyperlink" Target="https://www.itu.int/md/meetingdoc.asp?lang=en&amp;parent=S18-CLEGITR4-C-0008" TargetMode="External"/><Relationship Id="rId23" Type="http://schemas.openxmlformats.org/officeDocument/2006/relationships/hyperlink" Target="https://www.itu.int/md/S18-CL-C-0092/en" TargetMode="External"/><Relationship Id="rId10" Type="http://schemas.openxmlformats.org/officeDocument/2006/relationships/hyperlink" Target="https://www.itu.int/md/meetingdoc.asp?lang=en&amp;parent=S18-CLEGITR4-C-0002" TargetMode="External"/><Relationship Id="rId19" Type="http://schemas.openxmlformats.org/officeDocument/2006/relationships/hyperlink" Target="https://www.itu.int/md/meetingdoc.asp?lang=en&amp;parent=S18-CLEGITR4-C-0006" TargetMode="External"/><Relationship Id="rId4" Type="http://schemas.openxmlformats.org/officeDocument/2006/relationships/webSettings" Target="webSettings.xml"/><Relationship Id="rId9" Type="http://schemas.openxmlformats.org/officeDocument/2006/relationships/hyperlink" Target="https://www.itu.int/md/S18-CLEGITR4-INF-0002/en" TargetMode="External"/><Relationship Id="rId14" Type="http://schemas.openxmlformats.org/officeDocument/2006/relationships/hyperlink" Target="https://www.itu.int/md/meetingdoc.asp?lang=en&amp;parent=S18-CLEGITR4-C-0007" TargetMode="External"/><Relationship Id="rId22" Type="http://schemas.openxmlformats.org/officeDocument/2006/relationships/hyperlink" Target="https://www.itu.int/md/meetingdoc.asp?lang=en&amp;parent=S18-CLEGITR4-C-000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2241</Words>
  <Characters>12774</Characters>
  <Application>Microsoft Office Word</Application>
  <DocSecurity>0</DocSecurity>
  <Lines>106</Lines>
  <Paragraphs>29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Final report of the EG-ITRs</vt:lpstr>
      <vt:lpstr>Final report of the EG-ITRs</vt:lpstr>
      <vt:lpstr>Final report of the EG-ITRs</vt:lpstr>
    </vt:vector>
  </TitlesOfParts>
  <Company>ITU</Company>
  <LinksUpToDate>false</LinksUpToDate>
  <CharactersWithSpaces>14986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the EG-ITRs</dc:title>
  <dc:subject>Meeting document</dc:subject>
  <dc:creator>Brouard, Ricarda</dc:creator>
  <cp:keywords>EG-ITRs</cp:keywords>
  <dc:description/>
  <cp:lastModifiedBy>Janin</cp:lastModifiedBy>
  <cp:revision>3</cp:revision>
  <dcterms:created xsi:type="dcterms:W3CDTF">2018-04-16T08:55:00Z</dcterms:created>
  <dcterms:modified xsi:type="dcterms:W3CDTF">2018-04-16T08:58:00Z</dcterms:modified>
</cp:coreProperties>
</file>