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D83FA5">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D83FA5">
        <w:trPr>
          <w:cantSplit/>
          <w:trHeight w:val="68"/>
        </w:trPr>
        <w:tc>
          <w:tcPr>
            <w:tcW w:w="6620" w:type="dxa"/>
            <w:tcBorders>
              <w:bottom w:val="single" w:sz="12" w:space="0" w:color="auto"/>
            </w:tcBorders>
          </w:tcPr>
          <w:p w:rsidR="00950A5B" w:rsidRPr="00950A5B" w:rsidRDefault="00950A5B" w:rsidP="00F417F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w:t>
            </w:r>
            <w:r w:rsidR="00F417F8">
              <w:rPr>
                <w:rFonts w:eastAsiaTheme="minorEastAsia" w:hint="cs"/>
                <w:b/>
                <w:bCs/>
                <w:sz w:val="24"/>
                <w:szCs w:val="32"/>
                <w:rtl/>
                <w:lang w:eastAsia="zh-CN"/>
              </w:rPr>
              <w:t>رابع</w:t>
            </w:r>
            <w:r w:rsidRPr="00950A5B">
              <w:rPr>
                <w:rFonts w:eastAsiaTheme="minorEastAsia" w:hint="cs"/>
                <w:b/>
                <w:bCs/>
                <w:sz w:val="24"/>
                <w:szCs w:val="32"/>
                <w:rtl/>
                <w:lang w:eastAsia="zh-CN" w:bidi="ar-EG"/>
              </w:rPr>
              <w:t xml:space="preserve"> - جنيف، </w:t>
            </w:r>
            <w:r w:rsidR="009B4F68">
              <w:rPr>
                <w:rFonts w:eastAsiaTheme="minorEastAsia"/>
                <w:b/>
                <w:bCs/>
                <w:sz w:val="24"/>
                <w:szCs w:val="32"/>
                <w:lang w:eastAsia="zh-CN" w:bidi="ar-EG"/>
              </w:rPr>
              <w:t>1</w:t>
            </w:r>
            <w:r w:rsidR="00F417F8">
              <w:rPr>
                <w:rFonts w:eastAsiaTheme="minorEastAsia"/>
                <w:b/>
                <w:bCs/>
                <w:sz w:val="24"/>
                <w:szCs w:val="32"/>
                <w:lang w:eastAsia="zh-CN" w:bidi="ar-EG"/>
              </w:rPr>
              <w:t>3</w:t>
            </w:r>
            <w:r w:rsidR="009B4F68">
              <w:rPr>
                <w:rFonts w:eastAsiaTheme="minorEastAsia"/>
                <w:b/>
                <w:bCs/>
                <w:sz w:val="24"/>
                <w:szCs w:val="32"/>
                <w:lang w:eastAsia="zh-CN" w:bidi="ar-EG"/>
              </w:rPr>
              <w:t>-1</w:t>
            </w:r>
            <w:r w:rsidR="00F417F8">
              <w:rPr>
                <w:rFonts w:eastAsiaTheme="minorEastAsia"/>
                <w:b/>
                <w:bCs/>
                <w:sz w:val="24"/>
                <w:szCs w:val="32"/>
                <w:lang w:eastAsia="zh-CN" w:bidi="ar-EG"/>
              </w:rPr>
              <w:t>2</w:t>
            </w:r>
            <w:r w:rsidRPr="00950A5B">
              <w:rPr>
                <w:rFonts w:eastAsiaTheme="minorEastAsia" w:hint="cs"/>
                <w:b/>
                <w:bCs/>
                <w:sz w:val="24"/>
                <w:szCs w:val="32"/>
                <w:rtl/>
                <w:lang w:eastAsia="zh-CN" w:bidi="ar-EG"/>
              </w:rPr>
              <w:t xml:space="preserve"> </w:t>
            </w:r>
            <w:r w:rsidR="00F417F8">
              <w:rPr>
                <w:rFonts w:eastAsiaTheme="minorEastAsia" w:hint="cs"/>
                <w:b/>
                <w:bCs/>
                <w:sz w:val="24"/>
                <w:szCs w:val="32"/>
                <w:rtl/>
                <w:lang w:eastAsia="zh-CN" w:bidi="ar-EG"/>
              </w:rPr>
              <w:t>أبريل</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D83FA5">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D83FA5">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950A5B" w:rsidRPr="00950A5B" w:rsidRDefault="00950A5B" w:rsidP="004F33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الوثيقة</w:t>
            </w:r>
            <w:r w:rsidR="004F3365">
              <w:rPr>
                <w:rFonts w:eastAsiaTheme="minorEastAsia" w:hint="eastAsia"/>
                <w:b/>
                <w:bCs/>
                <w:rtl/>
                <w:lang w:eastAsia="zh-CN" w:bidi="ar-EG"/>
              </w:rPr>
              <w:t> </w:t>
            </w:r>
            <w:r w:rsidRPr="00950A5B">
              <w:rPr>
                <w:rFonts w:eastAsiaTheme="minorEastAsia"/>
                <w:b/>
                <w:bCs/>
                <w:lang w:eastAsia="zh-CN" w:bidi="ar-SY"/>
              </w:rPr>
              <w:t>EG-ITR-</w:t>
            </w:r>
            <w:r w:rsidR="00F417F8">
              <w:rPr>
                <w:rFonts w:eastAsiaTheme="minorEastAsia"/>
                <w:b/>
                <w:bCs/>
                <w:lang w:eastAsia="zh-CN" w:bidi="ar-SY"/>
              </w:rPr>
              <w:t>4</w:t>
            </w:r>
            <w:r w:rsidRPr="00950A5B">
              <w:rPr>
                <w:rFonts w:eastAsiaTheme="minorEastAsia"/>
                <w:b/>
                <w:bCs/>
                <w:lang w:eastAsia="zh-CN" w:bidi="ar-SY"/>
              </w:rPr>
              <w:t>/</w:t>
            </w:r>
            <w:r w:rsidR="009B7905">
              <w:rPr>
                <w:rFonts w:eastAsiaTheme="minorEastAsia"/>
                <w:b/>
                <w:bCs/>
                <w:lang w:eastAsia="zh-CN" w:bidi="ar-SY"/>
              </w:rPr>
              <w:t>6</w:t>
            </w:r>
            <w:r w:rsidRPr="00950A5B">
              <w:rPr>
                <w:rFonts w:eastAsiaTheme="minorEastAsia"/>
                <w:b/>
                <w:bCs/>
                <w:lang w:eastAsia="zh-CN" w:bidi="ar-SY"/>
              </w:rPr>
              <w:t>-A</w:t>
            </w:r>
          </w:p>
        </w:tc>
      </w:tr>
      <w:tr w:rsidR="00950A5B" w:rsidRPr="00950A5B" w:rsidTr="00D83FA5">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F417F8" w:rsidRDefault="009B7905" w:rsidP="00F417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22</w:t>
            </w:r>
            <w:r w:rsidR="00950A5B" w:rsidRPr="00F417F8">
              <w:rPr>
                <w:rFonts w:eastAsiaTheme="minorEastAsia" w:hint="cs"/>
                <w:b/>
                <w:bCs/>
                <w:rtl/>
                <w:lang w:eastAsia="zh-CN" w:bidi="ar-EG"/>
              </w:rPr>
              <w:t xml:space="preserve"> </w:t>
            </w:r>
            <w:r w:rsidR="00F417F8" w:rsidRPr="00F417F8">
              <w:rPr>
                <w:rFonts w:eastAsiaTheme="minorEastAsia" w:hint="cs"/>
                <w:b/>
                <w:bCs/>
                <w:rtl/>
                <w:lang w:eastAsia="zh-CN" w:bidi="ar-EG"/>
              </w:rPr>
              <w:t>مارس</w:t>
            </w:r>
            <w:r w:rsidR="00950A5B" w:rsidRPr="00F417F8">
              <w:rPr>
                <w:rFonts w:eastAsiaTheme="minorEastAsia" w:hint="cs"/>
                <w:b/>
                <w:bCs/>
                <w:rtl/>
                <w:lang w:eastAsia="zh-CN" w:bidi="ar-EG"/>
              </w:rPr>
              <w:t xml:space="preserve"> </w:t>
            </w:r>
            <w:r w:rsidR="00950A5B" w:rsidRPr="00F417F8">
              <w:rPr>
                <w:rFonts w:eastAsiaTheme="minorEastAsia"/>
                <w:b/>
                <w:bCs/>
                <w:lang w:eastAsia="zh-CN" w:bidi="ar-SY"/>
              </w:rPr>
              <w:t>201</w:t>
            </w:r>
            <w:r w:rsidR="00955F61" w:rsidRPr="00F417F8">
              <w:rPr>
                <w:rFonts w:eastAsiaTheme="minorEastAsia"/>
                <w:b/>
                <w:bCs/>
                <w:lang w:eastAsia="zh-CN" w:bidi="ar-SY"/>
              </w:rPr>
              <w:t>8</w:t>
            </w:r>
          </w:p>
        </w:tc>
      </w:tr>
      <w:tr w:rsidR="00950A5B" w:rsidRPr="00950A5B" w:rsidTr="00D83FA5">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F417F8" w:rsidRDefault="00950A5B" w:rsidP="004F336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F417F8">
              <w:rPr>
                <w:rFonts w:eastAsiaTheme="minorEastAsia"/>
                <w:b/>
                <w:bCs/>
                <w:rtl/>
                <w:lang w:eastAsia="zh-CN" w:bidi="ar-EG"/>
              </w:rPr>
              <w:t xml:space="preserve">الأصل: </w:t>
            </w:r>
            <w:r w:rsidRPr="00F417F8">
              <w:rPr>
                <w:rFonts w:eastAsiaTheme="minorEastAsia" w:hint="cs"/>
                <w:b/>
                <w:bCs/>
                <w:rtl/>
                <w:lang w:eastAsia="zh-CN" w:bidi="ar-EG"/>
              </w:rPr>
              <w:t>بالإنكليزية</w:t>
            </w:r>
            <w:r w:rsidR="004F3365" w:rsidRPr="004F3365">
              <w:rPr>
                <w:rFonts w:eastAsiaTheme="minorEastAsia" w:hint="cs"/>
                <w:b/>
                <w:bCs/>
                <w:rtl/>
                <w:lang w:eastAsia="zh-CN" w:bidi="ar-EG"/>
              </w:rPr>
              <w:t>/</w:t>
            </w:r>
            <w:r w:rsidR="00736B88">
              <w:rPr>
                <w:rFonts w:eastAsiaTheme="minorEastAsia" w:hint="cs"/>
                <w:b/>
                <w:bCs/>
                <w:rtl/>
                <w:lang w:eastAsia="zh-CN" w:bidi="ar-EG"/>
              </w:rPr>
              <w:t>ب</w:t>
            </w:r>
            <w:r w:rsidR="009B7905">
              <w:rPr>
                <w:rFonts w:eastAsiaTheme="minorEastAsia" w:hint="cs"/>
                <w:b/>
                <w:bCs/>
                <w:rtl/>
                <w:lang w:eastAsia="zh-CN" w:bidi="ar-EG"/>
              </w:rPr>
              <w:t>الروسية</w:t>
            </w:r>
          </w:p>
        </w:tc>
      </w:tr>
      <w:tr w:rsidR="00950A5B" w:rsidRPr="00950A5B" w:rsidTr="00D83FA5">
        <w:trPr>
          <w:cantSplit/>
        </w:trPr>
        <w:tc>
          <w:tcPr>
            <w:tcW w:w="9672" w:type="dxa"/>
            <w:gridSpan w:val="2"/>
          </w:tcPr>
          <w:p w:rsidR="00950A5B" w:rsidRPr="00950A5B" w:rsidRDefault="009B7905" w:rsidP="00050006">
            <w:pPr>
              <w:pStyle w:val="Source"/>
              <w:rPr>
                <w:rFonts w:eastAsiaTheme="minorEastAsia"/>
                <w:rtl/>
                <w:lang w:eastAsia="zh-CN"/>
              </w:rPr>
            </w:pPr>
            <w:r>
              <w:rPr>
                <w:rFonts w:eastAsiaTheme="minorEastAsia" w:hint="cs"/>
                <w:rtl/>
                <w:lang w:eastAsia="zh-CN" w:bidi="ar-SA"/>
              </w:rPr>
              <w:t>الاتحاد الروسي</w:t>
            </w:r>
          </w:p>
        </w:tc>
      </w:tr>
      <w:tr w:rsidR="00950A5B" w:rsidRPr="00950A5B" w:rsidTr="00D83FA5">
        <w:trPr>
          <w:cantSplit/>
        </w:trPr>
        <w:tc>
          <w:tcPr>
            <w:tcW w:w="9672" w:type="dxa"/>
            <w:gridSpan w:val="2"/>
          </w:tcPr>
          <w:p w:rsidR="00950A5B" w:rsidRPr="00950A5B" w:rsidRDefault="009B7905" w:rsidP="004F3365">
            <w:pPr>
              <w:pStyle w:val="Title1"/>
              <w:rPr>
                <w:rFonts w:eastAsiaTheme="minorEastAsia"/>
                <w:rtl/>
                <w:lang w:eastAsia="zh-CN"/>
              </w:rPr>
            </w:pPr>
            <w:r>
              <w:rPr>
                <w:rFonts w:eastAsiaTheme="minorEastAsia" w:hint="cs"/>
                <w:rtl/>
                <w:lang w:eastAsia="zh-CN"/>
              </w:rPr>
              <w:t>مقترحات لتوضيح</w:t>
            </w:r>
            <w:r>
              <w:rPr>
                <w:rFonts w:eastAsiaTheme="minorEastAsia"/>
                <w:rtl/>
                <w:lang w:eastAsia="zh-CN" w:bidi="ar-SA"/>
              </w:rPr>
              <w:t xml:space="preserve"> </w:t>
            </w:r>
            <w:r w:rsidR="00050006" w:rsidRPr="00D83FA5">
              <w:rPr>
                <w:rFonts w:eastAsiaTheme="minorEastAsia"/>
                <w:rtl/>
                <w:lang w:eastAsia="zh-CN" w:bidi="ar-SA"/>
              </w:rPr>
              <w:t>لوائح الاتصالات الدولية</w:t>
            </w:r>
            <w:r>
              <w:rPr>
                <w:rFonts w:eastAsiaTheme="minorEastAsia" w:hint="cs"/>
                <w:rtl/>
                <w:lang w:eastAsia="zh-CN" w:bidi="ar-SA"/>
              </w:rPr>
              <w:t xml:space="preserve"> المنشورة (نسخة </w:t>
            </w:r>
            <w:r>
              <w:rPr>
                <w:rFonts w:eastAsiaTheme="minorEastAsia"/>
                <w:lang w:eastAsia="zh-CN" w:bidi="ar-SA"/>
              </w:rPr>
              <w:t>2012</w:t>
            </w:r>
            <w:r w:rsidR="009D6257">
              <w:rPr>
                <w:rFonts w:eastAsiaTheme="minorEastAsia" w:hint="cs"/>
                <w:rtl/>
                <w:lang w:eastAsia="zh-CN" w:bidi="ar-SA"/>
              </w:rPr>
              <w:t xml:space="preserve">) </w:t>
            </w:r>
            <w:r w:rsidR="00890EE4">
              <w:rPr>
                <w:rFonts w:eastAsiaTheme="minorEastAsia" w:hint="cs"/>
                <w:rtl/>
                <w:lang w:eastAsia="zh-CN" w:bidi="ar-SA"/>
              </w:rPr>
              <w:t>ل</w:t>
            </w:r>
            <w:r>
              <w:rPr>
                <w:rFonts w:eastAsiaTheme="minorEastAsia" w:hint="cs"/>
                <w:rtl/>
                <w:lang w:eastAsia="zh-CN" w:bidi="ar-SA"/>
              </w:rPr>
              <w:t>كي</w:t>
            </w:r>
            <w:r w:rsidR="004F3365">
              <w:rPr>
                <w:rFonts w:eastAsiaTheme="minorEastAsia" w:hint="eastAsia"/>
                <w:rtl/>
                <w:lang w:eastAsia="zh-CN" w:bidi="ar-SA"/>
              </w:rPr>
              <w:t> </w:t>
            </w:r>
            <w:r>
              <w:rPr>
                <w:rFonts w:eastAsiaTheme="minorEastAsia" w:hint="cs"/>
                <w:rtl/>
                <w:lang w:eastAsia="zh-CN" w:bidi="ar-SA"/>
              </w:rPr>
              <w:t>تستخدمها الدول الأعضاء وهيئات تشغيل الاتصالات</w:t>
            </w:r>
          </w:p>
        </w:tc>
      </w:tr>
      <w:tr w:rsidR="00955F61" w:rsidRPr="00950A5B" w:rsidTr="00D83FA5">
        <w:trPr>
          <w:cantSplit/>
        </w:trPr>
        <w:tc>
          <w:tcPr>
            <w:tcW w:w="9672" w:type="dxa"/>
            <w:gridSpan w:val="2"/>
          </w:tcPr>
          <w:p w:rsidR="00955F61" w:rsidRPr="00950A5B" w:rsidRDefault="00955F61" w:rsidP="00955F61">
            <w:pPr>
              <w:rPr>
                <w:rFonts w:eastAsiaTheme="minorEastAsia"/>
                <w:rtl/>
                <w:lang w:eastAsia="zh-CN"/>
              </w:rPr>
            </w:pPr>
          </w:p>
        </w:tc>
      </w:tr>
    </w:tbl>
    <w:p w:rsidR="008B5B5D" w:rsidRPr="009010C3" w:rsidRDefault="009D6257" w:rsidP="009010C3">
      <w:pPr>
        <w:rPr>
          <w:b/>
          <w:spacing w:val="-6"/>
          <w:rtl/>
        </w:rPr>
      </w:pPr>
      <w:r w:rsidRPr="009010C3">
        <w:rPr>
          <w:rFonts w:hint="cs"/>
          <w:rtl/>
        </w:rPr>
        <w:t>يمتثل معظم مشغلي الاتصالات الروس للوائح الاتصالات الدولية (نسخة</w:t>
      </w:r>
      <w:r w:rsidR="009010C3" w:rsidRPr="009010C3">
        <w:rPr>
          <w:rFonts w:hint="cs"/>
          <w:b/>
          <w:rtl/>
        </w:rPr>
        <w:t xml:space="preserve"> </w:t>
      </w:r>
      <w:r w:rsidRPr="009010C3">
        <w:t>2012</w:t>
      </w:r>
      <w:r w:rsidRPr="009010C3">
        <w:rPr>
          <w:rFonts w:hint="cs"/>
          <w:rtl/>
        </w:rPr>
        <w:t>)</w:t>
      </w:r>
      <w:r w:rsidR="009010C3" w:rsidRPr="009010C3">
        <w:rPr>
          <w:rFonts w:hint="cs"/>
          <w:rtl/>
        </w:rPr>
        <w:t xml:space="preserve"> </w:t>
      </w:r>
      <w:r w:rsidRPr="009010C3">
        <w:rPr>
          <w:rFonts w:hint="cs"/>
          <w:rtl/>
        </w:rPr>
        <w:t xml:space="preserve">عند إبرام </w:t>
      </w:r>
      <w:r w:rsidR="00890EE4" w:rsidRPr="009010C3">
        <w:rPr>
          <w:rFonts w:hint="cs"/>
          <w:rtl/>
        </w:rPr>
        <w:t>ال</w:t>
      </w:r>
      <w:r w:rsidRPr="009010C3">
        <w:rPr>
          <w:rFonts w:hint="cs"/>
          <w:rtl/>
        </w:rPr>
        <w:t xml:space="preserve">عقود </w:t>
      </w:r>
      <w:r w:rsidR="00890EE4" w:rsidRPr="009010C3">
        <w:rPr>
          <w:rFonts w:hint="cs"/>
          <w:rtl/>
        </w:rPr>
        <w:t>ال</w:t>
      </w:r>
      <w:r w:rsidRPr="009010C3">
        <w:rPr>
          <w:rFonts w:hint="cs"/>
          <w:rtl/>
        </w:rPr>
        <w:t>تجارية وتسوية المنازعات بما</w:t>
      </w:r>
      <w:r w:rsidR="004F3365" w:rsidRPr="009010C3">
        <w:rPr>
          <w:rFonts w:hint="eastAsia"/>
          <w:b/>
          <w:rtl/>
        </w:rPr>
        <w:t> </w:t>
      </w:r>
      <w:r w:rsidRPr="009010C3">
        <w:rPr>
          <w:rFonts w:hint="cs"/>
          <w:rtl/>
        </w:rPr>
        <w:t>فيها المنازعات أمام</w:t>
      </w:r>
      <w:r w:rsidR="00AB5DB2" w:rsidRPr="009010C3">
        <w:rPr>
          <w:rFonts w:hint="cs"/>
          <w:rtl/>
        </w:rPr>
        <w:t xml:space="preserve"> المحاكم</w:t>
      </w:r>
      <w:r w:rsidRPr="009010C3">
        <w:rPr>
          <w:rFonts w:hint="cs"/>
          <w:rtl/>
        </w:rPr>
        <w:t xml:space="preserve"> واتخاذ إجراءات أخرى ذات صلة بالقانون. وفي الوقت ذاته، يستخد</w:t>
      </w:r>
      <w:bookmarkStart w:id="1" w:name="_GoBack"/>
      <w:bookmarkEnd w:id="1"/>
      <w:r w:rsidRPr="009010C3">
        <w:rPr>
          <w:rFonts w:hint="cs"/>
          <w:rtl/>
        </w:rPr>
        <w:t>م</w:t>
      </w:r>
      <w:r w:rsidR="00890EE4" w:rsidRPr="009010C3">
        <w:rPr>
          <w:rFonts w:hint="cs"/>
          <w:rtl/>
        </w:rPr>
        <w:t xml:space="preserve"> عدد من المشغلين الروس</w:t>
      </w:r>
      <w:r w:rsidR="007B1EB9" w:rsidRPr="009010C3">
        <w:rPr>
          <w:rFonts w:hint="cs"/>
          <w:rtl/>
        </w:rPr>
        <w:t xml:space="preserve"> </w:t>
      </w:r>
      <w:r w:rsidR="00AB5DB2" w:rsidRPr="009010C3">
        <w:rPr>
          <w:rFonts w:hint="cs"/>
          <w:rtl/>
        </w:rPr>
        <w:t>هذه</w:t>
      </w:r>
      <w:r w:rsidR="004F3365" w:rsidRPr="009010C3">
        <w:rPr>
          <w:rFonts w:hint="eastAsia"/>
          <w:b/>
          <w:rtl/>
        </w:rPr>
        <w:t> </w:t>
      </w:r>
      <w:r w:rsidR="007B1EB9" w:rsidRPr="009010C3">
        <w:rPr>
          <w:rFonts w:hint="cs"/>
          <w:rtl/>
        </w:rPr>
        <w:t xml:space="preserve">اللوائح </w:t>
      </w:r>
      <w:r w:rsidR="00AB5DB2" w:rsidRPr="009010C3">
        <w:rPr>
          <w:rFonts w:hint="cs"/>
          <w:rtl/>
        </w:rPr>
        <w:t xml:space="preserve">بصيغتها </w:t>
      </w:r>
      <w:r w:rsidR="007B1EB9" w:rsidRPr="009010C3">
        <w:rPr>
          <w:rFonts w:hint="cs"/>
          <w:rtl/>
        </w:rPr>
        <w:t xml:space="preserve">المراجَعة في </w:t>
      </w:r>
      <w:r w:rsidR="007B1EB9" w:rsidRPr="009010C3">
        <w:t>2012</w:t>
      </w:r>
      <w:r w:rsidR="007B1EB9" w:rsidRPr="009010C3">
        <w:rPr>
          <w:rFonts w:hint="cs"/>
          <w:rtl/>
        </w:rPr>
        <w:t>، في دبي، المنشورة في الموقع الإلكتروني للاتحاد في العنوان:</w:t>
      </w:r>
      <w:r w:rsidR="007B1EB9" w:rsidRPr="009010C3">
        <w:rPr>
          <w:rFonts w:hint="cs"/>
          <w:spacing w:val="-4"/>
          <w:rtl/>
        </w:rPr>
        <w:t xml:space="preserve"> </w:t>
      </w:r>
      <w:hyperlink r:id="rId11" w:history="1">
        <w:r w:rsidR="009010C3" w:rsidRPr="00C066CE">
          <w:rPr>
            <w:rStyle w:val="Hyperlink"/>
            <w:bCs/>
            <w:spacing w:val="-4"/>
          </w:rPr>
          <w:t>https://www.itu.int/en/</w:t>
        </w:r>
        <w:r w:rsidR="009010C3" w:rsidRPr="00C066CE">
          <w:rPr>
            <w:rStyle w:val="Hyperlink"/>
            <w:bCs/>
            <w:spacing w:val="-4"/>
            <w:sz w:val="2"/>
            <w:szCs w:val="2"/>
          </w:rPr>
          <w:t xml:space="preserve"> </w:t>
        </w:r>
        <w:r w:rsidR="009010C3" w:rsidRPr="00C066CE">
          <w:rPr>
            <w:rStyle w:val="Hyperlink"/>
            <w:bCs/>
            <w:spacing w:val="-4"/>
          </w:rPr>
          <w:t>wcit</w:t>
        </w:r>
        <w:r w:rsidR="009010C3" w:rsidRPr="00C066CE">
          <w:rPr>
            <w:rStyle w:val="Hyperlink"/>
            <w:bCs/>
            <w:spacing w:val="-4"/>
          </w:rPr>
          <w:noBreakHyphen/>
          <w:t>12/Documents/final-acts-wcit-12.pdf</w:t>
        </w:r>
      </w:hyperlink>
      <w:r w:rsidR="007B1EB9" w:rsidRPr="009010C3">
        <w:rPr>
          <w:rFonts w:hint="cs"/>
          <w:spacing w:val="-4"/>
          <w:rtl/>
        </w:rPr>
        <w:t xml:space="preserve">، وتمتثل شركات أخرى للوائح </w:t>
      </w:r>
      <w:r w:rsidR="007B1EB9" w:rsidRPr="009010C3">
        <w:rPr>
          <w:spacing w:val="-4"/>
        </w:rPr>
        <w:t>2012</w:t>
      </w:r>
      <w:r w:rsidR="007B1EB9" w:rsidRPr="009010C3">
        <w:rPr>
          <w:rFonts w:hint="cs"/>
          <w:spacing w:val="-4"/>
          <w:rtl/>
        </w:rPr>
        <w:t xml:space="preserve"> المنشورة في</w:t>
      </w:r>
      <w:r w:rsidR="004F3365" w:rsidRPr="009010C3">
        <w:rPr>
          <w:rFonts w:hint="cs"/>
          <w:b/>
          <w:spacing w:val="-4"/>
          <w:rtl/>
        </w:rPr>
        <w:t> </w:t>
      </w:r>
      <w:r w:rsidR="007B1EB9" w:rsidRPr="009010C3">
        <w:rPr>
          <w:rFonts w:hint="cs"/>
          <w:spacing w:val="-4"/>
          <w:rtl/>
        </w:rPr>
        <w:t xml:space="preserve">الموقع </w:t>
      </w:r>
      <w:r w:rsidR="007B1EB9" w:rsidRPr="009010C3">
        <w:rPr>
          <w:rFonts w:hint="cs"/>
          <w:spacing w:val="-6"/>
          <w:rtl/>
        </w:rPr>
        <w:t xml:space="preserve">الإلكتروني للاتحاد </w:t>
      </w:r>
      <w:r w:rsidR="00AB5DB2" w:rsidRPr="009010C3">
        <w:rPr>
          <w:rFonts w:hint="cs"/>
          <w:spacing w:val="-6"/>
          <w:rtl/>
        </w:rPr>
        <w:t>على</w:t>
      </w:r>
      <w:r w:rsidR="007B1EB9" w:rsidRPr="009010C3">
        <w:rPr>
          <w:rFonts w:hint="cs"/>
          <w:spacing w:val="-6"/>
          <w:rtl/>
        </w:rPr>
        <w:t xml:space="preserve"> صفحة منشورات الاتحاد في العنوان: </w:t>
      </w:r>
      <w:hyperlink r:id="rId12" w:history="1">
        <w:r w:rsidR="007B1EB9" w:rsidRPr="009010C3">
          <w:rPr>
            <w:rStyle w:val="Hyperlink"/>
            <w:bCs/>
            <w:spacing w:val="-6"/>
          </w:rPr>
          <w:t>https://www.itu.int/pub/S-CONF-WCIT-2012/en</w:t>
        </w:r>
      </w:hyperlink>
      <w:r w:rsidR="007B1EB9" w:rsidRPr="009010C3">
        <w:rPr>
          <w:rFonts w:hint="cs"/>
          <w:spacing w:val="-6"/>
          <w:rtl/>
        </w:rPr>
        <w:t xml:space="preserve">. وفي </w:t>
      </w:r>
      <w:r w:rsidR="00890EE4" w:rsidRPr="009010C3">
        <w:rPr>
          <w:rFonts w:hint="cs"/>
          <w:spacing w:val="-6"/>
          <w:rtl/>
        </w:rPr>
        <w:t>هذه الحالة</w:t>
      </w:r>
      <w:r w:rsidR="007B1EB9" w:rsidRPr="009010C3">
        <w:rPr>
          <w:rFonts w:hint="cs"/>
          <w:spacing w:val="-6"/>
          <w:rtl/>
        </w:rPr>
        <w:t xml:space="preserve">، </w:t>
      </w:r>
      <w:r w:rsidR="00AB5DB2" w:rsidRPr="009010C3">
        <w:rPr>
          <w:rFonts w:hint="cs"/>
          <w:spacing w:val="-6"/>
          <w:rtl/>
        </w:rPr>
        <w:t>يكون التسجيل/الترخيص ضرورياً ل</w:t>
      </w:r>
      <w:r w:rsidR="007B1EB9" w:rsidRPr="009010C3">
        <w:rPr>
          <w:rFonts w:hint="cs"/>
          <w:spacing w:val="-6"/>
          <w:rtl/>
        </w:rPr>
        <w:t xml:space="preserve">تنزيل </w:t>
      </w:r>
      <w:r w:rsidR="00AB5DB2" w:rsidRPr="009010C3">
        <w:rPr>
          <w:rFonts w:hint="cs"/>
          <w:spacing w:val="-6"/>
          <w:rtl/>
        </w:rPr>
        <w:t>الوثيقة.</w:t>
      </w:r>
    </w:p>
    <w:p w:rsidR="000675CE" w:rsidRDefault="00AB5DB2" w:rsidP="004F3365">
      <w:pPr>
        <w:rPr>
          <w:b/>
          <w:bCs/>
          <w:rtl/>
        </w:rPr>
      </w:pPr>
      <w:r>
        <w:rPr>
          <w:rFonts w:hint="cs"/>
          <w:rtl/>
        </w:rPr>
        <w:t xml:space="preserve">وأخذاً في الاعتبار أن لوائح الاتصالات الدولية هي الوثيقة الدولية الملزِمة قانوناً </w:t>
      </w:r>
      <w:r w:rsidR="00890EE4">
        <w:rPr>
          <w:rFonts w:hint="cs"/>
          <w:rtl/>
        </w:rPr>
        <w:t>و</w:t>
      </w:r>
      <w:r w:rsidR="000675CE">
        <w:rPr>
          <w:rFonts w:hint="cs"/>
          <w:rtl/>
        </w:rPr>
        <w:t>الناظمة للعلاقات الدولية في</w:t>
      </w:r>
      <w:r w:rsidR="004F3365">
        <w:rPr>
          <w:rFonts w:hint="eastAsia"/>
          <w:rtl/>
        </w:rPr>
        <w:t> </w:t>
      </w:r>
      <w:r w:rsidR="000675CE">
        <w:rPr>
          <w:rFonts w:hint="cs"/>
          <w:rtl/>
        </w:rPr>
        <w:t xml:space="preserve">مجال الاتصالات/تكنولوجيا المعلومات والاتصالات، </w:t>
      </w:r>
      <w:r w:rsidR="00890EE4">
        <w:rPr>
          <w:rFonts w:hint="cs"/>
          <w:rtl/>
        </w:rPr>
        <w:t>فإن</w:t>
      </w:r>
      <w:r w:rsidR="000675CE">
        <w:rPr>
          <w:rFonts w:hint="cs"/>
          <w:rtl/>
        </w:rPr>
        <w:t xml:space="preserve"> استخدام نُسخ مختلفة لنفس المعاهدة (مع ترقيم مختلف للمواد) يؤدي</w:t>
      </w:r>
      <w:r w:rsidR="004F3365">
        <w:rPr>
          <w:rFonts w:hint="eastAsia"/>
          <w:rtl/>
        </w:rPr>
        <w:t> </w:t>
      </w:r>
      <w:r w:rsidR="000675CE">
        <w:rPr>
          <w:rFonts w:hint="cs"/>
          <w:rtl/>
        </w:rPr>
        <w:t>إلى اصطدامات قانونية ويعقِّد بشكل كبير النظر في المنازعات بين مشغلي الاتصالات وتسويتها.</w:t>
      </w:r>
    </w:p>
    <w:p w:rsidR="00AB5DB2" w:rsidRDefault="000675CE" w:rsidP="004F3365">
      <w:pPr>
        <w:rPr>
          <w:rtl/>
        </w:rPr>
      </w:pPr>
      <w:r>
        <w:rPr>
          <w:rFonts w:hint="cs"/>
          <w:rtl/>
        </w:rPr>
        <w:t>وفي هذا الصدد، نطلب من المستش</w:t>
      </w:r>
      <w:r w:rsidR="00890EE4">
        <w:rPr>
          <w:rFonts w:hint="cs"/>
          <w:rtl/>
        </w:rPr>
        <w:t>ار القانوني توضيح أيّ</w:t>
      </w:r>
      <w:r>
        <w:rPr>
          <w:rFonts w:hint="cs"/>
          <w:rtl/>
        </w:rPr>
        <w:t xml:space="preserve"> نسخ لوائح</w:t>
      </w:r>
      <w:r w:rsidR="004F3365">
        <w:rPr>
          <w:rFonts w:hint="eastAsia"/>
          <w:rtl/>
        </w:rPr>
        <w:t> </w:t>
      </w:r>
      <w:r>
        <w:t>2012</w:t>
      </w:r>
      <w:r>
        <w:rPr>
          <w:rFonts w:hint="cs"/>
          <w:rtl/>
        </w:rPr>
        <w:t xml:space="preserve"> ينبغي أن يستخدمها مشغلو الاتصالات عند اتخاذ إجراءاتهم ذات الصلة بالقانون. ونطلب أيضاً من الأمين العام للاتحاد توجيه رسالة معممة إلى الدول الأعضاء وأعضاء القطاعات والجمهور العام تتضمن المعلومات المتعلقة بهذه المسألة ونشر هذه المعلومات في الموقع الإلكتروني للاتحاد </w:t>
      </w:r>
      <w:r w:rsidR="00890EE4">
        <w:rPr>
          <w:rFonts w:hint="cs"/>
          <w:rtl/>
        </w:rPr>
        <w:t>مع إتاحة نفاذ الجمهور إلى النسخة النهائية للوائح</w:t>
      </w:r>
      <w:r w:rsidR="004F3365">
        <w:rPr>
          <w:rFonts w:hint="eastAsia"/>
          <w:rtl/>
        </w:rPr>
        <w:t> </w:t>
      </w:r>
      <w:r w:rsidR="00890EE4">
        <w:t>2012</w:t>
      </w:r>
      <w:r w:rsidR="00890EE4">
        <w:rPr>
          <w:rFonts w:hint="cs"/>
          <w:rtl/>
        </w:rPr>
        <w:t xml:space="preserve"> دون</w:t>
      </w:r>
      <w:r w:rsidR="004F3365">
        <w:rPr>
          <w:rFonts w:hint="cs"/>
          <w:rtl/>
        </w:rPr>
        <w:t xml:space="preserve"> الحاجة إلى أيّ تسجيل أو ترخيص.</w:t>
      </w:r>
    </w:p>
    <w:p w:rsidR="004F3365" w:rsidRPr="00890EE4" w:rsidRDefault="004F3365" w:rsidP="004F3365">
      <w:pPr>
        <w:spacing w:before="600"/>
        <w:jc w:val="center"/>
        <w:rPr>
          <w:b/>
          <w:bCs/>
          <w:rtl/>
        </w:rPr>
      </w:pPr>
      <w:r>
        <w:rPr>
          <w:rFonts w:hint="cs"/>
          <w:rtl/>
        </w:rPr>
        <w:t>___________</w:t>
      </w:r>
    </w:p>
    <w:sectPr w:rsidR="004F3365" w:rsidRPr="00890EE4"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A5" w:rsidRDefault="00D83FA5" w:rsidP="00E07379">
      <w:pPr>
        <w:spacing w:before="0" w:line="240" w:lineRule="auto"/>
      </w:pPr>
      <w:r>
        <w:separator/>
      </w:r>
    </w:p>
  </w:endnote>
  <w:endnote w:type="continuationSeparator" w:id="0">
    <w:p w:rsidR="00D83FA5" w:rsidRDefault="00D83FA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A5" w:rsidRPr="00665956" w:rsidRDefault="000C4EE0" w:rsidP="001F3AB3">
    <w:pPr>
      <w:pStyle w:val="Footer"/>
      <w:tabs>
        <w:tab w:val="clear" w:pos="5812"/>
        <w:tab w:val="right" w:pos="5670"/>
      </w:tabs>
    </w:pPr>
    <w:fldSimple w:instr=" FILENAME \p \* MERGEFORMAT ">
      <w:r w:rsidR="00D83FA5">
        <w:rPr>
          <w:noProof/>
        </w:rPr>
        <w:t>P:\TRAD\A\SG\CONSEIL\EG-ITR\EG-ITR-4\000\003A(Montage).docx</w:t>
      </w:r>
    </w:fldSimple>
    <w:r w:rsidR="00D83FA5" w:rsidRPr="00665956">
      <w:t xml:space="preserve">   (</w:t>
    </w:r>
    <w:r w:rsidR="00D83FA5">
      <w:t>433883</w:t>
    </w:r>
    <w:r w:rsidR="00D83FA5" w:rsidRPr="00665956">
      <w:t>)</w:t>
    </w:r>
    <w:r w:rsidR="00D83FA5" w:rsidRPr="00665956">
      <w:tab/>
    </w:r>
    <w:r w:rsidR="00D83FA5" w:rsidRPr="00665956">
      <w:fldChar w:fldCharType="begin"/>
    </w:r>
    <w:r w:rsidR="00D83FA5" w:rsidRPr="00665956">
      <w:instrText xml:space="preserve"> savedate \@ dd.MM.yy </w:instrText>
    </w:r>
    <w:r w:rsidR="00D83FA5" w:rsidRPr="00665956">
      <w:fldChar w:fldCharType="separate"/>
    </w:r>
    <w:r w:rsidR="00736B88">
      <w:rPr>
        <w:noProof/>
      </w:rPr>
      <w:t>06.04.18</w:t>
    </w:r>
    <w:r w:rsidR="00D83FA5" w:rsidRPr="00665956">
      <w:fldChar w:fldCharType="end"/>
    </w:r>
    <w:r w:rsidR="00D83FA5" w:rsidRPr="00665956">
      <w:tab/>
    </w:r>
    <w:r w:rsidR="00D83FA5" w:rsidRPr="00665956">
      <w:fldChar w:fldCharType="begin"/>
    </w:r>
    <w:r w:rsidR="00D83FA5" w:rsidRPr="00665956">
      <w:instrText xml:space="preserve"> printdate \@ dd.MM.yy </w:instrText>
    </w:r>
    <w:r w:rsidR="00D83FA5" w:rsidRPr="00665956">
      <w:fldChar w:fldCharType="separate"/>
    </w:r>
    <w:r w:rsidR="00D83FA5">
      <w:rPr>
        <w:noProof/>
      </w:rPr>
      <w:t>07.06.16</w:t>
    </w:r>
    <w:r w:rsidR="00D83FA5"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A5" w:rsidRPr="00950A5B" w:rsidRDefault="00D83FA5"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D83FA5" w:rsidRDefault="00D83FA5" w:rsidP="000E4FF0">
    <w:pPr>
      <w:pStyle w:val="Footer"/>
      <w:tabs>
        <w:tab w:val="center" w:pos="5529"/>
      </w:tabs>
      <w:rPr>
        <w:rFonts w:cs="Calibri"/>
        <w:lang w:val="fr-FR"/>
      </w:rPr>
    </w:pPr>
  </w:p>
  <w:p w:rsidR="00D83FA5" w:rsidRPr="00476123" w:rsidRDefault="00D83FA5" w:rsidP="004F3365">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4F3365">
      <w:rPr>
        <w:rFonts w:cs="Calibri"/>
        <w:noProof/>
        <w:lang w:val="fr-FR"/>
      </w:rPr>
      <w:t>P:\ARA\SG\CONSEIL\EG-ITR\EG-ITR-4\000\006A.docx</w:t>
    </w:r>
    <w:r w:rsidRPr="00476123">
      <w:rPr>
        <w:rFonts w:cs="Calibri"/>
      </w:rPr>
      <w:fldChar w:fldCharType="end"/>
    </w:r>
    <w:r w:rsidRPr="004F3365">
      <w:rPr>
        <w:rFonts w:cs="Calibri"/>
        <w:lang w:val="fr-FR"/>
      </w:rPr>
      <w:t xml:space="preserve">  </w:t>
    </w:r>
    <w:r w:rsidRPr="00476123">
      <w:rPr>
        <w:rFonts w:cs="Calibri"/>
        <w:lang w:val="fr-FR"/>
      </w:rPr>
      <w:t xml:space="preserve"> (</w:t>
    </w:r>
    <w:r w:rsidR="004F3365">
      <w:rPr>
        <w:rFonts w:cs="Calibri" w:hint="cs"/>
        <w:rtl/>
        <w:lang w:val="fr-FR"/>
      </w:rPr>
      <w:t>433961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736B88">
      <w:rPr>
        <w:rFonts w:cs="Calibri"/>
        <w:noProof/>
        <w:lang w:val="fr-FR"/>
      </w:rPr>
      <w:t>06.04.18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A5" w:rsidRDefault="00D83FA5" w:rsidP="00E07379">
      <w:pPr>
        <w:spacing w:before="0" w:line="240" w:lineRule="auto"/>
      </w:pPr>
      <w:r>
        <w:separator/>
      </w:r>
    </w:p>
  </w:footnote>
  <w:footnote w:type="continuationSeparator" w:id="0">
    <w:p w:rsidR="00D83FA5" w:rsidRDefault="00D83FA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A5" w:rsidRPr="000E4FF0" w:rsidRDefault="009010C3"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D83FA5" w:rsidRPr="000E4FF0">
          <w:rPr>
            <w:rFonts w:eastAsiaTheme="minorEastAsia" w:cs="Calibri"/>
            <w:sz w:val="20"/>
            <w:szCs w:val="20"/>
            <w:lang w:eastAsia="zh-CN"/>
          </w:rPr>
          <w:fldChar w:fldCharType="begin"/>
        </w:r>
        <w:r w:rsidR="00D83FA5" w:rsidRPr="000E4FF0">
          <w:rPr>
            <w:rFonts w:eastAsiaTheme="minorEastAsia" w:cs="Calibri"/>
            <w:sz w:val="20"/>
            <w:szCs w:val="20"/>
            <w:lang w:eastAsia="zh-CN"/>
          </w:rPr>
          <w:instrText xml:space="preserve"> PAGE   \* MERGEFORMAT </w:instrText>
        </w:r>
        <w:r w:rsidR="00D83FA5" w:rsidRPr="000E4FF0">
          <w:rPr>
            <w:rFonts w:eastAsiaTheme="minorEastAsia" w:cs="Calibri"/>
            <w:sz w:val="20"/>
            <w:szCs w:val="20"/>
            <w:lang w:eastAsia="zh-CN"/>
          </w:rPr>
          <w:fldChar w:fldCharType="separate"/>
        </w:r>
        <w:r w:rsidR="009B7905" w:rsidRPr="009B7905">
          <w:rPr>
            <w:rFonts w:eastAsiaTheme="minorEastAsia" w:cs="Calibri"/>
            <w:noProof/>
            <w:sz w:val="20"/>
            <w:szCs w:val="20"/>
            <w:rtl/>
            <w:lang w:eastAsia="zh-CN"/>
          </w:rPr>
          <w:t>24</w:t>
        </w:r>
        <w:r w:rsidR="00D83FA5"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F8"/>
    <w:rsid w:val="00003DF6"/>
    <w:rsid w:val="000124CC"/>
    <w:rsid w:val="00041F8B"/>
    <w:rsid w:val="00046444"/>
    <w:rsid w:val="00050006"/>
    <w:rsid w:val="0006023B"/>
    <w:rsid w:val="000675CE"/>
    <w:rsid w:val="0008638B"/>
    <w:rsid w:val="00090574"/>
    <w:rsid w:val="00092FC2"/>
    <w:rsid w:val="000A1677"/>
    <w:rsid w:val="000B407F"/>
    <w:rsid w:val="000B612C"/>
    <w:rsid w:val="000C13C2"/>
    <w:rsid w:val="000C4EE0"/>
    <w:rsid w:val="000D4C64"/>
    <w:rsid w:val="000E4FF0"/>
    <w:rsid w:val="000F0B1C"/>
    <w:rsid w:val="000F1D42"/>
    <w:rsid w:val="000F4D07"/>
    <w:rsid w:val="00102A03"/>
    <w:rsid w:val="001040A3"/>
    <w:rsid w:val="00150D11"/>
    <w:rsid w:val="00173915"/>
    <w:rsid w:val="001F3AB3"/>
    <w:rsid w:val="0022345D"/>
    <w:rsid w:val="00225854"/>
    <w:rsid w:val="0023283D"/>
    <w:rsid w:val="00252E0C"/>
    <w:rsid w:val="00276881"/>
    <w:rsid w:val="002916BE"/>
    <w:rsid w:val="002978F4"/>
    <w:rsid w:val="002B028D"/>
    <w:rsid w:val="002B435E"/>
    <w:rsid w:val="002B4EDF"/>
    <w:rsid w:val="002C4DAE"/>
    <w:rsid w:val="002D6669"/>
    <w:rsid w:val="002E2522"/>
    <w:rsid w:val="002E6541"/>
    <w:rsid w:val="002F5560"/>
    <w:rsid w:val="0030486B"/>
    <w:rsid w:val="003231B9"/>
    <w:rsid w:val="003275AC"/>
    <w:rsid w:val="00332725"/>
    <w:rsid w:val="00333D29"/>
    <w:rsid w:val="003409F4"/>
    <w:rsid w:val="00357185"/>
    <w:rsid w:val="003C106D"/>
    <w:rsid w:val="003C475F"/>
    <w:rsid w:val="003E4132"/>
    <w:rsid w:val="003F678F"/>
    <w:rsid w:val="0042686F"/>
    <w:rsid w:val="004367CE"/>
    <w:rsid w:val="00443869"/>
    <w:rsid w:val="004712C6"/>
    <w:rsid w:val="00476123"/>
    <w:rsid w:val="00497703"/>
    <w:rsid w:val="004F0F06"/>
    <w:rsid w:val="004F3365"/>
    <w:rsid w:val="00501330"/>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B1A28"/>
    <w:rsid w:val="006C1556"/>
    <w:rsid w:val="006D747A"/>
    <w:rsid w:val="006F125C"/>
    <w:rsid w:val="006F267F"/>
    <w:rsid w:val="006F5632"/>
    <w:rsid w:val="006F63F7"/>
    <w:rsid w:val="006F6F03"/>
    <w:rsid w:val="00706D7A"/>
    <w:rsid w:val="00726AEC"/>
    <w:rsid w:val="00736B88"/>
    <w:rsid w:val="007530CA"/>
    <w:rsid w:val="00760E68"/>
    <w:rsid w:val="007805E4"/>
    <w:rsid w:val="0079553D"/>
    <w:rsid w:val="007B01CC"/>
    <w:rsid w:val="007B1EB9"/>
    <w:rsid w:val="007D4F32"/>
    <w:rsid w:val="007E7C6C"/>
    <w:rsid w:val="007F6238"/>
    <w:rsid w:val="007F646C"/>
    <w:rsid w:val="00801FCD"/>
    <w:rsid w:val="00803D7E"/>
    <w:rsid w:val="00803F08"/>
    <w:rsid w:val="008235CD"/>
    <w:rsid w:val="00823A07"/>
    <w:rsid w:val="00835FEC"/>
    <w:rsid w:val="008513CB"/>
    <w:rsid w:val="00874D9C"/>
    <w:rsid w:val="00890EE4"/>
    <w:rsid w:val="008A1810"/>
    <w:rsid w:val="008B5B5D"/>
    <w:rsid w:val="008D43A6"/>
    <w:rsid w:val="009010C3"/>
    <w:rsid w:val="00917694"/>
    <w:rsid w:val="009263CD"/>
    <w:rsid w:val="00930E6D"/>
    <w:rsid w:val="00950A5B"/>
    <w:rsid w:val="00955F61"/>
    <w:rsid w:val="00972CA2"/>
    <w:rsid w:val="00982B28"/>
    <w:rsid w:val="00984EA5"/>
    <w:rsid w:val="00992593"/>
    <w:rsid w:val="009B4F68"/>
    <w:rsid w:val="009B7905"/>
    <w:rsid w:val="009C17E1"/>
    <w:rsid w:val="009C35ED"/>
    <w:rsid w:val="009D6257"/>
    <w:rsid w:val="009F1C12"/>
    <w:rsid w:val="00A124CB"/>
    <w:rsid w:val="00A2167A"/>
    <w:rsid w:val="00A25A43"/>
    <w:rsid w:val="00A3295B"/>
    <w:rsid w:val="00A42AE5"/>
    <w:rsid w:val="00A52B61"/>
    <w:rsid w:val="00A64820"/>
    <w:rsid w:val="00A71DD6"/>
    <w:rsid w:val="00A723C7"/>
    <w:rsid w:val="00A80E11"/>
    <w:rsid w:val="00A97F94"/>
    <w:rsid w:val="00AB1309"/>
    <w:rsid w:val="00AB5DB2"/>
    <w:rsid w:val="00AB7EFE"/>
    <w:rsid w:val="00AC2C52"/>
    <w:rsid w:val="00AD1503"/>
    <w:rsid w:val="00AE7244"/>
    <w:rsid w:val="00AF3FEE"/>
    <w:rsid w:val="00B02F46"/>
    <w:rsid w:val="00B2000C"/>
    <w:rsid w:val="00B20ADE"/>
    <w:rsid w:val="00B22DAE"/>
    <w:rsid w:val="00B23C4B"/>
    <w:rsid w:val="00B273A8"/>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83FA5"/>
    <w:rsid w:val="00DA1CF0"/>
    <w:rsid w:val="00DB2271"/>
    <w:rsid w:val="00DB5659"/>
    <w:rsid w:val="00DC16A3"/>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17F8"/>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90D8147-754F-461E-AD34-C4FAF563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725"/>
    <w:rPr>
      <w:color w:val="954F72" w:themeColor="followedHyperlink"/>
      <w:u w:val="single"/>
    </w:rPr>
  </w:style>
  <w:style w:type="paragraph" w:styleId="ListParagraph">
    <w:name w:val="List Paragraph"/>
    <w:basedOn w:val="Normal"/>
    <w:uiPriority w:val="34"/>
    <w:qFormat/>
    <w:rsid w:val="00332725"/>
    <w:pPr>
      <w:ind w:left="720"/>
      <w:contextualSpacing/>
    </w:pPr>
  </w:style>
  <w:style w:type="paragraph" w:customStyle="1" w:styleId="ArtNo">
    <w:name w:val="Art_No"/>
    <w:basedOn w:val="Normal"/>
    <w:next w:val="Normal"/>
    <w:qFormat/>
    <w:rsid w:val="00332725"/>
    <w:pPr>
      <w:tabs>
        <w:tab w:val="clear" w:pos="1134"/>
      </w:tabs>
      <w:overflowPunct w:val="0"/>
      <w:autoSpaceDE w:val="0"/>
      <w:autoSpaceDN w:val="0"/>
      <w:bidi w:val="0"/>
      <w:adjustRightInd w:val="0"/>
      <w:spacing w:before="360"/>
      <w:jc w:val="center"/>
    </w:pPr>
    <w:rPr>
      <w:caps/>
      <w:sz w:val="26"/>
      <w:szCs w:val="36"/>
      <w:lang w:val="en-GB"/>
    </w:rPr>
  </w:style>
  <w:style w:type="paragraph" w:customStyle="1" w:styleId="ArtTitle">
    <w:name w:val="Art_Title"/>
    <w:basedOn w:val="Normal"/>
    <w:qFormat/>
    <w:rsid w:val="00332725"/>
    <w:pPr>
      <w:keepNext/>
      <w:keepLines/>
      <w:tabs>
        <w:tab w:val="clear" w:pos="1134"/>
      </w:tabs>
      <w:overflowPunct w:val="0"/>
      <w:autoSpaceDE w:val="0"/>
      <w:autoSpaceDN w:val="0"/>
      <w:adjustRightInd w:val="0"/>
      <w:spacing w:after="240"/>
      <w:jc w:val="center"/>
    </w:pPr>
    <w:rPr>
      <w:b/>
      <w:bCs/>
      <w:sz w:val="26"/>
      <w:szCs w:val="36"/>
    </w:rPr>
  </w:style>
  <w:style w:type="paragraph" w:customStyle="1" w:styleId="Mormal">
    <w:name w:val="Mormal"/>
    <w:basedOn w:val="enumlev1"/>
    <w:rsid w:val="00332725"/>
    <w:pPr>
      <w:keepNext/>
      <w:keepLines/>
      <w:tabs>
        <w:tab w:val="clear" w:pos="1134"/>
        <w:tab w:val="left" w:pos="708"/>
        <w:tab w:val="left" w:pos="1871"/>
        <w:tab w:val="left" w:pos="2268"/>
      </w:tabs>
      <w:spacing w:before="0"/>
    </w:pPr>
    <w:rPr>
      <w:rFonts w:asciiTheme="minorHAnsi" w:hAnsiTheme="minorHAnsi"/>
      <w:lang w:bidi="ar-EG"/>
    </w:rPr>
  </w:style>
  <w:style w:type="character" w:customStyle="1" w:styleId="Artdef">
    <w:name w:val="Art_def"/>
    <w:basedOn w:val="DefaultParagraphFont"/>
    <w:rsid w:val="00332725"/>
    <w:rPr>
      <w:rFonts w:asciiTheme="minorHAnsi" w:hAnsiTheme="minorHAnsi" w:hint="default"/>
      <w:b/>
      <w:bCs w:val="0"/>
    </w:rPr>
  </w:style>
  <w:style w:type="character" w:customStyle="1" w:styleId="href">
    <w:name w:val="href"/>
    <w:basedOn w:val="DefaultParagraphFont"/>
    <w:uiPriority w:val="99"/>
    <w:rsid w:val="0033272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S-CONF-WCIT-2012/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20wcit12/Documents/final-acts-wcit-12.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de10a323-94a9-4e93-88b4-ea964576960d"/>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56B2E-08B8-40BC-89A0-626B2364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5</cp:revision>
  <cp:lastPrinted>2018-03-26T08:22:00Z</cp:lastPrinted>
  <dcterms:created xsi:type="dcterms:W3CDTF">2018-04-06T07:19:00Z</dcterms:created>
  <dcterms:modified xsi:type="dcterms:W3CDTF">2018-04-06T09:38:00Z</dcterms:modified>
  <cp:category>Conference document</cp:category>
</cp:coreProperties>
</file>