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64" w:rsidRDefault="00F25E64">
      <w:bookmarkStart w:id="0" w:name="_GoBack"/>
      <w:bookmarkEnd w:id="0"/>
    </w:p>
    <w:tbl>
      <w:tblPr>
        <w:tblpPr w:leftFromText="181" w:rightFromText="181" w:horzAnchor="margin" w:tblpY="1"/>
        <w:tblW w:w="10314" w:type="dxa"/>
        <w:tblLayout w:type="fixed"/>
        <w:tblLook w:val="0000" w:firstRow="0" w:lastRow="0" w:firstColumn="0" w:lastColumn="0" w:noHBand="0" w:noVBand="0"/>
      </w:tblPr>
      <w:tblGrid>
        <w:gridCol w:w="6521"/>
        <w:gridCol w:w="3793"/>
      </w:tblGrid>
      <w:tr w:rsidR="005F153A" w:rsidTr="00CE3AB1">
        <w:trPr>
          <w:cantSplit/>
        </w:trPr>
        <w:tc>
          <w:tcPr>
            <w:tcW w:w="6521" w:type="dxa"/>
          </w:tcPr>
          <w:p w:rsidR="004E5922" w:rsidRDefault="007B5254" w:rsidP="00CE3AB1">
            <w:pPr>
              <w:spacing w:before="240" w:after="48"/>
              <w:rPr>
                <w:rFonts w:asciiTheme="minorHAnsi" w:hAnsiTheme="minorHAnsi"/>
                <w:b/>
                <w:position w:val="6"/>
                <w:sz w:val="30"/>
                <w:szCs w:val="30"/>
              </w:rPr>
            </w:pPr>
            <w:bookmarkStart w:id="1" w:name="dc06"/>
            <w:bookmarkEnd w:id="1"/>
            <w:r>
              <w:rPr>
                <w:rFonts w:asciiTheme="minorHAnsi" w:hAnsiTheme="minorHAnsi"/>
                <w:b/>
                <w:position w:val="6"/>
                <w:sz w:val="30"/>
                <w:szCs w:val="30"/>
              </w:rPr>
              <w:t>Expert</w:t>
            </w:r>
            <w:r w:rsidR="000F2E67" w:rsidRPr="000F2E67">
              <w:rPr>
                <w:rFonts w:asciiTheme="minorHAnsi" w:hAnsiTheme="minorHAnsi"/>
                <w:b/>
                <w:position w:val="6"/>
                <w:sz w:val="30"/>
                <w:szCs w:val="30"/>
              </w:rPr>
              <w:t xml:space="preserve"> Group on </w:t>
            </w:r>
            <w:r>
              <w:rPr>
                <w:rFonts w:asciiTheme="minorHAnsi" w:hAnsiTheme="minorHAnsi"/>
                <w:b/>
                <w:position w:val="6"/>
                <w:sz w:val="30"/>
                <w:szCs w:val="30"/>
              </w:rPr>
              <w:t xml:space="preserve">the </w:t>
            </w:r>
            <w:r>
              <w:rPr>
                <w:rFonts w:asciiTheme="minorHAnsi" w:hAnsiTheme="minorHAnsi"/>
                <w:b/>
                <w:position w:val="6"/>
                <w:sz w:val="30"/>
                <w:szCs w:val="30"/>
              </w:rPr>
              <w:br/>
            </w:r>
            <w:r w:rsidR="001B506B">
              <w:rPr>
                <w:rFonts w:asciiTheme="minorHAnsi" w:hAnsiTheme="minorHAnsi"/>
                <w:b/>
                <w:position w:val="6"/>
                <w:sz w:val="30"/>
                <w:szCs w:val="30"/>
              </w:rPr>
              <w:t>International</w:t>
            </w:r>
            <w:r>
              <w:rPr>
                <w:rFonts w:asciiTheme="minorHAnsi" w:hAnsiTheme="minorHAnsi"/>
                <w:b/>
                <w:position w:val="6"/>
                <w:sz w:val="30"/>
                <w:szCs w:val="30"/>
              </w:rPr>
              <w:t xml:space="preserve"> Telecommunication Regulations</w:t>
            </w:r>
          </w:p>
          <w:p w:rsidR="005F153A" w:rsidRPr="00D613F6" w:rsidRDefault="00CE3AB1" w:rsidP="00CE3AB1">
            <w:pPr>
              <w:spacing w:after="120"/>
              <w:rPr>
                <w:rFonts w:asciiTheme="minorHAnsi" w:hAnsiTheme="minorHAnsi"/>
                <w:b/>
                <w:position w:val="6"/>
                <w:sz w:val="26"/>
                <w:szCs w:val="26"/>
              </w:rPr>
            </w:pPr>
            <w:r>
              <w:rPr>
                <w:rFonts w:asciiTheme="minorHAnsi" w:hAnsiTheme="minorHAnsi" w:cs="Times New Roman Bold"/>
                <w:b/>
                <w:sz w:val="24"/>
              </w:rPr>
              <w:t>F</w:t>
            </w:r>
            <w:r w:rsidR="00B6665B">
              <w:rPr>
                <w:rFonts w:asciiTheme="minorHAnsi" w:hAnsiTheme="minorHAnsi" w:cs="Times New Roman Bold"/>
                <w:b/>
                <w:sz w:val="24"/>
              </w:rPr>
              <w:t>ourth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B6665B">
              <w:rPr>
                <w:rFonts w:asciiTheme="minorHAnsi" w:hAnsiTheme="minorHAnsi" w:cs="Times New Roman Bold"/>
                <w:b/>
                <w:sz w:val="24"/>
              </w:rPr>
              <w:t>12 to 13 April 2</w:t>
            </w:r>
            <w:r w:rsidR="00DE6AB7">
              <w:rPr>
                <w:rFonts w:asciiTheme="minorHAnsi" w:hAnsiTheme="minorHAnsi" w:cs="Times New Roman Bold"/>
                <w:b/>
                <w:sz w:val="24"/>
              </w:rPr>
              <w:t>018</w:t>
            </w:r>
          </w:p>
        </w:tc>
        <w:tc>
          <w:tcPr>
            <w:tcW w:w="3793" w:type="dxa"/>
          </w:tcPr>
          <w:p w:rsidR="005F153A" w:rsidRPr="00D613F6" w:rsidRDefault="005F153A" w:rsidP="00CE3AB1">
            <w:pPr>
              <w:spacing w:before="120" w:line="240" w:lineRule="atLeast"/>
            </w:pPr>
            <w:bookmarkStart w:id="2" w:name="ditulogo"/>
            <w:bookmarkEnd w:id="2"/>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CE3AB1">
        <w:trPr>
          <w:cantSplit/>
        </w:trPr>
        <w:tc>
          <w:tcPr>
            <w:tcW w:w="6521" w:type="dxa"/>
            <w:tcBorders>
              <w:top w:val="single" w:sz="12" w:space="0" w:color="auto"/>
            </w:tcBorders>
          </w:tcPr>
          <w:p w:rsidR="005F153A" w:rsidRPr="00D613F6" w:rsidRDefault="005F153A" w:rsidP="00CE3AB1">
            <w:pPr>
              <w:snapToGrid w:val="0"/>
              <w:rPr>
                <w:b/>
                <w:smallCaps/>
              </w:rPr>
            </w:pPr>
          </w:p>
        </w:tc>
        <w:tc>
          <w:tcPr>
            <w:tcW w:w="3793" w:type="dxa"/>
            <w:tcBorders>
              <w:top w:val="single" w:sz="12" w:space="0" w:color="auto"/>
            </w:tcBorders>
          </w:tcPr>
          <w:p w:rsidR="005F153A" w:rsidRPr="00D613F6" w:rsidRDefault="005F153A" w:rsidP="00CE3AB1">
            <w:pPr>
              <w:snapToGrid w:val="0"/>
              <w:ind w:left="209"/>
              <w:rPr>
                <w:rFonts w:ascii="Verdana" w:hAnsi="Verdana"/>
              </w:rPr>
            </w:pPr>
          </w:p>
        </w:tc>
      </w:tr>
      <w:tr w:rsidR="005F153A" w:rsidRPr="001B506B" w:rsidTr="00CE3AB1">
        <w:trPr>
          <w:cantSplit/>
          <w:trHeight w:val="23"/>
        </w:trPr>
        <w:tc>
          <w:tcPr>
            <w:tcW w:w="6521" w:type="dxa"/>
            <w:vMerge w:val="restart"/>
          </w:tcPr>
          <w:p w:rsidR="005F153A" w:rsidRPr="00D613F6" w:rsidRDefault="005F153A" w:rsidP="00CE3AB1">
            <w:pPr>
              <w:snapToGrid w:val="0"/>
              <w:rPr>
                <w:rFonts w:asciiTheme="minorHAnsi" w:hAnsiTheme="minorHAnsi"/>
                <w:b/>
              </w:rPr>
            </w:pPr>
            <w:bookmarkStart w:id="3" w:name="dmeeting" w:colFirst="0" w:colLast="0"/>
            <w:bookmarkStart w:id="4" w:name="dnum" w:colFirst="1" w:colLast="1"/>
          </w:p>
        </w:tc>
        <w:tc>
          <w:tcPr>
            <w:tcW w:w="3793" w:type="dxa"/>
          </w:tcPr>
          <w:p w:rsidR="005F153A" w:rsidRPr="000F2E67" w:rsidRDefault="005F153A" w:rsidP="00CE3AB1">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7B5254">
              <w:rPr>
                <w:rFonts w:asciiTheme="minorHAnsi" w:hAnsiTheme="minorHAnsi" w:cs="Times New Roman Bold"/>
                <w:b/>
                <w:spacing w:val="-4"/>
                <w:sz w:val="24"/>
                <w:lang w:val="de-CH"/>
              </w:rPr>
              <w:t>EG-ITRs</w:t>
            </w:r>
            <w:r w:rsidR="00DE6AB7">
              <w:rPr>
                <w:rFonts w:asciiTheme="minorHAnsi" w:hAnsiTheme="minorHAnsi" w:cs="Times New Roman Bold"/>
                <w:b/>
                <w:spacing w:val="-4"/>
                <w:sz w:val="24"/>
                <w:lang w:val="de-CH"/>
              </w:rPr>
              <w:t>-</w:t>
            </w:r>
            <w:r w:rsidR="00CE3AB1">
              <w:rPr>
                <w:rFonts w:asciiTheme="minorHAnsi" w:hAnsiTheme="minorHAnsi" w:cs="Times New Roman Bold"/>
                <w:b/>
                <w:spacing w:val="-4"/>
                <w:sz w:val="24"/>
                <w:lang w:val="de-CH"/>
              </w:rPr>
              <w:t>4/2-E</w:t>
            </w:r>
          </w:p>
        </w:tc>
      </w:tr>
      <w:tr w:rsidR="005F153A" w:rsidRPr="00E544AC" w:rsidTr="00CE3AB1">
        <w:trPr>
          <w:cantSplit/>
          <w:trHeight w:val="23"/>
        </w:trPr>
        <w:tc>
          <w:tcPr>
            <w:tcW w:w="6521" w:type="dxa"/>
            <w:vMerge/>
          </w:tcPr>
          <w:p w:rsidR="005F153A" w:rsidRPr="00D613F6" w:rsidRDefault="005F153A" w:rsidP="00CE3AB1">
            <w:pPr>
              <w:snapToGrid w:val="0"/>
              <w:rPr>
                <w:rFonts w:asciiTheme="minorHAnsi" w:hAnsiTheme="minorHAnsi"/>
                <w:b/>
                <w:lang w:val="de-CH"/>
              </w:rPr>
            </w:pPr>
            <w:bookmarkStart w:id="5" w:name="ddate" w:colFirst="1" w:colLast="1"/>
            <w:bookmarkEnd w:id="3"/>
            <w:bookmarkEnd w:id="4"/>
          </w:p>
        </w:tc>
        <w:tc>
          <w:tcPr>
            <w:tcW w:w="3793" w:type="dxa"/>
          </w:tcPr>
          <w:p w:rsidR="005F153A" w:rsidRPr="000F2E67" w:rsidRDefault="00CE3AB1" w:rsidP="00CE3AB1">
            <w:pPr>
              <w:snapToGrid w:val="0"/>
              <w:ind w:left="57"/>
              <w:rPr>
                <w:rFonts w:asciiTheme="minorHAnsi" w:hAnsiTheme="minorHAnsi"/>
                <w:b/>
                <w:sz w:val="24"/>
              </w:rPr>
            </w:pPr>
            <w:r>
              <w:rPr>
                <w:rFonts w:asciiTheme="minorHAnsi" w:hAnsiTheme="minorHAnsi"/>
                <w:b/>
                <w:sz w:val="24"/>
              </w:rPr>
              <w:t>19</w:t>
            </w:r>
            <w:r w:rsidR="00FF4C4E">
              <w:rPr>
                <w:rFonts w:asciiTheme="minorHAnsi" w:hAnsiTheme="minorHAnsi"/>
                <w:b/>
                <w:sz w:val="24"/>
              </w:rPr>
              <w:t xml:space="preserve"> March</w:t>
            </w:r>
            <w:r w:rsidR="008D2B38">
              <w:rPr>
                <w:rFonts w:asciiTheme="minorHAnsi" w:hAnsiTheme="minorHAnsi"/>
                <w:b/>
                <w:sz w:val="24"/>
              </w:rPr>
              <w:t xml:space="preserve"> 2018 </w:t>
            </w:r>
          </w:p>
        </w:tc>
      </w:tr>
      <w:tr w:rsidR="005F153A" w:rsidRPr="00E544AC" w:rsidTr="00CE3AB1">
        <w:trPr>
          <w:cantSplit/>
          <w:trHeight w:val="80"/>
        </w:trPr>
        <w:tc>
          <w:tcPr>
            <w:tcW w:w="6521" w:type="dxa"/>
            <w:vMerge/>
          </w:tcPr>
          <w:p w:rsidR="005F153A" w:rsidRPr="00E544AC" w:rsidRDefault="005F153A" w:rsidP="00CE3AB1">
            <w:pPr>
              <w:snapToGrid w:val="0"/>
              <w:rPr>
                <w:rFonts w:asciiTheme="minorHAnsi" w:hAnsiTheme="minorHAnsi"/>
                <w:b/>
              </w:rPr>
            </w:pPr>
            <w:bookmarkStart w:id="6" w:name="dorlang" w:colFirst="1" w:colLast="1"/>
            <w:bookmarkEnd w:id="5"/>
          </w:p>
        </w:tc>
        <w:tc>
          <w:tcPr>
            <w:tcW w:w="3793" w:type="dxa"/>
          </w:tcPr>
          <w:p w:rsidR="005F153A" w:rsidRPr="000F2E67" w:rsidRDefault="007B5254" w:rsidP="00CE3AB1">
            <w:pPr>
              <w:snapToGrid w:val="0"/>
              <w:ind w:left="57"/>
              <w:rPr>
                <w:rFonts w:asciiTheme="minorHAnsi" w:hAnsiTheme="minorHAnsi"/>
                <w:b/>
                <w:sz w:val="24"/>
              </w:rPr>
            </w:pPr>
            <w:r>
              <w:rPr>
                <w:rFonts w:asciiTheme="minorHAnsi" w:hAnsiTheme="minorHAnsi"/>
                <w:b/>
                <w:sz w:val="24"/>
              </w:rPr>
              <w:t>Original: English</w:t>
            </w:r>
          </w:p>
        </w:tc>
      </w:tr>
    </w:tbl>
    <w:bookmarkEnd w:id="6"/>
    <w:p w:rsidR="004154E9" w:rsidRDefault="000978B6" w:rsidP="00CE3AB1">
      <w:pPr>
        <w:pStyle w:val="Source"/>
        <w:rPr>
          <w:rFonts w:eastAsiaTheme="minorEastAsia"/>
          <w:lang w:eastAsia="ja-JP"/>
        </w:rPr>
      </w:pPr>
      <w:r>
        <w:t>C</w:t>
      </w:r>
      <w:r w:rsidR="00CE3AB1">
        <w:t>ôte d’Ivoire</w:t>
      </w:r>
    </w:p>
    <w:p w:rsidR="00AF50A8" w:rsidRPr="00F629DB" w:rsidRDefault="008D2B38" w:rsidP="007223F0">
      <w:pPr>
        <w:pStyle w:val="Title1"/>
        <w:spacing w:before="360"/>
        <w:rPr>
          <w:caps/>
          <w:sz w:val="28"/>
          <w:szCs w:val="36"/>
        </w:rPr>
      </w:pPr>
      <w:r>
        <w:rPr>
          <w:bCs/>
          <w:caps/>
          <w:sz w:val="28"/>
          <w:szCs w:val="32"/>
          <w:lang w:val="en-GB"/>
        </w:rPr>
        <w:t xml:space="preserve">COMMENTS </w:t>
      </w:r>
      <w:r w:rsidR="004D2594">
        <w:rPr>
          <w:bCs/>
          <w:caps/>
          <w:sz w:val="28"/>
          <w:szCs w:val="32"/>
          <w:lang w:val="en-GB"/>
        </w:rPr>
        <w:t xml:space="preserve">from african region </w:t>
      </w:r>
      <w:r>
        <w:rPr>
          <w:bCs/>
          <w:caps/>
          <w:sz w:val="28"/>
          <w:szCs w:val="32"/>
          <w:lang w:val="en-GB"/>
        </w:rPr>
        <w:t>ON DRAFT REPORT 2.0</w:t>
      </w:r>
    </w:p>
    <w:p w:rsidR="002D270F" w:rsidRPr="002D270F" w:rsidRDefault="002D270F" w:rsidP="00383DD5">
      <w:pPr>
        <w:rPr>
          <w:rFonts w:asciiTheme="minorHAnsi" w:hAnsiTheme="minorHAnsi"/>
          <w:b/>
          <w:bCs/>
          <w:sz w:val="24"/>
        </w:rPr>
      </w:pPr>
      <w:r w:rsidRPr="002D270F">
        <w:rPr>
          <w:rFonts w:asciiTheme="minorHAnsi" w:hAnsiTheme="minorHAnsi"/>
          <w:b/>
          <w:bCs/>
          <w:sz w:val="24"/>
        </w:rPr>
        <w:t>1</w:t>
      </w:r>
      <w:r w:rsidRPr="002D270F">
        <w:rPr>
          <w:rFonts w:asciiTheme="minorHAnsi" w:hAnsiTheme="minorHAnsi"/>
          <w:b/>
          <w:bCs/>
          <w:sz w:val="24"/>
        </w:rPr>
        <w:tab/>
        <w:t>Introduct</w:t>
      </w:r>
      <w:r w:rsidR="00383DD5">
        <w:rPr>
          <w:rFonts w:asciiTheme="minorHAnsi" w:hAnsiTheme="minorHAnsi"/>
          <w:b/>
          <w:bCs/>
          <w:sz w:val="24"/>
        </w:rPr>
        <w:t>i</w:t>
      </w:r>
      <w:r w:rsidRPr="002D270F">
        <w:rPr>
          <w:rFonts w:asciiTheme="minorHAnsi" w:hAnsiTheme="minorHAnsi"/>
          <w:b/>
          <w:bCs/>
          <w:sz w:val="24"/>
        </w:rPr>
        <w:t>on</w:t>
      </w:r>
    </w:p>
    <w:p w:rsidR="002D270F" w:rsidRDefault="002D270F" w:rsidP="00B5709F">
      <w:pPr>
        <w:spacing w:before="240"/>
        <w:jc w:val="both"/>
        <w:rPr>
          <w:rFonts w:asciiTheme="minorHAnsi" w:hAnsiTheme="minorHAnsi"/>
          <w:sz w:val="24"/>
        </w:rPr>
      </w:pPr>
      <w:r w:rsidRPr="002D270F">
        <w:rPr>
          <w:rFonts w:asciiTheme="minorHAnsi" w:hAnsiTheme="minorHAnsi"/>
          <w:sz w:val="24"/>
        </w:rPr>
        <w:t xml:space="preserve">This Contribution </w:t>
      </w:r>
      <w:r w:rsidR="008D2B38">
        <w:rPr>
          <w:rFonts w:asciiTheme="minorHAnsi" w:hAnsiTheme="minorHAnsi"/>
          <w:sz w:val="24"/>
        </w:rPr>
        <w:t xml:space="preserve">gives the position of the African </w:t>
      </w:r>
      <w:r w:rsidR="00C15D0D">
        <w:rPr>
          <w:rFonts w:asciiTheme="minorHAnsi" w:hAnsiTheme="minorHAnsi"/>
          <w:sz w:val="24"/>
        </w:rPr>
        <w:t xml:space="preserve">Region </w:t>
      </w:r>
      <w:r w:rsidR="008D2B38">
        <w:rPr>
          <w:rFonts w:asciiTheme="minorHAnsi" w:hAnsiTheme="minorHAnsi"/>
          <w:sz w:val="24"/>
        </w:rPr>
        <w:t xml:space="preserve">regarding the draft report 2.0 of </w:t>
      </w:r>
      <w:r w:rsidRPr="002D270F">
        <w:rPr>
          <w:rFonts w:asciiTheme="minorHAnsi" w:hAnsiTheme="minorHAnsi"/>
          <w:sz w:val="24"/>
        </w:rPr>
        <w:t xml:space="preserve">the Expert Group on the ITRs (EG-ITRs). </w:t>
      </w:r>
      <w:r w:rsidR="000978B6">
        <w:rPr>
          <w:rFonts w:asciiTheme="minorHAnsi" w:hAnsiTheme="minorHAnsi"/>
          <w:sz w:val="24"/>
        </w:rPr>
        <w:t>This position was adopted by ATU members during 2</w:t>
      </w:r>
      <w:r w:rsidR="000978B6" w:rsidRPr="000978B6">
        <w:rPr>
          <w:rFonts w:asciiTheme="minorHAnsi" w:hAnsiTheme="minorHAnsi"/>
          <w:sz w:val="24"/>
          <w:vertAlign w:val="superscript"/>
        </w:rPr>
        <w:t>nd</w:t>
      </w:r>
      <w:r w:rsidR="000978B6">
        <w:rPr>
          <w:rFonts w:asciiTheme="minorHAnsi" w:hAnsiTheme="minorHAnsi"/>
          <w:sz w:val="24"/>
        </w:rPr>
        <w:t xml:space="preserve"> PP18 APM for Africa</w:t>
      </w:r>
      <w:r w:rsidR="004D2594">
        <w:rPr>
          <w:rFonts w:asciiTheme="minorHAnsi" w:hAnsiTheme="minorHAnsi"/>
          <w:sz w:val="24"/>
        </w:rPr>
        <w:t xml:space="preserve"> held in Abuja from 12 to 15 March 2018</w:t>
      </w:r>
      <w:r w:rsidR="000978B6">
        <w:rPr>
          <w:rFonts w:asciiTheme="minorHAnsi" w:hAnsiTheme="minorHAnsi"/>
          <w:sz w:val="24"/>
        </w:rPr>
        <w:t>.</w:t>
      </w:r>
    </w:p>
    <w:p w:rsidR="00383DD5" w:rsidRDefault="00383DD5" w:rsidP="00A43DBE">
      <w:pPr>
        <w:spacing w:before="240"/>
        <w:ind w:left="709" w:hanging="709"/>
        <w:rPr>
          <w:rFonts w:asciiTheme="minorHAnsi" w:hAnsiTheme="minorHAnsi"/>
          <w:b/>
          <w:bCs/>
          <w:sz w:val="24"/>
        </w:rPr>
      </w:pPr>
      <w:r>
        <w:rPr>
          <w:rFonts w:asciiTheme="minorHAnsi" w:hAnsiTheme="minorHAnsi"/>
          <w:b/>
          <w:bCs/>
          <w:sz w:val="24"/>
        </w:rPr>
        <w:t>2</w:t>
      </w:r>
      <w:r w:rsidRPr="002D270F">
        <w:rPr>
          <w:rFonts w:asciiTheme="minorHAnsi" w:hAnsiTheme="minorHAnsi"/>
          <w:b/>
          <w:bCs/>
          <w:sz w:val="24"/>
        </w:rPr>
        <w:tab/>
      </w:r>
      <w:r w:rsidR="006F6E0E">
        <w:rPr>
          <w:rFonts w:asciiTheme="minorHAnsi" w:hAnsiTheme="minorHAnsi"/>
          <w:b/>
          <w:bCs/>
          <w:sz w:val="24"/>
        </w:rPr>
        <w:t xml:space="preserve">Applicability of ITR </w:t>
      </w:r>
    </w:p>
    <w:p w:rsidR="00016D11" w:rsidRPr="002D270F" w:rsidRDefault="00016D11" w:rsidP="00016D11">
      <w:pPr>
        <w:spacing w:before="120" w:after="60"/>
        <w:jc w:val="both"/>
        <w:rPr>
          <w:rFonts w:asciiTheme="minorHAnsi" w:hAnsiTheme="minorHAnsi"/>
          <w:b/>
          <w:bCs/>
          <w:sz w:val="24"/>
        </w:rPr>
      </w:pPr>
      <w:r w:rsidRPr="00016D11">
        <w:rPr>
          <w:rFonts w:asciiTheme="minorHAnsi" w:hAnsiTheme="minorHAnsi"/>
          <w:sz w:val="24"/>
        </w:rPr>
        <w:t xml:space="preserve">The applicability of the 2012 ITRs is grounded in the fact that they are  technology and service neutral, still recognize the sovereignty of Member States to regulate their telecommunications, while allowing commercial arrangements by operating agencies and,  recognizing market conditions in the provision of international telecommunication services where private enterprises are more active than before. </w:t>
      </w:r>
      <w:r w:rsidRPr="002D270F">
        <w:rPr>
          <w:rFonts w:asciiTheme="minorHAnsi" w:hAnsiTheme="minorHAnsi" w:cs="Arial"/>
          <w:sz w:val="24"/>
        </w:rPr>
        <w:t>The ITRs can be appropriately be further modified to deal with these issues and currently provide a broad framework for these issues to be attended to. Given the points above, which are just a few of the existing examples, the ITRs have remained relevant to telecommunication</w:t>
      </w:r>
      <w:r>
        <w:rPr>
          <w:rFonts w:asciiTheme="minorHAnsi" w:hAnsiTheme="minorHAnsi" w:cs="Arial"/>
          <w:sz w:val="24"/>
        </w:rPr>
        <w:t>s.</w:t>
      </w:r>
    </w:p>
    <w:p w:rsidR="002D270F" w:rsidRDefault="00792D5C" w:rsidP="002D270F">
      <w:pPr>
        <w:spacing w:before="240" w:after="60"/>
        <w:jc w:val="both"/>
        <w:rPr>
          <w:rFonts w:asciiTheme="minorHAnsi" w:hAnsiTheme="minorHAnsi" w:cs="Arial"/>
          <w:b/>
          <w:sz w:val="24"/>
        </w:rPr>
      </w:pPr>
      <w:r>
        <w:rPr>
          <w:rFonts w:asciiTheme="minorHAnsi" w:hAnsiTheme="minorHAnsi" w:cs="Arial"/>
          <w:b/>
          <w:sz w:val="24"/>
        </w:rPr>
        <w:t>3</w:t>
      </w:r>
      <w:r w:rsidR="002D270F" w:rsidRPr="002D270F">
        <w:rPr>
          <w:rFonts w:asciiTheme="minorHAnsi" w:hAnsiTheme="minorHAnsi" w:cs="Arial"/>
          <w:b/>
          <w:sz w:val="24"/>
        </w:rPr>
        <w:tab/>
      </w:r>
      <w:r w:rsidR="007733F4">
        <w:rPr>
          <w:rFonts w:asciiTheme="minorHAnsi" w:hAnsiTheme="minorHAnsi" w:cs="Arial"/>
          <w:b/>
          <w:sz w:val="24"/>
        </w:rPr>
        <w:t xml:space="preserve">Potential conflict </w:t>
      </w:r>
    </w:p>
    <w:p w:rsidR="007733F4" w:rsidRPr="00B00910" w:rsidRDefault="007733F4" w:rsidP="00B00910">
      <w:pPr>
        <w:spacing w:before="120" w:after="60"/>
        <w:jc w:val="both"/>
        <w:rPr>
          <w:rFonts w:asciiTheme="minorHAnsi" w:hAnsiTheme="minorHAnsi"/>
          <w:sz w:val="24"/>
        </w:rPr>
      </w:pPr>
      <w:r w:rsidRPr="00B00910">
        <w:rPr>
          <w:rFonts w:asciiTheme="minorHAnsi" w:hAnsiTheme="minorHAnsi"/>
          <w:sz w:val="24"/>
        </w:rPr>
        <w:t xml:space="preserve">The 2012 ITRs are an attempt to update the 1988 ITRs in line with technological evolution which has seen the emergence of new services and other trends that were not addressed by the 1988 ITRs. </w:t>
      </w:r>
    </w:p>
    <w:p w:rsidR="00B00910" w:rsidRDefault="00B00910" w:rsidP="00B00910">
      <w:pPr>
        <w:spacing w:before="120" w:after="60"/>
        <w:jc w:val="both"/>
        <w:rPr>
          <w:rFonts w:asciiTheme="minorHAnsi" w:hAnsiTheme="minorHAnsi"/>
          <w:sz w:val="24"/>
        </w:rPr>
      </w:pPr>
      <w:r w:rsidRPr="00B00910">
        <w:rPr>
          <w:rFonts w:asciiTheme="minorHAnsi" w:hAnsiTheme="minorHAnsi"/>
          <w:sz w:val="24"/>
        </w:rPr>
        <w:t>Having two multilateral treaties (1988 and 2012) dealing with the same subject is not neat and hence there is need for a single comprehensive compendium on the subject. In any case, there are obviously conflicting provisions in the two treaties that needs to be harmonized.</w:t>
      </w:r>
    </w:p>
    <w:p w:rsidR="00FF4C4E" w:rsidRPr="00B00910" w:rsidRDefault="00FF4C4E" w:rsidP="00B00910">
      <w:pPr>
        <w:spacing w:before="120" w:after="60"/>
        <w:jc w:val="both"/>
        <w:rPr>
          <w:rFonts w:asciiTheme="minorHAnsi" w:hAnsiTheme="minorHAnsi"/>
          <w:sz w:val="24"/>
        </w:rPr>
      </w:pPr>
      <w:r>
        <w:rPr>
          <w:rFonts w:asciiTheme="minorHAnsi" w:hAnsiTheme="minorHAnsi"/>
          <w:sz w:val="24"/>
        </w:rPr>
        <w:t>One version of ITR will be of benefit for the whole union and the telecommunication/ICT environment.</w:t>
      </w:r>
    </w:p>
    <w:p w:rsidR="007733F4" w:rsidRDefault="00792D5C" w:rsidP="002D270F">
      <w:pPr>
        <w:spacing w:before="240" w:after="60"/>
        <w:jc w:val="both"/>
        <w:rPr>
          <w:rFonts w:asciiTheme="minorHAnsi" w:hAnsiTheme="minorHAnsi" w:cs="Arial"/>
          <w:b/>
          <w:sz w:val="24"/>
        </w:rPr>
      </w:pPr>
      <w:r>
        <w:rPr>
          <w:rFonts w:asciiTheme="minorHAnsi" w:hAnsiTheme="minorHAnsi" w:cs="Arial"/>
          <w:b/>
          <w:sz w:val="24"/>
        </w:rPr>
        <w:t>4</w:t>
      </w:r>
      <w:r w:rsidR="007733F4">
        <w:rPr>
          <w:rFonts w:asciiTheme="minorHAnsi" w:hAnsiTheme="minorHAnsi" w:cs="Arial"/>
          <w:b/>
          <w:sz w:val="24"/>
        </w:rPr>
        <w:tab/>
        <w:t xml:space="preserve">Holding another WCIT </w:t>
      </w:r>
    </w:p>
    <w:p w:rsidR="00AB5ED0" w:rsidRPr="00AB5ED0" w:rsidRDefault="00AB5ED0" w:rsidP="00AB5ED0">
      <w:pPr>
        <w:spacing w:before="120" w:after="60"/>
        <w:jc w:val="both"/>
        <w:rPr>
          <w:rFonts w:asciiTheme="minorHAnsi" w:hAnsiTheme="minorHAnsi"/>
          <w:sz w:val="24"/>
        </w:rPr>
      </w:pPr>
      <w:r w:rsidRPr="00AB5ED0">
        <w:rPr>
          <w:rFonts w:asciiTheme="minorHAnsi" w:hAnsiTheme="minorHAnsi"/>
          <w:sz w:val="24"/>
        </w:rPr>
        <w:t xml:space="preserve">Issues mainly to do with cyber security and emerging services, in particular Over-The-Top services, are very contentious among Member States. Such issues are transboundary in nature and hence consensus needs to be reached on how they should be treated before a revision of ITRs can be </w:t>
      </w:r>
      <w:proofErr w:type="gramStart"/>
      <w:r w:rsidRPr="00AB5ED0">
        <w:rPr>
          <w:rFonts w:asciiTheme="minorHAnsi" w:hAnsiTheme="minorHAnsi"/>
          <w:sz w:val="24"/>
        </w:rPr>
        <w:t>undertaken</w:t>
      </w:r>
      <w:proofErr w:type="gramEnd"/>
      <w:r w:rsidRPr="00AB5ED0">
        <w:rPr>
          <w:rFonts w:asciiTheme="minorHAnsi" w:hAnsiTheme="minorHAnsi"/>
          <w:sz w:val="24"/>
        </w:rPr>
        <w:t>.</w:t>
      </w:r>
    </w:p>
    <w:p w:rsidR="00AB5ED0" w:rsidRPr="00AB5ED0" w:rsidRDefault="00AB5ED0" w:rsidP="00AB5ED0">
      <w:pPr>
        <w:spacing w:before="120" w:after="60"/>
        <w:jc w:val="both"/>
        <w:rPr>
          <w:rFonts w:asciiTheme="minorHAnsi" w:hAnsiTheme="minorHAnsi"/>
          <w:sz w:val="24"/>
        </w:rPr>
      </w:pPr>
      <w:r w:rsidRPr="00AB5ED0">
        <w:rPr>
          <w:rFonts w:asciiTheme="minorHAnsi" w:hAnsiTheme="minorHAnsi"/>
          <w:sz w:val="24"/>
        </w:rPr>
        <w:lastRenderedPageBreak/>
        <w:t xml:space="preserve">The African region is proposing to modify resolution 146 to allow the Expert Group on ITRs to continue its work and </w:t>
      </w:r>
      <w:r>
        <w:rPr>
          <w:rFonts w:asciiTheme="minorHAnsi" w:hAnsiTheme="minorHAnsi"/>
          <w:sz w:val="24"/>
        </w:rPr>
        <w:t xml:space="preserve">to </w:t>
      </w:r>
      <w:r w:rsidRPr="00AB5ED0">
        <w:rPr>
          <w:rFonts w:asciiTheme="minorHAnsi" w:hAnsiTheme="minorHAnsi"/>
          <w:sz w:val="24"/>
        </w:rPr>
        <w:t>revise his TOR with a view for it to deliberate and reach consensus on the contentious issues as a precondition for holding another WCIT.</w:t>
      </w:r>
    </w:p>
    <w:p w:rsidR="00AB5ED0" w:rsidRPr="003A1C98" w:rsidRDefault="003A1C98" w:rsidP="003A1C98">
      <w:pPr>
        <w:spacing w:before="240" w:after="60"/>
        <w:jc w:val="center"/>
        <w:rPr>
          <w:rFonts w:asciiTheme="minorHAnsi" w:hAnsiTheme="minorHAnsi" w:cs="Arial"/>
          <w:b/>
          <w:sz w:val="24"/>
          <w:u w:val="single"/>
        </w:rPr>
      </w:pPr>
      <w:r>
        <w:rPr>
          <w:rFonts w:asciiTheme="minorHAnsi" w:hAnsiTheme="minorHAnsi" w:cs="Arial"/>
          <w:b/>
          <w:sz w:val="24"/>
          <w:u w:val="single"/>
        </w:rPr>
        <w:t>                                  </w:t>
      </w:r>
    </w:p>
    <w:sectPr w:rsidR="00AB5ED0" w:rsidRPr="003A1C98" w:rsidSect="002D270F">
      <w:headerReference w:type="default" r:id="rId13"/>
      <w:pgSz w:w="11901" w:h="16840" w:code="9"/>
      <w:pgMar w:top="1418" w:right="1077" w:bottom="851" w:left="1077" w:header="397"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E9" w:rsidRDefault="00A77EE9">
      <w:r>
        <w:separator/>
      </w:r>
    </w:p>
  </w:endnote>
  <w:endnote w:type="continuationSeparator" w:id="0">
    <w:p w:rsidR="00A77EE9" w:rsidRDefault="00A77EE9">
      <w:r>
        <w:continuationSeparator/>
      </w:r>
    </w:p>
  </w:endnote>
  <w:endnote w:type="continuationNotice" w:id="1">
    <w:p w:rsidR="00A77EE9" w:rsidRDefault="00A77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E9" w:rsidRDefault="00A77EE9">
      <w:r>
        <w:separator/>
      </w:r>
    </w:p>
  </w:footnote>
  <w:footnote w:type="continuationSeparator" w:id="0">
    <w:p w:rsidR="00A77EE9" w:rsidRDefault="00A77EE9">
      <w:r>
        <w:continuationSeparator/>
      </w:r>
    </w:p>
  </w:footnote>
  <w:footnote w:type="continuationNotice" w:id="1">
    <w:p w:rsidR="00A77EE9" w:rsidRDefault="00A77E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910" w:rsidRPr="0056246D" w:rsidRDefault="00B00910" w:rsidP="0056246D">
    <w:pPr>
      <w:pStyle w:val="Header"/>
      <w:jc w:val="center"/>
      <w:rPr>
        <w:rFonts w:asciiTheme="minorHAnsi" w:hAnsiTheme="minorHAnsi"/>
      </w:rPr>
    </w:pPr>
    <w:r w:rsidRPr="0056246D">
      <w:rPr>
        <w:rFonts w:asciiTheme="minorHAnsi" w:hAnsiTheme="minorHAnsi"/>
      </w:rPr>
      <w:fldChar w:fldCharType="begin"/>
    </w:r>
    <w:r w:rsidRPr="0056246D">
      <w:rPr>
        <w:rFonts w:asciiTheme="minorHAnsi" w:hAnsiTheme="minorHAnsi"/>
      </w:rPr>
      <w:instrText xml:space="preserve"> PAGE   \* MERGEFORMAT </w:instrText>
    </w:r>
    <w:r w:rsidRPr="0056246D">
      <w:rPr>
        <w:rFonts w:asciiTheme="minorHAnsi" w:hAnsiTheme="minorHAnsi"/>
      </w:rPr>
      <w:fldChar w:fldCharType="separate"/>
    </w:r>
    <w:r w:rsidR="003A1C98">
      <w:rPr>
        <w:rFonts w:asciiTheme="minorHAnsi" w:hAnsiTheme="minorHAnsi"/>
        <w:noProof/>
      </w:rPr>
      <w:t>2</w:t>
    </w:r>
    <w:r w:rsidRPr="0056246D">
      <w:rPr>
        <w:rFonts w:asciiTheme="minorHAnsi" w:hAnsiTheme="minorHAns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AA87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A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5EC2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F4C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1A9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C6A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B4FB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3AD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2AEB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90A4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6072C"/>
    <w:multiLevelType w:val="multilevel"/>
    <w:tmpl w:val="F064CE96"/>
    <w:lvl w:ilvl="0">
      <w:start w:val="1"/>
      <w:numFmt w:val="decimal"/>
      <w:lvlText w:val="%1."/>
      <w:lvlJc w:val="left"/>
      <w:pPr>
        <w:ind w:left="720" w:hanging="360"/>
      </w:pPr>
      <w:rPr>
        <w:rFonts w:hint="default"/>
        <w:b/>
        <w:color w:val="44546A" w:themeColor="text2"/>
      </w:rPr>
    </w:lvl>
    <w:lvl w:ilvl="1">
      <w:start w:val="1"/>
      <w:numFmt w:val="decimal"/>
      <w:isLgl/>
      <w:lvlText w:val="%1.%2"/>
      <w:lvlJc w:val="left"/>
      <w:pPr>
        <w:ind w:left="1080" w:hanging="360"/>
      </w:pPr>
      <w:rPr>
        <w:rFonts w:ascii="Segoe UI" w:hAnsi="Segoe UI" w:cs="Segoe UI" w:hint="default"/>
        <w:sz w:val="20"/>
      </w:rPr>
    </w:lvl>
    <w:lvl w:ilvl="2">
      <w:start w:val="1"/>
      <w:numFmt w:val="decimal"/>
      <w:isLgl/>
      <w:lvlText w:val="%1.%2.%3"/>
      <w:lvlJc w:val="left"/>
      <w:pPr>
        <w:ind w:left="1800" w:hanging="720"/>
      </w:pPr>
      <w:rPr>
        <w:rFonts w:ascii="Segoe UI" w:hAnsi="Segoe UI" w:cs="Segoe UI" w:hint="default"/>
        <w:sz w:val="20"/>
      </w:rPr>
    </w:lvl>
    <w:lvl w:ilvl="3">
      <w:start w:val="1"/>
      <w:numFmt w:val="decimal"/>
      <w:isLgl/>
      <w:lvlText w:val="%1.%2.%3.%4"/>
      <w:lvlJc w:val="left"/>
      <w:pPr>
        <w:ind w:left="2520" w:hanging="1080"/>
      </w:pPr>
      <w:rPr>
        <w:rFonts w:ascii="Segoe UI" w:hAnsi="Segoe UI" w:cs="Segoe UI" w:hint="default"/>
        <w:sz w:val="20"/>
      </w:rPr>
    </w:lvl>
    <w:lvl w:ilvl="4">
      <w:start w:val="1"/>
      <w:numFmt w:val="decimal"/>
      <w:isLgl/>
      <w:lvlText w:val="%1.%2.%3.%4.%5"/>
      <w:lvlJc w:val="left"/>
      <w:pPr>
        <w:ind w:left="2880" w:hanging="1080"/>
      </w:pPr>
      <w:rPr>
        <w:rFonts w:ascii="Segoe UI" w:hAnsi="Segoe UI" w:cs="Segoe UI" w:hint="default"/>
        <w:sz w:val="20"/>
      </w:rPr>
    </w:lvl>
    <w:lvl w:ilvl="5">
      <w:start w:val="1"/>
      <w:numFmt w:val="decimal"/>
      <w:isLgl/>
      <w:lvlText w:val="%1.%2.%3.%4.%5.%6"/>
      <w:lvlJc w:val="left"/>
      <w:pPr>
        <w:ind w:left="3600" w:hanging="1440"/>
      </w:pPr>
      <w:rPr>
        <w:rFonts w:ascii="Segoe UI" w:hAnsi="Segoe UI" w:cs="Segoe UI" w:hint="default"/>
        <w:sz w:val="20"/>
      </w:rPr>
    </w:lvl>
    <w:lvl w:ilvl="6">
      <w:start w:val="1"/>
      <w:numFmt w:val="decimal"/>
      <w:isLgl/>
      <w:lvlText w:val="%1.%2.%3.%4.%5.%6.%7"/>
      <w:lvlJc w:val="left"/>
      <w:pPr>
        <w:ind w:left="3960" w:hanging="1440"/>
      </w:pPr>
      <w:rPr>
        <w:rFonts w:ascii="Segoe UI" w:hAnsi="Segoe UI" w:cs="Segoe UI" w:hint="default"/>
        <w:sz w:val="20"/>
      </w:rPr>
    </w:lvl>
    <w:lvl w:ilvl="7">
      <w:start w:val="1"/>
      <w:numFmt w:val="decimal"/>
      <w:isLgl/>
      <w:lvlText w:val="%1.%2.%3.%4.%5.%6.%7.%8"/>
      <w:lvlJc w:val="left"/>
      <w:pPr>
        <w:ind w:left="4680" w:hanging="1800"/>
      </w:pPr>
      <w:rPr>
        <w:rFonts w:ascii="Segoe UI" w:hAnsi="Segoe UI" w:cs="Segoe UI" w:hint="default"/>
        <w:sz w:val="20"/>
      </w:rPr>
    </w:lvl>
    <w:lvl w:ilvl="8">
      <w:start w:val="1"/>
      <w:numFmt w:val="decimal"/>
      <w:isLgl/>
      <w:lvlText w:val="%1.%2.%3.%4.%5.%6.%7.%8.%9"/>
      <w:lvlJc w:val="left"/>
      <w:pPr>
        <w:ind w:left="5040" w:hanging="1800"/>
      </w:pPr>
      <w:rPr>
        <w:rFonts w:ascii="Segoe UI" w:hAnsi="Segoe UI" w:cs="Segoe UI" w:hint="default"/>
        <w:sz w:val="20"/>
      </w:rPr>
    </w:lvl>
  </w:abstractNum>
  <w:abstractNum w:abstractNumId="11" w15:restartNumberingAfterBreak="0">
    <w:nsid w:val="13111C28"/>
    <w:multiLevelType w:val="hybridMultilevel"/>
    <w:tmpl w:val="E0DE46F6"/>
    <w:lvl w:ilvl="0" w:tplc="30090017">
      <w:start w:val="1"/>
      <w:numFmt w:val="lowerLetter"/>
      <w:lvlText w:val="%1)"/>
      <w:lvlJc w:val="left"/>
      <w:pPr>
        <w:ind w:left="1508" w:hanging="360"/>
      </w:pPr>
    </w:lvl>
    <w:lvl w:ilvl="1" w:tplc="30090019" w:tentative="1">
      <w:start w:val="1"/>
      <w:numFmt w:val="lowerLetter"/>
      <w:lvlText w:val="%2."/>
      <w:lvlJc w:val="left"/>
      <w:pPr>
        <w:ind w:left="2228" w:hanging="360"/>
      </w:pPr>
    </w:lvl>
    <w:lvl w:ilvl="2" w:tplc="3009001B" w:tentative="1">
      <w:start w:val="1"/>
      <w:numFmt w:val="lowerRoman"/>
      <w:lvlText w:val="%3."/>
      <w:lvlJc w:val="right"/>
      <w:pPr>
        <w:ind w:left="2948" w:hanging="180"/>
      </w:pPr>
    </w:lvl>
    <w:lvl w:ilvl="3" w:tplc="3009000F" w:tentative="1">
      <w:start w:val="1"/>
      <w:numFmt w:val="decimal"/>
      <w:lvlText w:val="%4."/>
      <w:lvlJc w:val="left"/>
      <w:pPr>
        <w:ind w:left="3668" w:hanging="360"/>
      </w:pPr>
    </w:lvl>
    <w:lvl w:ilvl="4" w:tplc="30090019" w:tentative="1">
      <w:start w:val="1"/>
      <w:numFmt w:val="lowerLetter"/>
      <w:lvlText w:val="%5."/>
      <w:lvlJc w:val="left"/>
      <w:pPr>
        <w:ind w:left="4388" w:hanging="360"/>
      </w:pPr>
    </w:lvl>
    <w:lvl w:ilvl="5" w:tplc="3009001B" w:tentative="1">
      <w:start w:val="1"/>
      <w:numFmt w:val="lowerRoman"/>
      <w:lvlText w:val="%6."/>
      <w:lvlJc w:val="right"/>
      <w:pPr>
        <w:ind w:left="5108" w:hanging="180"/>
      </w:pPr>
    </w:lvl>
    <w:lvl w:ilvl="6" w:tplc="3009000F" w:tentative="1">
      <w:start w:val="1"/>
      <w:numFmt w:val="decimal"/>
      <w:lvlText w:val="%7."/>
      <w:lvlJc w:val="left"/>
      <w:pPr>
        <w:ind w:left="5828" w:hanging="360"/>
      </w:pPr>
    </w:lvl>
    <w:lvl w:ilvl="7" w:tplc="30090019" w:tentative="1">
      <w:start w:val="1"/>
      <w:numFmt w:val="lowerLetter"/>
      <w:lvlText w:val="%8."/>
      <w:lvlJc w:val="left"/>
      <w:pPr>
        <w:ind w:left="6548" w:hanging="360"/>
      </w:pPr>
    </w:lvl>
    <w:lvl w:ilvl="8" w:tplc="3009001B" w:tentative="1">
      <w:start w:val="1"/>
      <w:numFmt w:val="lowerRoman"/>
      <w:lvlText w:val="%9."/>
      <w:lvlJc w:val="right"/>
      <w:pPr>
        <w:ind w:left="7268" w:hanging="180"/>
      </w:pPr>
    </w:lvl>
  </w:abstractNum>
  <w:abstractNum w:abstractNumId="12" w15:restartNumberingAfterBreak="0">
    <w:nsid w:val="17CD5AE9"/>
    <w:multiLevelType w:val="hybridMultilevel"/>
    <w:tmpl w:val="57F6EBFA"/>
    <w:lvl w:ilvl="0" w:tplc="28D26D74">
      <w:start w:val="1"/>
      <w:numFmt w:val="lowerRoman"/>
      <w:lvlText w:val="(%1)"/>
      <w:lvlJc w:val="left"/>
      <w:pPr>
        <w:ind w:left="1080" w:hanging="108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5F023E"/>
    <w:multiLevelType w:val="hybridMultilevel"/>
    <w:tmpl w:val="E828DCB4"/>
    <w:lvl w:ilvl="0" w:tplc="83C21F22">
      <w:start w:val="1"/>
      <w:numFmt w:val="bullet"/>
      <w:lvlText w:val=""/>
      <w:lvlJc w:val="left"/>
      <w:pPr>
        <w:ind w:left="788" w:hanging="360"/>
      </w:pPr>
      <w:rPr>
        <w:rFonts w:ascii="Symbol" w:hAnsi="Symbol" w:hint="default"/>
        <w:color w:val="auto"/>
      </w:rPr>
    </w:lvl>
    <w:lvl w:ilvl="1" w:tplc="30090003">
      <w:start w:val="1"/>
      <w:numFmt w:val="bullet"/>
      <w:lvlText w:val="o"/>
      <w:lvlJc w:val="left"/>
      <w:pPr>
        <w:ind w:left="1508" w:hanging="360"/>
      </w:pPr>
      <w:rPr>
        <w:rFonts w:ascii="Courier New" w:hAnsi="Courier New" w:cs="Courier New" w:hint="default"/>
      </w:rPr>
    </w:lvl>
    <w:lvl w:ilvl="2" w:tplc="30090005" w:tentative="1">
      <w:start w:val="1"/>
      <w:numFmt w:val="bullet"/>
      <w:lvlText w:val=""/>
      <w:lvlJc w:val="left"/>
      <w:pPr>
        <w:ind w:left="2228" w:hanging="360"/>
      </w:pPr>
      <w:rPr>
        <w:rFonts w:ascii="Wingdings" w:hAnsi="Wingdings" w:hint="default"/>
      </w:rPr>
    </w:lvl>
    <w:lvl w:ilvl="3" w:tplc="30090001" w:tentative="1">
      <w:start w:val="1"/>
      <w:numFmt w:val="bullet"/>
      <w:lvlText w:val=""/>
      <w:lvlJc w:val="left"/>
      <w:pPr>
        <w:ind w:left="2948" w:hanging="360"/>
      </w:pPr>
      <w:rPr>
        <w:rFonts w:ascii="Symbol" w:hAnsi="Symbol" w:hint="default"/>
      </w:rPr>
    </w:lvl>
    <w:lvl w:ilvl="4" w:tplc="30090003" w:tentative="1">
      <w:start w:val="1"/>
      <w:numFmt w:val="bullet"/>
      <w:lvlText w:val="o"/>
      <w:lvlJc w:val="left"/>
      <w:pPr>
        <w:ind w:left="3668" w:hanging="360"/>
      </w:pPr>
      <w:rPr>
        <w:rFonts w:ascii="Courier New" w:hAnsi="Courier New" w:cs="Courier New" w:hint="default"/>
      </w:rPr>
    </w:lvl>
    <w:lvl w:ilvl="5" w:tplc="30090005" w:tentative="1">
      <w:start w:val="1"/>
      <w:numFmt w:val="bullet"/>
      <w:lvlText w:val=""/>
      <w:lvlJc w:val="left"/>
      <w:pPr>
        <w:ind w:left="4388" w:hanging="360"/>
      </w:pPr>
      <w:rPr>
        <w:rFonts w:ascii="Wingdings" w:hAnsi="Wingdings" w:hint="default"/>
      </w:rPr>
    </w:lvl>
    <w:lvl w:ilvl="6" w:tplc="30090001" w:tentative="1">
      <w:start w:val="1"/>
      <w:numFmt w:val="bullet"/>
      <w:lvlText w:val=""/>
      <w:lvlJc w:val="left"/>
      <w:pPr>
        <w:ind w:left="5108" w:hanging="360"/>
      </w:pPr>
      <w:rPr>
        <w:rFonts w:ascii="Symbol" w:hAnsi="Symbol" w:hint="default"/>
      </w:rPr>
    </w:lvl>
    <w:lvl w:ilvl="7" w:tplc="30090003" w:tentative="1">
      <w:start w:val="1"/>
      <w:numFmt w:val="bullet"/>
      <w:lvlText w:val="o"/>
      <w:lvlJc w:val="left"/>
      <w:pPr>
        <w:ind w:left="5828" w:hanging="360"/>
      </w:pPr>
      <w:rPr>
        <w:rFonts w:ascii="Courier New" w:hAnsi="Courier New" w:cs="Courier New" w:hint="default"/>
      </w:rPr>
    </w:lvl>
    <w:lvl w:ilvl="8" w:tplc="30090005" w:tentative="1">
      <w:start w:val="1"/>
      <w:numFmt w:val="bullet"/>
      <w:lvlText w:val=""/>
      <w:lvlJc w:val="left"/>
      <w:pPr>
        <w:ind w:left="6548" w:hanging="360"/>
      </w:pPr>
      <w:rPr>
        <w:rFonts w:ascii="Wingdings" w:hAnsi="Wingdings" w:hint="default"/>
      </w:rPr>
    </w:lvl>
  </w:abstractNum>
  <w:abstractNum w:abstractNumId="14" w15:restartNumberingAfterBreak="0">
    <w:nsid w:val="442C1798"/>
    <w:multiLevelType w:val="hybridMultilevel"/>
    <w:tmpl w:val="B1B4C176"/>
    <w:lvl w:ilvl="0" w:tplc="30090001">
      <w:start w:val="1"/>
      <w:numFmt w:val="bullet"/>
      <w:lvlText w:val=""/>
      <w:lvlJc w:val="left"/>
      <w:pPr>
        <w:ind w:left="788" w:hanging="360"/>
      </w:pPr>
      <w:rPr>
        <w:rFonts w:ascii="Symbol" w:hAnsi="Symbol" w:hint="default"/>
      </w:rPr>
    </w:lvl>
    <w:lvl w:ilvl="1" w:tplc="30090003" w:tentative="1">
      <w:start w:val="1"/>
      <w:numFmt w:val="bullet"/>
      <w:lvlText w:val="o"/>
      <w:lvlJc w:val="left"/>
      <w:pPr>
        <w:ind w:left="1508" w:hanging="360"/>
      </w:pPr>
      <w:rPr>
        <w:rFonts w:ascii="Courier New" w:hAnsi="Courier New" w:cs="Courier New" w:hint="default"/>
      </w:rPr>
    </w:lvl>
    <w:lvl w:ilvl="2" w:tplc="30090005" w:tentative="1">
      <w:start w:val="1"/>
      <w:numFmt w:val="bullet"/>
      <w:lvlText w:val=""/>
      <w:lvlJc w:val="left"/>
      <w:pPr>
        <w:ind w:left="2228" w:hanging="360"/>
      </w:pPr>
      <w:rPr>
        <w:rFonts w:ascii="Wingdings" w:hAnsi="Wingdings" w:hint="default"/>
      </w:rPr>
    </w:lvl>
    <w:lvl w:ilvl="3" w:tplc="30090001" w:tentative="1">
      <w:start w:val="1"/>
      <w:numFmt w:val="bullet"/>
      <w:lvlText w:val=""/>
      <w:lvlJc w:val="left"/>
      <w:pPr>
        <w:ind w:left="2948" w:hanging="360"/>
      </w:pPr>
      <w:rPr>
        <w:rFonts w:ascii="Symbol" w:hAnsi="Symbol" w:hint="default"/>
      </w:rPr>
    </w:lvl>
    <w:lvl w:ilvl="4" w:tplc="30090003" w:tentative="1">
      <w:start w:val="1"/>
      <w:numFmt w:val="bullet"/>
      <w:lvlText w:val="o"/>
      <w:lvlJc w:val="left"/>
      <w:pPr>
        <w:ind w:left="3668" w:hanging="360"/>
      </w:pPr>
      <w:rPr>
        <w:rFonts w:ascii="Courier New" w:hAnsi="Courier New" w:cs="Courier New" w:hint="default"/>
      </w:rPr>
    </w:lvl>
    <w:lvl w:ilvl="5" w:tplc="30090005" w:tentative="1">
      <w:start w:val="1"/>
      <w:numFmt w:val="bullet"/>
      <w:lvlText w:val=""/>
      <w:lvlJc w:val="left"/>
      <w:pPr>
        <w:ind w:left="4388" w:hanging="360"/>
      </w:pPr>
      <w:rPr>
        <w:rFonts w:ascii="Wingdings" w:hAnsi="Wingdings" w:hint="default"/>
      </w:rPr>
    </w:lvl>
    <w:lvl w:ilvl="6" w:tplc="30090001" w:tentative="1">
      <w:start w:val="1"/>
      <w:numFmt w:val="bullet"/>
      <w:lvlText w:val=""/>
      <w:lvlJc w:val="left"/>
      <w:pPr>
        <w:ind w:left="5108" w:hanging="360"/>
      </w:pPr>
      <w:rPr>
        <w:rFonts w:ascii="Symbol" w:hAnsi="Symbol" w:hint="default"/>
      </w:rPr>
    </w:lvl>
    <w:lvl w:ilvl="7" w:tplc="30090003" w:tentative="1">
      <w:start w:val="1"/>
      <w:numFmt w:val="bullet"/>
      <w:lvlText w:val="o"/>
      <w:lvlJc w:val="left"/>
      <w:pPr>
        <w:ind w:left="5828" w:hanging="360"/>
      </w:pPr>
      <w:rPr>
        <w:rFonts w:ascii="Courier New" w:hAnsi="Courier New" w:cs="Courier New" w:hint="default"/>
      </w:rPr>
    </w:lvl>
    <w:lvl w:ilvl="8" w:tplc="30090005" w:tentative="1">
      <w:start w:val="1"/>
      <w:numFmt w:val="bullet"/>
      <w:lvlText w:val=""/>
      <w:lvlJc w:val="left"/>
      <w:pPr>
        <w:ind w:left="6548" w:hanging="360"/>
      </w:pPr>
      <w:rPr>
        <w:rFonts w:ascii="Wingdings" w:hAnsi="Wingdings" w:hint="default"/>
      </w:rPr>
    </w:lvl>
  </w:abstractNum>
  <w:abstractNum w:abstractNumId="15" w15:restartNumberingAfterBreak="0">
    <w:nsid w:val="587E2FEA"/>
    <w:multiLevelType w:val="hybridMultilevel"/>
    <w:tmpl w:val="FD58D57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67480BC8"/>
    <w:multiLevelType w:val="hybridMultilevel"/>
    <w:tmpl w:val="4896173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14"/>
  </w:num>
  <w:num w:numId="5">
    <w:abstractNumId w:val="11"/>
  </w:num>
  <w:num w:numId="6">
    <w:abstractNumId w:val="15"/>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6D1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978B6"/>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06D"/>
    <w:rsid w:val="001158FB"/>
    <w:rsid w:val="001164E6"/>
    <w:rsid w:val="001217CF"/>
    <w:rsid w:val="00121D0F"/>
    <w:rsid w:val="00122205"/>
    <w:rsid w:val="0012767B"/>
    <w:rsid w:val="00130BEC"/>
    <w:rsid w:val="0014173E"/>
    <w:rsid w:val="00143AFF"/>
    <w:rsid w:val="00144878"/>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26DAD"/>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D270F"/>
    <w:rsid w:val="002E04CE"/>
    <w:rsid w:val="002E581D"/>
    <w:rsid w:val="002E5B9B"/>
    <w:rsid w:val="002F150A"/>
    <w:rsid w:val="003010A1"/>
    <w:rsid w:val="00302584"/>
    <w:rsid w:val="00302B27"/>
    <w:rsid w:val="00306388"/>
    <w:rsid w:val="00307AF2"/>
    <w:rsid w:val="00312766"/>
    <w:rsid w:val="00315C60"/>
    <w:rsid w:val="0031621F"/>
    <w:rsid w:val="003220A7"/>
    <w:rsid w:val="003250E1"/>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3DD5"/>
    <w:rsid w:val="0038562C"/>
    <w:rsid w:val="00390067"/>
    <w:rsid w:val="00391655"/>
    <w:rsid w:val="003917D7"/>
    <w:rsid w:val="00394C20"/>
    <w:rsid w:val="003A1C98"/>
    <w:rsid w:val="003A4FC0"/>
    <w:rsid w:val="003B306B"/>
    <w:rsid w:val="003B63AE"/>
    <w:rsid w:val="003C1B04"/>
    <w:rsid w:val="003C263C"/>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54E9"/>
    <w:rsid w:val="00417936"/>
    <w:rsid w:val="004220AA"/>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25E8"/>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2594"/>
    <w:rsid w:val="004D3913"/>
    <w:rsid w:val="004D48DF"/>
    <w:rsid w:val="004E2A9A"/>
    <w:rsid w:val="004E5922"/>
    <w:rsid w:val="004E59D9"/>
    <w:rsid w:val="004F5D70"/>
    <w:rsid w:val="00502CCA"/>
    <w:rsid w:val="005070D4"/>
    <w:rsid w:val="005106AA"/>
    <w:rsid w:val="00510FAF"/>
    <w:rsid w:val="00513A75"/>
    <w:rsid w:val="005166C5"/>
    <w:rsid w:val="00524EF4"/>
    <w:rsid w:val="00530D10"/>
    <w:rsid w:val="005325DA"/>
    <w:rsid w:val="00532C41"/>
    <w:rsid w:val="00533490"/>
    <w:rsid w:val="00533519"/>
    <w:rsid w:val="0053382F"/>
    <w:rsid w:val="005364C3"/>
    <w:rsid w:val="00536CF3"/>
    <w:rsid w:val="0054047D"/>
    <w:rsid w:val="00545DD0"/>
    <w:rsid w:val="005523DF"/>
    <w:rsid w:val="00555C6E"/>
    <w:rsid w:val="0056246D"/>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37B8"/>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6F6E0E"/>
    <w:rsid w:val="007003D6"/>
    <w:rsid w:val="0070262F"/>
    <w:rsid w:val="00704271"/>
    <w:rsid w:val="00713A1D"/>
    <w:rsid w:val="007156E4"/>
    <w:rsid w:val="00717F6C"/>
    <w:rsid w:val="0072067D"/>
    <w:rsid w:val="00721EED"/>
    <w:rsid w:val="007223F0"/>
    <w:rsid w:val="007270D0"/>
    <w:rsid w:val="00733871"/>
    <w:rsid w:val="007339D5"/>
    <w:rsid w:val="00734285"/>
    <w:rsid w:val="00750401"/>
    <w:rsid w:val="0076010E"/>
    <w:rsid w:val="00764696"/>
    <w:rsid w:val="007733F4"/>
    <w:rsid w:val="0077353C"/>
    <w:rsid w:val="00775A12"/>
    <w:rsid w:val="00776D75"/>
    <w:rsid w:val="00783E51"/>
    <w:rsid w:val="0078643F"/>
    <w:rsid w:val="00790E9D"/>
    <w:rsid w:val="00792D5C"/>
    <w:rsid w:val="007944BB"/>
    <w:rsid w:val="0079453B"/>
    <w:rsid w:val="007962C2"/>
    <w:rsid w:val="00797D46"/>
    <w:rsid w:val="007A5462"/>
    <w:rsid w:val="007A54BE"/>
    <w:rsid w:val="007A72FA"/>
    <w:rsid w:val="007B1D6C"/>
    <w:rsid w:val="007B3243"/>
    <w:rsid w:val="007B3BF2"/>
    <w:rsid w:val="007B5254"/>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2433"/>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2B38"/>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5837"/>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DBE"/>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77EE9"/>
    <w:rsid w:val="00A819C3"/>
    <w:rsid w:val="00A8726B"/>
    <w:rsid w:val="00A93C72"/>
    <w:rsid w:val="00A95D42"/>
    <w:rsid w:val="00A962C3"/>
    <w:rsid w:val="00A973E2"/>
    <w:rsid w:val="00AA5CFE"/>
    <w:rsid w:val="00AB1A29"/>
    <w:rsid w:val="00AB5ED0"/>
    <w:rsid w:val="00AC37B1"/>
    <w:rsid w:val="00AC6047"/>
    <w:rsid w:val="00AC7956"/>
    <w:rsid w:val="00AD6268"/>
    <w:rsid w:val="00AE72AF"/>
    <w:rsid w:val="00AF2C12"/>
    <w:rsid w:val="00AF50A8"/>
    <w:rsid w:val="00B0058C"/>
    <w:rsid w:val="00B00910"/>
    <w:rsid w:val="00B012E8"/>
    <w:rsid w:val="00B02AB0"/>
    <w:rsid w:val="00B13CEA"/>
    <w:rsid w:val="00B15C66"/>
    <w:rsid w:val="00B22946"/>
    <w:rsid w:val="00B25573"/>
    <w:rsid w:val="00B32122"/>
    <w:rsid w:val="00B33E2C"/>
    <w:rsid w:val="00B36FB3"/>
    <w:rsid w:val="00B46BB7"/>
    <w:rsid w:val="00B50536"/>
    <w:rsid w:val="00B52617"/>
    <w:rsid w:val="00B548BE"/>
    <w:rsid w:val="00B5709F"/>
    <w:rsid w:val="00B60E2E"/>
    <w:rsid w:val="00B628B6"/>
    <w:rsid w:val="00B648E7"/>
    <w:rsid w:val="00B660AC"/>
    <w:rsid w:val="00B6665B"/>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B661F"/>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5D0D"/>
    <w:rsid w:val="00C16177"/>
    <w:rsid w:val="00C201B9"/>
    <w:rsid w:val="00C24302"/>
    <w:rsid w:val="00C243FF"/>
    <w:rsid w:val="00C25ADC"/>
    <w:rsid w:val="00C25D00"/>
    <w:rsid w:val="00C318C0"/>
    <w:rsid w:val="00C37F17"/>
    <w:rsid w:val="00C40E80"/>
    <w:rsid w:val="00C4710B"/>
    <w:rsid w:val="00C566CD"/>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3AB1"/>
    <w:rsid w:val="00CF049D"/>
    <w:rsid w:val="00CF1CD3"/>
    <w:rsid w:val="00CF3EA5"/>
    <w:rsid w:val="00D02CC5"/>
    <w:rsid w:val="00D03809"/>
    <w:rsid w:val="00D03FE6"/>
    <w:rsid w:val="00D078F2"/>
    <w:rsid w:val="00D13E8A"/>
    <w:rsid w:val="00D14744"/>
    <w:rsid w:val="00D15326"/>
    <w:rsid w:val="00D15F1E"/>
    <w:rsid w:val="00D1632D"/>
    <w:rsid w:val="00D24CF3"/>
    <w:rsid w:val="00D27EC9"/>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29"/>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1AF7"/>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25E64"/>
    <w:rsid w:val="00F339FB"/>
    <w:rsid w:val="00F37B8E"/>
    <w:rsid w:val="00F40E12"/>
    <w:rsid w:val="00F45331"/>
    <w:rsid w:val="00F47396"/>
    <w:rsid w:val="00F52927"/>
    <w:rsid w:val="00F55548"/>
    <w:rsid w:val="00F567E9"/>
    <w:rsid w:val="00F57E7D"/>
    <w:rsid w:val="00F60063"/>
    <w:rsid w:val="00F60D6B"/>
    <w:rsid w:val="00F629DB"/>
    <w:rsid w:val="00F63237"/>
    <w:rsid w:val="00F63983"/>
    <w:rsid w:val="00F70AE5"/>
    <w:rsid w:val="00F739A8"/>
    <w:rsid w:val="00F75DE1"/>
    <w:rsid w:val="00F8075E"/>
    <w:rsid w:val="00F810B3"/>
    <w:rsid w:val="00F81790"/>
    <w:rsid w:val="00F84989"/>
    <w:rsid w:val="00F8521F"/>
    <w:rsid w:val="00F85428"/>
    <w:rsid w:val="00F87D4E"/>
    <w:rsid w:val="00F91073"/>
    <w:rsid w:val="00F91B39"/>
    <w:rsid w:val="00F93469"/>
    <w:rsid w:val="00F9347D"/>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4C4E"/>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99BFAAD-14B9-4E79-AC00-E37EDAA7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Title1">
    <w:name w:val="Title 1"/>
    <w:basedOn w:val="Normal"/>
    <w:rsid w:val="004625E8"/>
    <w:pPr>
      <w:spacing w:before="120" w:after="360"/>
      <w:jc w:val="center"/>
    </w:pPr>
    <w:rPr>
      <w:rFonts w:asciiTheme="minorHAnsi" w:hAnsiTheme="minorHAnsi"/>
      <w:szCs w:val="28"/>
    </w:rPr>
  </w:style>
  <w:style w:type="paragraph" w:customStyle="1" w:styleId="Source">
    <w:name w:val="Source"/>
    <w:basedOn w:val="Normal"/>
    <w:rsid w:val="00CE3AB1"/>
    <w:pPr>
      <w:spacing w:before="840" w:after="120"/>
      <w:jc w:val="center"/>
    </w:pPr>
    <w:rPr>
      <w:rFonts w:asciiTheme="minorHAnsi" w:hAnsiTheme="minorHAns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B7ADF-EB5F-4537-943F-279F722AEB45}">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9D98E1D1-746A-4E35-B67E-366645E0EF35}">
  <ds:schemaRefs>
    <ds:schemaRef ds:uri="http://schemas.openxmlformats.org/officeDocument/2006/bibliography"/>
  </ds:schemaRefs>
</ds:datastoreItem>
</file>

<file path=customXml/itemProps5.xml><?xml version="1.0" encoding="utf-8"?>
<ds:datastoreItem xmlns:ds="http://schemas.openxmlformats.org/officeDocument/2006/customXml" ds:itemID="{F5B28849-AB27-47A8-BC0A-43AD774C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2036</Characters>
  <Application>Microsoft Office Word</Application>
  <DocSecurity>0</DocSecurity>
  <Lines>16</Lines>
  <Paragraphs>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Contribution by Zimbabwe</vt:lpstr>
      <vt:lpstr>Contribution by Zimbabwe</vt:lpstr>
      <vt:lpstr>ITU Normal.dot</vt:lpstr>
    </vt:vector>
  </TitlesOfParts>
  <Company>ITU</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Zimbabwe</dc:title>
  <dc:subject>Expert Group on the International Telecommunication Regulations</dc:subject>
  <dc:creator>Brouard, Ricarda</dc:creator>
  <cp:keywords>EG-ITRs</cp:keywords>
  <cp:lastModifiedBy>Janin</cp:lastModifiedBy>
  <cp:revision>3</cp:revision>
  <cp:lastPrinted>2013-07-15T09:23:00Z</cp:lastPrinted>
  <dcterms:created xsi:type="dcterms:W3CDTF">2018-03-19T16:10:00Z</dcterms:created>
  <dcterms:modified xsi:type="dcterms:W3CDTF">2018-03-19T16:11:00Z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