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:rsidTr="004B6B8C">
        <w:trPr>
          <w:cantSplit/>
          <w:trHeight w:val="20"/>
        </w:trPr>
        <w:tc>
          <w:tcPr>
            <w:tcW w:w="6620" w:type="dxa"/>
          </w:tcPr>
          <w:p w:rsidR="00950A5B" w:rsidRPr="00950A5B" w:rsidRDefault="00950A5B" w:rsidP="00AA1F1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 xml:space="preserve">فريق الخبراء المعني بلوائح الاتصالات الدولية 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t>(EG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noBreakHyphen/>
              <w:t>ITR)</w:t>
            </w:r>
          </w:p>
        </w:tc>
        <w:tc>
          <w:tcPr>
            <w:tcW w:w="3052" w:type="dxa"/>
            <w:vMerge w:val="restart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950A5B">
              <w:rPr>
                <w:noProof/>
                <w:rtl/>
                <w:lang w:eastAsia="zh-CN"/>
              </w:rPr>
              <w:drawing>
                <wp:inline distT="0" distB="0" distL="0" distR="0" wp14:anchorId="4B72A1CD" wp14:editId="07B6195B">
                  <wp:extent cx="1839600" cy="723600"/>
                  <wp:effectExtent l="0" t="0" r="8255" b="635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:rsidR="00950A5B" w:rsidRPr="00950A5B" w:rsidRDefault="00950A5B" w:rsidP="00AA1F1A">
            <w:pPr>
              <w:spacing w:after="60"/>
              <w:rPr>
                <w:rFonts w:eastAsiaTheme="minorEastAsia"/>
                <w:rtl/>
                <w:lang w:eastAsia="zh-CN" w:bidi="ar-EG"/>
              </w:rPr>
            </w:pP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 w:rsidR="00AA1F1A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/>
              </w:rPr>
              <w:t>الرابع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- جنيف، </w:t>
            </w:r>
            <w:r w:rsidR="00AA1F1A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13-12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AA1F1A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أبريل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950A5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 w:rsidR="009B4F68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8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 w:val="restart"/>
          </w:tcPr>
          <w:p w:rsidR="00950A5B" w:rsidRPr="00950A5B" w:rsidRDefault="00950A5B" w:rsidP="00955F6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50A5B" w:rsidP="008813E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EG-ITR-</w:t>
            </w:r>
            <w:r w:rsidR="00AA1F1A">
              <w:rPr>
                <w:rFonts w:eastAsiaTheme="minorEastAsia"/>
                <w:b/>
                <w:bCs/>
                <w:lang w:eastAsia="zh-CN" w:bidi="ar-SY"/>
              </w:rPr>
              <w:t>4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8813EA">
              <w:rPr>
                <w:rFonts w:eastAsiaTheme="minorEastAsia"/>
                <w:b/>
                <w:bCs/>
                <w:lang w:eastAsia="zh-CN" w:bidi="ar-SY"/>
              </w:rPr>
              <w:t>2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955F6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8813EA" w:rsidP="008813E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19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مارس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950A5B" w:rsidRPr="00AA1F1A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955F61" w:rsidRPr="00AA1F1A">
              <w:rPr>
                <w:rFonts w:eastAsiaTheme="minorEastAsia"/>
                <w:b/>
                <w:bCs/>
                <w:lang w:eastAsia="zh-CN" w:bidi="ar-SY"/>
              </w:rPr>
              <w:t>8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955F6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50A5B" w:rsidP="00303AE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AA1F1A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950A5B" w:rsidRPr="00950A5B" w:rsidTr="004B6B8C">
        <w:trPr>
          <w:cantSplit/>
        </w:trPr>
        <w:tc>
          <w:tcPr>
            <w:tcW w:w="9672" w:type="dxa"/>
            <w:gridSpan w:val="2"/>
          </w:tcPr>
          <w:p w:rsidR="00950A5B" w:rsidRPr="00950A5B" w:rsidRDefault="008813EA" w:rsidP="00955F61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كوت ديفوار</w:t>
            </w:r>
          </w:p>
        </w:tc>
      </w:tr>
      <w:tr w:rsidR="00950A5B" w:rsidRPr="00950A5B" w:rsidTr="004B6B8C">
        <w:trPr>
          <w:cantSplit/>
        </w:trPr>
        <w:tc>
          <w:tcPr>
            <w:tcW w:w="9672" w:type="dxa"/>
            <w:gridSpan w:val="2"/>
          </w:tcPr>
          <w:p w:rsidR="00950A5B" w:rsidRPr="00950A5B" w:rsidRDefault="00CB2555" w:rsidP="007A704F">
            <w:pPr>
              <w:pStyle w:val="Title1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 xml:space="preserve">تعليقات </w:t>
            </w:r>
            <w:r w:rsidR="00307F61">
              <w:rPr>
                <w:rFonts w:eastAsiaTheme="minorEastAsia" w:hint="cs"/>
                <w:rtl/>
                <w:lang w:eastAsia="zh-CN"/>
              </w:rPr>
              <w:t>منطقة إفريقيا</w:t>
            </w:r>
            <w:r>
              <w:rPr>
                <w:rFonts w:eastAsiaTheme="minorEastAsia" w:hint="cs"/>
                <w:rtl/>
                <w:lang w:eastAsia="zh-CN"/>
              </w:rPr>
              <w:t xml:space="preserve"> بشأن مشروع التقرير</w:t>
            </w:r>
            <w:r w:rsidR="007A704F">
              <w:rPr>
                <w:rFonts w:eastAsiaTheme="minorEastAsia" w:hint="eastAsia"/>
                <w:rtl/>
                <w:lang w:eastAsia="zh-CN"/>
              </w:rPr>
              <w:t> </w:t>
            </w:r>
            <w:r>
              <w:rPr>
                <w:rFonts w:eastAsiaTheme="minorEastAsia"/>
                <w:lang w:eastAsia="zh-CN"/>
              </w:rPr>
              <w:t>2.0</w:t>
            </w:r>
          </w:p>
        </w:tc>
      </w:tr>
      <w:tr w:rsidR="00955F61" w:rsidRPr="00950A5B" w:rsidTr="004B6B8C">
        <w:trPr>
          <w:cantSplit/>
        </w:trPr>
        <w:tc>
          <w:tcPr>
            <w:tcW w:w="9672" w:type="dxa"/>
            <w:gridSpan w:val="2"/>
          </w:tcPr>
          <w:p w:rsidR="00955F61" w:rsidRPr="00950A5B" w:rsidRDefault="00955F61" w:rsidP="00955F61">
            <w:pPr>
              <w:rPr>
                <w:rFonts w:eastAsiaTheme="minorEastAsia"/>
                <w:rtl/>
                <w:lang w:eastAsia="zh-CN"/>
              </w:rPr>
            </w:pPr>
          </w:p>
        </w:tc>
      </w:tr>
    </w:tbl>
    <w:p w:rsidR="000E4FF0" w:rsidRDefault="008813EA" w:rsidP="008813EA">
      <w:pPr>
        <w:pStyle w:val="Heading1"/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/>
        </w:rPr>
        <w:t>1</w:t>
      </w:r>
      <w:r>
        <w:rPr>
          <w:rFonts w:eastAsiaTheme="minorEastAsia"/>
          <w:lang w:eastAsia="zh-CN"/>
        </w:rPr>
        <w:tab/>
      </w:r>
      <w:r>
        <w:rPr>
          <w:rFonts w:eastAsiaTheme="minorEastAsia" w:hint="cs"/>
          <w:rtl/>
          <w:lang w:eastAsia="zh-CN"/>
        </w:rPr>
        <w:t>مقدمة</w:t>
      </w:r>
    </w:p>
    <w:p w:rsidR="008813EA" w:rsidRPr="007A704F" w:rsidRDefault="00CB2555" w:rsidP="007A704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4"/>
          <w:rtl/>
          <w:lang w:eastAsia="zh-CN" w:bidi="ar-EG"/>
        </w:rPr>
      </w:pPr>
      <w:r w:rsidRPr="007A704F">
        <w:rPr>
          <w:rFonts w:eastAsiaTheme="minorEastAsia" w:hint="cs"/>
          <w:spacing w:val="-4"/>
          <w:rtl/>
          <w:lang w:eastAsia="zh-CN" w:bidi="ar-EG"/>
        </w:rPr>
        <w:t xml:space="preserve">تجسد هذه المساهمة موقف </w:t>
      </w:r>
      <w:r w:rsidR="00307F61" w:rsidRPr="007A704F">
        <w:rPr>
          <w:rFonts w:eastAsiaTheme="minorEastAsia" w:hint="cs"/>
          <w:spacing w:val="-4"/>
          <w:rtl/>
          <w:lang w:eastAsia="zh-CN" w:bidi="ar-EG"/>
        </w:rPr>
        <w:t>منطقة إفريقيا</w:t>
      </w:r>
      <w:r w:rsidRPr="007A704F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307F61" w:rsidRPr="007A704F">
        <w:rPr>
          <w:rFonts w:eastAsiaTheme="minorEastAsia" w:hint="cs"/>
          <w:spacing w:val="-4"/>
          <w:rtl/>
          <w:lang w:eastAsia="zh-CN" w:bidi="ar-EG"/>
        </w:rPr>
        <w:t>بشأن</w:t>
      </w:r>
      <w:r w:rsidRPr="007A704F">
        <w:rPr>
          <w:rFonts w:eastAsiaTheme="minorEastAsia" w:hint="cs"/>
          <w:spacing w:val="-4"/>
          <w:rtl/>
          <w:lang w:eastAsia="zh-CN" w:bidi="ar-EG"/>
        </w:rPr>
        <w:t xml:space="preserve"> مشروع التقرير </w:t>
      </w:r>
      <w:r w:rsidRPr="007A704F">
        <w:rPr>
          <w:rFonts w:eastAsiaTheme="minorEastAsia"/>
          <w:spacing w:val="-4"/>
          <w:lang w:eastAsia="zh-CN" w:bidi="ar-EG"/>
        </w:rPr>
        <w:t>2.0</w:t>
      </w:r>
      <w:r w:rsidRPr="007A704F">
        <w:rPr>
          <w:rFonts w:eastAsiaTheme="minorEastAsia" w:hint="cs"/>
          <w:spacing w:val="-4"/>
          <w:rtl/>
          <w:lang w:eastAsia="zh-CN" w:bidi="ar-EG"/>
        </w:rPr>
        <w:t xml:space="preserve"> لفريق الخبراء المعني بلوائح الاتصالات الدولية</w:t>
      </w:r>
      <w:r w:rsidR="007A704F" w:rsidRPr="007A704F">
        <w:rPr>
          <w:rFonts w:eastAsiaTheme="minorEastAsia" w:hint="eastAsia"/>
          <w:spacing w:val="-4"/>
          <w:rtl/>
          <w:lang w:eastAsia="zh-CN" w:bidi="ar-EG"/>
        </w:rPr>
        <w:t> </w:t>
      </w:r>
      <w:r w:rsidRPr="007A704F">
        <w:rPr>
          <w:rFonts w:eastAsiaTheme="minorEastAsia"/>
          <w:spacing w:val="-4"/>
          <w:lang w:eastAsia="zh-CN" w:bidi="ar-EG"/>
        </w:rPr>
        <w:t>(EG-ITR)</w:t>
      </w:r>
      <w:r w:rsidRPr="007A704F">
        <w:rPr>
          <w:rFonts w:eastAsiaTheme="minorEastAsia" w:hint="cs"/>
          <w:spacing w:val="-4"/>
          <w:rtl/>
          <w:lang w:eastAsia="zh-CN" w:bidi="ar-EG"/>
        </w:rPr>
        <w:t>. وقد</w:t>
      </w:r>
      <w:r w:rsidR="007A704F">
        <w:rPr>
          <w:rFonts w:eastAsiaTheme="minorEastAsia" w:hint="eastAsia"/>
          <w:spacing w:val="-4"/>
          <w:rtl/>
          <w:lang w:eastAsia="zh-CN" w:bidi="ar-EG"/>
        </w:rPr>
        <w:t> </w:t>
      </w:r>
      <w:r w:rsidRPr="007A704F">
        <w:rPr>
          <w:rFonts w:eastAsiaTheme="minorEastAsia" w:hint="cs"/>
          <w:spacing w:val="-4"/>
          <w:rtl/>
          <w:lang w:eastAsia="zh-CN" w:bidi="ar-EG"/>
        </w:rPr>
        <w:t xml:space="preserve">اعتمد أعضاء الاتحاد الإفريقي للاتصالات هذا الموقف في الاجتماع الإفريقي التحضيري الثاني لمؤتمر المندوبين المفوضين لعام </w:t>
      </w:r>
      <w:r w:rsidRPr="007A704F">
        <w:rPr>
          <w:rFonts w:eastAsiaTheme="minorEastAsia"/>
          <w:spacing w:val="-4"/>
          <w:lang w:eastAsia="zh-CN" w:bidi="ar-EG"/>
        </w:rPr>
        <w:t>2018</w:t>
      </w:r>
      <w:r w:rsidRPr="007A704F">
        <w:rPr>
          <w:rFonts w:eastAsiaTheme="minorEastAsia" w:hint="cs"/>
          <w:spacing w:val="-4"/>
          <w:rtl/>
          <w:lang w:eastAsia="zh-CN" w:bidi="ar-EG"/>
        </w:rPr>
        <w:t xml:space="preserve"> الذي</w:t>
      </w:r>
      <w:r w:rsidR="007A704F">
        <w:rPr>
          <w:rFonts w:eastAsiaTheme="minorEastAsia" w:hint="eastAsia"/>
          <w:spacing w:val="-4"/>
          <w:rtl/>
          <w:lang w:eastAsia="zh-CN" w:bidi="ar-EG"/>
        </w:rPr>
        <w:t> </w:t>
      </w:r>
      <w:r w:rsidRPr="007A704F">
        <w:rPr>
          <w:rFonts w:eastAsiaTheme="minorEastAsia" w:hint="cs"/>
          <w:spacing w:val="-4"/>
          <w:rtl/>
          <w:lang w:eastAsia="zh-CN" w:bidi="ar-EG"/>
        </w:rPr>
        <w:t>عُقد في</w:t>
      </w:r>
      <w:r w:rsidR="007A704F">
        <w:rPr>
          <w:rFonts w:eastAsiaTheme="minorEastAsia" w:hint="eastAsia"/>
          <w:spacing w:val="-4"/>
          <w:rtl/>
          <w:lang w:eastAsia="zh-CN" w:bidi="ar-EG"/>
        </w:rPr>
        <w:t> </w:t>
      </w:r>
      <w:r w:rsidRPr="007A704F">
        <w:rPr>
          <w:rFonts w:eastAsiaTheme="minorEastAsia" w:hint="cs"/>
          <w:spacing w:val="-4"/>
          <w:rtl/>
          <w:lang w:eastAsia="zh-CN" w:bidi="ar-EG"/>
        </w:rPr>
        <w:t xml:space="preserve">أبوجا في الفترة من </w:t>
      </w:r>
      <w:r w:rsidRPr="007A704F">
        <w:rPr>
          <w:rFonts w:eastAsiaTheme="minorEastAsia"/>
          <w:spacing w:val="-4"/>
          <w:lang w:eastAsia="zh-CN" w:bidi="ar-EG"/>
        </w:rPr>
        <w:t>12</w:t>
      </w:r>
      <w:r w:rsidRPr="007A704F">
        <w:rPr>
          <w:rFonts w:eastAsiaTheme="minorEastAsia" w:hint="cs"/>
          <w:spacing w:val="-4"/>
          <w:rtl/>
          <w:lang w:eastAsia="zh-CN" w:bidi="ar-EG"/>
        </w:rPr>
        <w:t xml:space="preserve"> مارس إلى </w:t>
      </w:r>
      <w:r w:rsidRPr="007A704F">
        <w:rPr>
          <w:rFonts w:eastAsiaTheme="minorEastAsia"/>
          <w:spacing w:val="-4"/>
          <w:lang w:eastAsia="zh-CN" w:bidi="ar-EG"/>
        </w:rPr>
        <w:t>15</w:t>
      </w:r>
      <w:r w:rsidRPr="007A704F">
        <w:rPr>
          <w:rFonts w:eastAsiaTheme="minorEastAsia" w:hint="cs"/>
          <w:spacing w:val="-4"/>
          <w:rtl/>
          <w:lang w:eastAsia="zh-CN" w:bidi="ar-EG"/>
        </w:rPr>
        <w:t xml:space="preserve"> مارس </w:t>
      </w:r>
      <w:r w:rsidRPr="007A704F">
        <w:rPr>
          <w:rFonts w:eastAsiaTheme="minorEastAsia"/>
          <w:spacing w:val="-4"/>
          <w:lang w:eastAsia="zh-CN" w:bidi="ar-EG"/>
        </w:rPr>
        <w:t>2018</w:t>
      </w:r>
      <w:r w:rsidRPr="007A704F">
        <w:rPr>
          <w:rFonts w:eastAsiaTheme="minorEastAsia" w:hint="cs"/>
          <w:spacing w:val="-4"/>
          <w:rtl/>
          <w:lang w:eastAsia="zh-CN" w:bidi="ar-EG"/>
        </w:rPr>
        <w:t>.</w:t>
      </w:r>
    </w:p>
    <w:p w:rsidR="006157A3" w:rsidRDefault="008813EA" w:rsidP="00307F61">
      <w:pPr>
        <w:pStyle w:val="Heading1"/>
        <w:rPr>
          <w:rtl/>
        </w:rPr>
      </w:pPr>
      <w:r>
        <w:t>2</w:t>
      </w:r>
      <w:r>
        <w:rPr>
          <w:rtl/>
        </w:rPr>
        <w:tab/>
      </w:r>
      <w:r w:rsidR="00307F61">
        <w:rPr>
          <w:rFonts w:hint="cs"/>
          <w:rtl/>
        </w:rPr>
        <w:t>إمكانية</w:t>
      </w:r>
      <w:r w:rsidR="000B31C8">
        <w:rPr>
          <w:rFonts w:hint="cs"/>
          <w:rtl/>
        </w:rPr>
        <w:t xml:space="preserve"> تطبيق لوائح الاتصالات الدولية</w:t>
      </w:r>
    </w:p>
    <w:p w:rsidR="008813EA" w:rsidRDefault="008813EA" w:rsidP="007A704F">
      <w:pPr>
        <w:rPr>
          <w:rtl/>
          <w:lang w:bidi="ar-EG"/>
        </w:rPr>
      </w:pPr>
      <w:r w:rsidRPr="008813EA">
        <w:rPr>
          <w:rFonts w:hint="cs"/>
          <w:rtl/>
          <w:lang w:bidi="ar-EG"/>
        </w:rPr>
        <w:t xml:space="preserve">تقوم </w:t>
      </w:r>
      <w:r w:rsidR="00307F61">
        <w:rPr>
          <w:rFonts w:hint="cs"/>
          <w:rtl/>
          <w:lang w:bidi="ar-EG"/>
        </w:rPr>
        <w:t>إمكانية</w:t>
      </w:r>
      <w:r w:rsidRPr="008813EA">
        <w:rPr>
          <w:rFonts w:hint="cs"/>
          <w:rtl/>
          <w:lang w:bidi="ar-EG"/>
        </w:rPr>
        <w:t xml:space="preserve"> تطبيق لوائح</w:t>
      </w:r>
      <w:r w:rsidR="00DF26C0">
        <w:rPr>
          <w:rFonts w:hint="cs"/>
          <w:rtl/>
          <w:lang w:bidi="ar-EG"/>
        </w:rPr>
        <w:t xml:space="preserve"> الاتصالات الدولية لعام</w:t>
      </w:r>
      <w:r w:rsidRPr="008813EA">
        <w:rPr>
          <w:rFonts w:hint="cs"/>
          <w:rtl/>
          <w:lang w:bidi="ar-EG"/>
        </w:rPr>
        <w:t xml:space="preserve"> </w:t>
      </w:r>
      <w:r w:rsidRPr="008813EA">
        <w:rPr>
          <w:lang w:bidi="ar-EG"/>
        </w:rPr>
        <w:t>2012</w:t>
      </w:r>
      <w:r w:rsidRPr="008813EA">
        <w:rPr>
          <w:rFonts w:hint="cs"/>
          <w:rtl/>
          <w:lang w:bidi="ar-EG"/>
        </w:rPr>
        <w:t xml:space="preserve"> على حقيقة أنها محايدة من حيث التكنولوجيا والخدمات، ولا تزال تعترف بالحق السيادي للدول الأعضاء في تنظيم اتصالات</w:t>
      </w:r>
      <w:r w:rsidR="00DF26C0">
        <w:rPr>
          <w:rFonts w:hint="cs"/>
          <w:rtl/>
          <w:lang w:bidi="ar-EG"/>
        </w:rPr>
        <w:t>ها</w:t>
      </w:r>
      <w:r w:rsidRPr="008813EA">
        <w:rPr>
          <w:rFonts w:hint="cs"/>
          <w:rtl/>
          <w:lang w:bidi="ar-EG"/>
        </w:rPr>
        <w:t>، بينما تسمح بترتيبات تجارية من وكالات التشغيل وتعترف بشروط السوق فيما</w:t>
      </w:r>
      <w:r w:rsidR="007A704F">
        <w:rPr>
          <w:rFonts w:hint="eastAsia"/>
          <w:rtl/>
          <w:lang w:bidi="ar-EG"/>
        </w:rPr>
        <w:t> </w:t>
      </w:r>
      <w:r w:rsidRPr="008813EA">
        <w:rPr>
          <w:rFonts w:hint="cs"/>
          <w:rtl/>
          <w:lang w:bidi="ar-EG"/>
        </w:rPr>
        <w:t>يتعلق بتوفير خدمات الاتصالات الدولية، حيث تنشط شركات القطاع الخاص بشكلٍ أكبر من ذي قبل.</w:t>
      </w:r>
      <w:r>
        <w:rPr>
          <w:rFonts w:hint="cs"/>
          <w:rtl/>
          <w:lang w:bidi="ar-EG"/>
        </w:rPr>
        <w:t xml:space="preserve"> </w:t>
      </w:r>
      <w:r w:rsidRPr="008813EA">
        <w:rPr>
          <w:rFonts w:hint="cs"/>
          <w:rtl/>
          <w:lang w:bidi="ar-EG"/>
        </w:rPr>
        <w:t>ويمكن مواصلة تعديل اللوائح بشكلٍ مناسب لكي تغطي هذه القضايا وتوفر بشكلٍ مستمر إطاراً واسعاً تكون فيه هذه القضايا حاضرة. وبناءً</w:t>
      </w:r>
      <w:r w:rsidR="007A704F">
        <w:rPr>
          <w:rFonts w:hint="eastAsia"/>
          <w:rtl/>
          <w:lang w:bidi="ar-EG"/>
        </w:rPr>
        <w:t> </w:t>
      </w:r>
      <w:r w:rsidRPr="008813EA">
        <w:rPr>
          <w:rFonts w:hint="cs"/>
          <w:rtl/>
          <w:lang w:bidi="ar-EG"/>
        </w:rPr>
        <w:t>على النقاط أعلاه وهي مجرد غيض من فيض من الأمثلة القائمة، لا تزال لوائح الاتصالات الدولية مهمة بالنسبة للاتصالات.</w:t>
      </w:r>
    </w:p>
    <w:p w:rsidR="008813EA" w:rsidRDefault="008813EA" w:rsidP="00DF26C0">
      <w:pPr>
        <w:pStyle w:val="Heading1"/>
        <w:rPr>
          <w:rtl/>
        </w:rPr>
      </w:pPr>
      <w:r>
        <w:t>3</w:t>
      </w:r>
      <w:r>
        <w:rPr>
          <w:rtl/>
        </w:rPr>
        <w:tab/>
      </w:r>
      <w:r w:rsidR="00DF26C0">
        <w:rPr>
          <w:rFonts w:hint="cs"/>
          <w:rtl/>
        </w:rPr>
        <w:t>التضارب المحتمل</w:t>
      </w:r>
    </w:p>
    <w:p w:rsidR="008813EA" w:rsidRDefault="00DF26C0" w:rsidP="00F6704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لوائح الاتصالات الدولية لعام </w:t>
      </w:r>
      <w:r w:rsidR="00F67041">
        <w:rPr>
          <w:lang w:bidi="ar-EG"/>
        </w:rPr>
        <w:t>2012</w:t>
      </w:r>
      <w:r>
        <w:rPr>
          <w:rFonts w:hint="cs"/>
          <w:rtl/>
          <w:lang w:bidi="ar-EG"/>
        </w:rPr>
        <w:t xml:space="preserve"> </w:t>
      </w:r>
      <w:r w:rsidR="00112CE3">
        <w:rPr>
          <w:rFonts w:hint="cs"/>
          <w:rtl/>
          <w:lang w:bidi="ar-EG"/>
        </w:rPr>
        <w:t>بمثابة</w:t>
      </w:r>
      <w:r>
        <w:rPr>
          <w:rFonts w:hint="cs"/>
          <w:rtl/>
          <w:lang w:bidi="ar-EG"/>
        </w:rPr>
        <w:t xml:space="preserve"> محاولة لتحديث لوائح الاتصالات الدولية لعام </w:t>
      </w:r>
      <w:r>
        <w:rPr>
          <w:lang w:bidi="ar-EG"/>
        </w:rPr>
        <w:t>1988</w:t>
      </w:r>
      <w:r>
        <w:rPr>
          <w:rFonts w:hint="cs"/>
          <w:rtl/>
          <w:lang w:bidi="ar-EG"/>
        </w:rPr>
        <w:t xml:space="preserve"> </w:t>
      </w:r>
      <w:r w:rsidR="00112CE3">
        <w:rPr>
          <w:rFonts w:hint="cs"/>
          <w:rtl/>
          <w:lang w:bidi="ar-EG"/>
        </w:rPr>
        <w:t>في ضوء</w:t>
      </w:r>
      <w:r>
        <w:rPr>
          <w:rFonts w:hint="cs"/>
          <w:rtl/>
          <w:lang w:bidi="ar-EG"/>
        </w:rPr>
        <w:t xml:space="preserve"> التطور التكنولوجي الذي</w:t>
      </w:r>
      <w:r w:rsidR="007A704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شهد ظهور خدمات جدي</w:t>
      </w:r>
      <w:bookmarkStart w:id="1" w:name="_GoBack"/>
      <w:bookmarkEnd w:id="1"/>
      <w:r>
        <w:rPr>
          <w:rFonts w:hint="cs"/>
          <w:rtl/>
          <w:lang w:bidi="ar-EG"/>
        </w:rPr>
        <w:t xml:space="preserve">دة واتجاهات أخرى لم تتطرق إليها لوائح عام </w:t>
      </w:r>
      <w:r>
        <w:rPr>
          <w:lang w:bidi="ar-EG"/>
        </w:rPr>
        <w:t>1988</w:t>
      </w:r>
      <w:r>
        <w:rPr>
          <w:rFonts w:hint="cs"/>
          <w:rtl/>
          <w:lang w:bidi="ar-EG"/>
        </w:rPr>
        <w:t>.</w:t>
      </w:r>
    </w:p>
    <w:p w:rsidR="00DF26C0" w:rsidRDefault="00DF26C0" w:rsidP="0099765F">
      <w:pPr>
        <w:rPr>
          <w:rtl/>
          <w:lang w:bidi="ar-EG"/>
        </w:rPr>
      </w:pPr>
      <w:r>
        <w:rPr>
          <w:rFonts w:hint="cs"/>
          <w:rtl/>
          <w:lang w:bidi="ar-EG"/>
        </w:rPr>
        <w:t>ووجود معاهدتين متعددتي الأطراف (</w:t>
      </w:r>
      <w:r>
        <w:rPr>
          <w:lang w:bidi="ar-EG"/>
        </w:rPr>
        <w:t>1988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2012</w:t>
      </w:r>
      <w:r w:rsidR="00112CE3">
        <w:rPr>
          <w:rFonts w:hint="cs"/>
          <w:rtl/>
          <w:lang w:bidi="ar-EG"/>
        </w:rPr>
        <w:t>) تتناولان نفس الموضوع يؤدي إلى الالتباس</w:t>
      </w:r>
      <w:r>
        <w:rPr>
          <w:rFonts w:hint="cs"/>
          <w:rtl/>
          <w:lang w:bidi="ar-EG"/>
        </w:rPr>
        <w:t xml:space="preserve"> </w:t>
      </w:r>
      <w:r w:rsidRPr="00DF26C0">
        <w:rPr>
          <w:rFonts w:hint="eastAsia"/>
          <w:rtl/>
          <w:lang w:bidi="ar-EG"/>
        </w:rPr>
        <w:t>ومن</w:t>
      </w:r>
      <w:r w:rsidRPr="00DF26C0">
        <w:rPr>
          <w:rtl/>
          <w:lang w:bidi="ar-EG"/>
        </w:rPr>
        <w:t xml:space="preserve"> </w:t>
      </w:r>
      <w:r w:rsidRPr="00DF26C0">
        <w:rPr>
          <w:rFonts w:hint="eastAsia"/>
          <w:rtl/>
          <w:lang w:bidi="ar-EG"/>
        </w:rPr>
        <w:t>ثم</w:t>
      </w:r>
      <w:r w:rsidR="0099765F">
        <w:rPr>
          <w:rFonts w:hint="cs"/>
          <w:rtl/>
          <w:lang w:bidi="ar-EG"/>
        </w:rPr>
        <w:t xml:space="preserve"> تدعو ال</w:t>
      </w:r>
      <w:r w:rsidRPr="00DF26C0">
        <w:rPr>
          <w:rFonts w:hint="eastAsia"/>
          <w:rtl/>
          <w:lang w:bidi="ar-EG"/>
        </w:rPr>
        <w:t>حاجة</w:t>
      </w:r>
      <w:r w:rsidRPr="00DF26C0">
        <w:rPr>
          <w:rtl/>
          <w:lang w:bidi="ar-EG"/>
        </w:rPr>
        <w:t xml:space="preserve"> </w:t>
      </w:r>
      <w:r w:rsidR="0099765F">
        <w:rPr>
          <w:rFonts w:hint="cs"/>
          <w:rtl/>
          <w:lang w:bidi="ar-EG"/>
        </w:rPr>
        <w:t xml:space="preserve">إلى توفر </w:t>
      </w:r>
      <w:r w:rsidRPr="00DF26C0">
        <w:rPr>
          <w:rFonts w:hint="eastAsia"/>
          <w:rtl/>
          <w:lang w:bidi="ar-EG"/>
        </w:rPr>
        <w:t>خلاصة</w:t>
      </w:r>
      <w:r w:rsidRPr="00DF26C0">
        <w:rPr>
          <w:rtl/>
          <w:lang w:bidi="ar-EG"/>
        </w:rPr>
        <w:t xml:space="preserve"> </w:t>
      </w:r>
      <w:r w:rsidR="00F37538">
        <w:rPr>
          <w:rFonts w:hint="cs"/>
          <w:rtl/>
          <w:lang w:bidi="ar-EG"/>
        </w:rPr>
        <w:t xml:space="preserve">واحدة شاملة </w:t>
      </w:r>
      <w:r w:rsidR="0099765F">
        <w:rPr>
          <w:rFonts w:hint="cs"/>
          <w:rtl/>
          <w:lang w:bidi="ar-EG"/>
        </w:rPr>
        <w:t>بهذا الشأن</w:t>
      </w:r>
      <w:r w:rsidRPr="00DF26C0">
        <w:rPr>
          <w:rtl/>
          <w:lang w:bidi="ar-EG"/>
        </w:rPr>
        <w:t xml:space="preserve">. </w:t>
      </w:r>
      <w:r w:rsidR="00F37538">
        <w:rPr>
          <w:rFonts w:hint="cs"/>
          <w:rtl/>
          <w:lang w:bidi="ar-EG"/>
        </w:rPr>
        <w:t xml:space="preserve">وفي جميع الأحوال، </w:t>
      </w:r>
      <w:r w:rsidR="0099765F">
        <w:rPr>
          <w:rFonts w:hint="cs"/>
          <w:rtl/>
          <w:lang w:bidi="ar-EG"/>
        </w:rPr>
        <w:t>تتضمن المعاهدتان بشكل واضح</w:t>
      </w:r>
      <w:r w:rsidR="00112CE3">
        <w:rPr>
          <w:rFonts w:hint="cs"/>
          <w:rtl/>
          <w:lang w:bidi="ar-EG"/>
        </w:rPr>
        <w:t xml:space="preserve"> أحكام</w:t>
      </w:r>
      <w:r w:rsidR="00307F61">
        <w:rPr>
          <w:rFonts w:hint="cs"/>
          <w:rtl/>
          <w:lang w:bidi="ar-EG"/>
        </w:rPr>
        <w:t>اً</w:t>
      </w:r>
      <w:r w:rsidR="00112CE3">
        <w:rPr>
          <w:rFonts w:hint="cs"/>
          <w:rtl/>
          <w:lang w:bidi="ar-EG"/>
        </w:rPr>
        <w:t xml:space="preserve"> متعارضة</w:t>
      </w:r>
      <w:r w:rsidR="00F37538">
        <w:rPr>
          <w:rFonts w:hint="cs"/>
          <w:rtl/>
          <w:lang w:bidi="ar-EG"/>
        </w:rPr>
        <w:t xml:space="preserve"> </w:t>
      </w:r>
      <w:r w:rsidR="00112CE3">
        <w:rPr>
          <w:rFonts w:hint="cs"/>
          <w:rtl/>
          <w:lang w:bidi="ar-EG"/>
        </w:rPr>
        <w:t>يلزم</w:t>
      </w:r>
      <w:r w:rsidR="00F37538">
        <w:rPr>
          <w:rFonts w:hint="cs"/>
          <w:rtl/>
          <w:lang w:bidi="ar-EG"/>
        </w:rPr>
        <w:t xml:space="preserve"> مواءمتها.</w:t>
      </w:r>
    </w:p>
    <w:p w:rsidR="00112CE3" w:rsidRPr="00DF26C0" w:rsidRDefault="00112CE3" w:rsidP="007A704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ووجود نسخة واحدة من لوائح الاتصالات الدولية </w:t>
      </w:r>
      <w:r w:rsidR="001A5189">
        <w:rPr>
          <w:rFonts w:hint="cs"/>
          <w:rtl/>
          <w:lang w:bidi="ar-EG"/>
        </w:rPr>
        <w:t>سيعود بالفائدة</w:t>
      </w:r>
      <w:r>
        <w:rPr>
          <w:rFonts w:hint="cs"/>
          <w:rtl/>
          <w:lang w:bidi="ar-EG"/>
        </w:rPr>
        <w:t xml:space="preserve"> ليس فقط </w:t>
      </w:r>
      <w:r w:rsidR="001A5189">
        <w:rPr>
          <w:rFonts w:hint="cs"/>
          <w:rtl/>
          <w:lang w:bidi="ar-EG"/>
        </w:rPr>
        <w:t>على ا</w:t>
      </w:r>
      <w:r>
        <w:rPr>
          <w:rFonts w:hint="cs"/>
          <w:rtl/>
          <w:lang w:bidi="ar-EG"/>
        </w:rPr>
        <w:t>لاتحاد ككل بل و</w:t>
      </w:r>
      <w:r w:rsidR="001A5189">
        <w:rPr>
          <w:rFonts w:hint="cs"/>
          <w:rtl/>
          <w:lang w:bidi="ar-EG"/>
        </w:rPr>
        <w:t xml:space="preserve">على </w:t>
      </w:r>
      <w:r>
        <w:rPr>
          <w:rFonts w:hint="cs"/>
          <w:rtl/>
          <w:lang w:bidi="ar-EG"/>
        </w:rPr>
        <w:t>بيئة الاتصالات/تكنولوجيا المعلومات</w:t>
      </w:r>
      <w:r w:rsidR="007A704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والاتصالات.</w:t>
      </w:r>
    </w:p>
    <w:p w:rsidR="008813EA" w:rsidRDefault="008813EA" w:rsidP="0099765F">
      <w:pPr>
        <w:pStyle w:val="Heading1"/>
        <w:rPr>
          <w:rtl/>
        </w:rPr>
      </w:pPr>
      <w:r>
        <w:lastRenderedPageBreak/>
        <w:t>4</w:t>
      </w:r>
      <w:r>
        <w:rPr>
          <w:rtl/>
        </w:rPr>
        <w:tab/>
      </w:r>
      <w:r w:rsidR="0099765F">
        <w:rPr>
          <w:rFonts w:hint="cs"/>
          <w:rtl/>
        </w:rPr>
        <w:t>عقد مؤتمر عالمي آخر للاتصالات الدولية</w:t>
      </w:r>
    </w:p>
    <w:p w:rsidR="008813EA" w:rsidRDefault="000428A1" w:rsidP="006738BD">
      <w:pPr>
        <w:rPr>
          <w:rtl/>
          <w:lang w:bidi="ar-EG"/>
        </w:rPr>
      </w:pPr>
      <w:r>
        <w:rPr>
          <w:rFonts w:hint="cs"/>
          <w:rtl/>
          <w:lang w:bidi="ar-EG"/>
        </w:rPr>
        <w:t>إن القضايا المتعلقة أساساً بالأمن السيبراني والخدمات الناشئة لا سيما الخدمات المتاحة بحرية على الإنترنت، مثيرة للجدل</w:t>
      </w:r>
      <w:r w:rsidR="001A5189">
        <w:rPr>
          <w:rFonts w:hint="cs"/>
          <w:rtl/>
          <w:lang w:bidi="ar-EG"/>
        </w:rPr>
        <w:t xml:space="preserve"> إلى حد كبير</w:t>
      </w:r>
      <w:r>
        <w:rPr>
          <w:rFonts w:hint="cs"/>
          <w:rtl/>
          <w:lang w:bidi="ar-EG"/>
        </w:rPr>
        <w:t xml:space="preserve"> بين الدول الأعضاء. و</w:t>
      </w:r>
      <w:r w:rsidR="001A5189">
        <w:rPr>
          <w:rFonts w:hint="cs"/>
          <w:rtl/>
          <w:lang w:bidi="ar-EG"/>
        </w:rPr>
        <w:t xml:space="preserve">بما أن </w:t>
      </w:r>
      <w:r>
        <w:rPr>
          <w:rFonts w:hint="cs"/>
          <w:rtl/>
          <w:lang w:bidi="ar-EG"/>
        </w:rPr>
        <w:t xml:space="preserve">هذه القضايا </w:t>
      </w:r>
      <w:r w:rsidRPr="000428A1">
        <w:rPr>
          <w:rFonts w:hint="eastAsia"/>
          <w:rtl/>
          <w:lang w:bidi="ar-EG"/>
        </w:rPr>
        <w:t>عابرة</w:t>
      </w:r>
      <w:r w:rsidRPr="000428A1">
        <w:rPr>
          <w:rtl/>
          <w:lang w:bidi="ar-EG"/>
        </w:rPr>
        <w:t xml:space="preserve"> </w:t>
      </w:r>
      <w:r w:rsidRPr="000428A1">
        <w:rPr>
          <w:rFonts w:hint="eastAsia"/>
          <w:rtl/>
          <w:lang w:bidi="ar-EG"/>
        </w:rPr>
        <w:t>للحدود</w:t>
      </w:r>
      <w:r w:rsidRPr="000428A1">
        <w:rPr>
          <w:rtl/>
          <w:lang w:bidi="ar-EG"/>
        </w:rPr>
        <w:t xml:space="preserve"> </w:t>
      </w:r>
      <w:r w:rsidRPr="000428A1">
        <w:rPr>
          <w:rFonts w:hint="eastAsia"/>
          <w:rtl/>
          <w:lang w:bidi="ar-EG"/>
        </w:rPr>
        <w:t>بطبيعتها</w:t>
      </w:r>
      <w:r w:rsidR="00EF6D41">
        <w:rPr>
          <w:rFonts w:hint="cs"/>
          <w:rtl/>
          <w:lang w:bidi="ar-EG"/>
        </w:rPr>
        <w:t>،</w:t>
      </w:r>
      <w:r w:rsidRPr="000428A1">
        <w:rPr>
          <w:rtl/>
          <w:lang w:bidi="ar-EG"/>
        </w:rPr>
        <w:t xml:space="preserve"> </w:t>
      </w:r>
      <w:r w:rsidR="00813841">
        <w:rPr>
          <w:rFonts w:hint="cs"/>
          <w:rtl/>
          <w:lang w:bidi="ar-EG"/>
        </w:rPr>
        <w:t>من الضروري</w:t>
      </w:r>
      <w:r w:rsidRPr="000428A1">
        <w:rPr>
          <w:rtl/>
          <w:lang w:bidi="ar-EG"/>
        </w:rPr>
        <w:t xml:space="preserve"> </w:t>
      </w:r>
      <w:r w:rsidR="00813841">
        <w:rPr>
          <w:rFonts w:hint="cs"/>
          <w:rtl/>
          <w:lang w:bidi="ar-EG"/>
        </w:rPr>
        <w:t xml:space="preserve">التوصل إلى </w:t>
      </w:r>
      <w:r w:rsidRPr="000428A1">
        <w:rPr>
          <w:rFonts w:hint="eastAsia"/>
          <w:rtl/>
          <w:lang w:bidi="ar-EG"/>
        </w:rPr>
        <w:t>توافق</w:t>
      </w:r>
      <w:r w:rsidRPr="000428A1">
        <w:rPr>
          <w:rtl/>
          <w:lang w:bidi="ar-EG"/>
        </w:rPr>
        <w:t xml:space="preserve"> </w:t>
      </w:r>
      <w:r w:rsidRPr="000428A1">
        <w:rPr>
          <w:rFonts w:hint="eastAsia"/>
          <w:rtl/>
          <w:lang w:bidi="ar-EG"/>
        </w:rPr>
        <w:t>الآراء</w:t>
      </w:r>
      <w:r w:rsidRPr="000428A1">
        <w:rPr>
          <w:rtl/>
          <w:lang w:bidi="ar-EG"/>
        </w:rPr>
        <w:t xml:space="preserve"> </w:t>
      </w:r>
      <w:r w:rsidRPr="000428A1">
        <w:rPr>
          <w:rFonts w:hint="eastAsia"/>
          <w:rtl/>
          <w:lang w:bidi="ar-EG"/>
        </w:rPr>
        <w:t>بشأن</w:t>
      </w:r>
      <w:r w:rsidRPr="000428A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كيفية التعامل معها</w:t>
      </w:r>
      <w:r w:rsidRPr="000428A1">
        <w:rPr>
          <w:rtl/>
          <w:lang w:bidi="ar-EG"/>
        </w:rPr>
        <w:t xml:space="preserve"> </w:t>
      </w:r>
      <w:r w:rsidRPr="000428A1">
        <w:rPr>
          <w:rFonts w:hint="eastAsia"/>
          <w:rtl/>
          <w:lang w:bidi="ar-EG"/>
        </w:rPr>
        <w:t>قبل</w:t>
      </w:r>
      <w:r>
        <w:rPr>
          <w:rFonts w:hint="cs"/>
          <w:rtl/>
          <w:lang w:bidi="ar-EG"/>
        </w:rPr>
        <w:t xml:space="preserve"> </w:t>
      </w:r>
      <w:r w:rsidR="006738BD">
        <w:rPr>
          <w:rFonts w:hint="cs"/>
          <w:rtl/>
          <w:lang w:bidi="ar-EG"/>
        </w:rPr>
        <w:t>المبادرة إلى</w:t>
      </w:r>
      <w:r w:rsidR="0081384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مراجعة لوائح الاتصالات الدولية.</w:t>
      </w:r>
    </w:p>
    <w:p w:rsidR="00813841" w:rsidRPr="00813841" w:rsidRDefault="00307F61" w:rsidP="007A704F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813841">
        <w:rPr>
          <w:rFonts w:hint="cs"/>
          <w:rtl/>
          <w:lang w:bidi="ar-EG"/>
        </w:rPr>
        <w:t xml:space="preserve">تقترح </w:t>
      </w:r>
      <w:r>
        <w:rPr>
          <w:rFonts w:eastAsiaTheme="minorEastAsia" w:hint="cs"/>
          <w:rtl/>
          <w:lang w:eastAsia="zh-CN" w:bidi="ar-EG"/>
        </w:rPr>
        <w:t xml:space="preserve">منطقة إفريقيا </w:t>
      </w:r>
      <w:r w:rsidR="00813841">
        <w:rPr>
          <w:rFonts w:hint="cs"/>
          <w:rtl/>
          <w:lang w:bidi="ar-EG"/>
        </w:rPr>
        <w:t>تعديل القرار</w:t>
      </w:r>
      <w:r w:rsidR="007A704F">
        <w:rPr>
          <w:rFonts w:hint="eastAsia"/>
          <w:rtl/>
          <w:lang w:bidi="ar-EG"/>
        </w:rPr>
        <w:t> </w:t>
      </w:r>
      <w:r w:rsidR="00813841">
        <w:rPr>
          <w:lang w:bidi="ar-EG"/>
        </w:rPr>
        <w:t>146</w:t>
      </w:r>
      <w:r w:rsidR="00813841">
        <w:rPr>
          <w:rFonts w:hint="cs"/>
          <w:rtl/>
          <w:lang w:bidi="ar-EG"/>
        </w:rPr>
        <w:t xml:space="preserve"> للسماح لفريق الخبراء المعني بلوائح الاتصالات الدولية بمواصلة عمله ومراجعة اختصاصاته من أجل </w:t>
      </w:r>
      <w:r w:rsidR="00F86D36">
        <w:rPr>
          <w:rFonts w:hint="cs"/>
          <w:rtl/>
          <w:lang w:bidi="ar-EG"/>
        </w:rPr>
        <w:t>مناقشة</w:t>
      </w:r>
      <w:r w:rsidR="00813841">
        <w:rPr>
          <w:rFonts w:hint="cs"/>
          <w:rtl/>
          <w:lang w:bidi="ar-EG"/>
        </w:rPr>
        <w:t xml:space="preserve"> القضايا المثيرة للجدل</w:t>
      </w:r>
      <w:r w:rsidR="00F86D36">
        <w:rPr>
          <w:rFonts w:hint="cs"/>
          <w:rtl/>
          <w:lang w:bidi="ar-EG"/>
        </w:rPr>
        <w:t xml:space="preserve"> والتوصل إلى توافق في الآراء بشأنها</w:t>
      </w:r>
      <w:r w:rsidR="00813841">
        <w:rPr>
          <w:rFonts w:hint="cs"/>
          <w:rtl/>
          <w:lang w:bidi="ar-EG"/>
        </w:rPr>
        <w:t xml:space="preserve"> </w:t>
      </w:r>
      <w:r w:rsidR="00F86D36">
        <w:rPr>
          <w:rFonts w:hint="cs"/>
          <w:rtl/>
          <w:lang w:bidi="ar-EG"/>
        </w:rPr>
        <w:t xml:space="preserve">قبل توخي </w:t>
      </w:r>
      <w:r w:rsidR="00813841">
        <w:rPr>
          <w:rFonts w:hint="cs"/>
          <w:rtl/>
          <w:lang w:bidi="ar-EG"/>
        </w:rPr>
        <w:t>عقد مؤتمر عالمي آخر للاتصالات الدولية.</w:t>
      </w:r>
    </w:p>
    <w:p w:rsidR="008813EA" w:rsidRDefault="008813EA" w:rsidP="007A704F">
      <w:pPr>
        <w:tabs>
          <w:tab w:val="left" w:pos="3958"/>
          <w:tab w:val="center" w:pos="4819"/>
        </w:tabs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8813EA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3EA" w:rsidRDefault="008813EA" w:rsidP="00E07379">
      <w:pPr>
        <w:spacing w:before="0" w:line="240" w:lineRule="auto"/>
      </w:pPr>
      <w:r>
        <w:separator/>
      </w:r>
    </w:p>
  </w:endnote>
  <w:endnote w:type="continuationSeparator" w:id="0">
    <w:p w:rsidR="008813EA" w:rsidRDefault="008813E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F67041" w:rsidP="007A704F">
    <w:pPr>
      <w:pStyle w:val="Footer"/>
      <w:tabs>
        <w:tab w:val="clear" w:pos="5812"/>
        <w:tab w:val="right" w:pos="5670"/>
      </w:tabs>
    </w:pPr>
    <w:r>
      <w:fldChar w:fldCharType="begin"/>
    </w:r>
    <w:r>
      <w:instrText xml:space="preserve"> FILENAME \p \* MERGEFORMAT </w:instrText>
    </w:r>
    <w:r>
      <w:fldChar w:fldCharType="separate"/>
    </w:r>
    <w:r w:rsidR="000821BF">
      <w:rPr>
        <w:noProof/>
      </w:rPr>
      <w:t>P:\ARA\SG\CONSEIL\EG-ITR\EG-ITR-4\000\002A.docx</w:t>
    </w:r>
    <w:r>
      <w:rPr>
        <w:noProof/>
      </w:rPr>
      <w:fldChar w:fldCharType="end"/>
    </w:r>
    <w:r w:rsidR="00BD0C50" w:rsidRPr="00665956">
      <w:t xml:space="preserve">   (</w:t>
    </w:r>
    <w:r w:rsidR="007A704F">
      <w:rPr>
        <w:rFonts w:hint="cs"/>
        <w:rtl/>
      </w:rPr>
      <w:t>433805</w:t>
    </w:r>
    <w:r w:rsidR="00BD0C50" w:rsidRPr="00665956">
      <w:t>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>
      <w:rPr>
        <w:noProof/>
      </w:rPr>
      <w:t>06.04.18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0821BF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476123" w:rsidRDefault="000E4FF0" w:rsidP="00240AF5">
    <w:pPr>
      <w:pStyle w:val="Footer"/>
      <w:tabs>
        <w:tab w:val="center" w:pos="5529"/>
      </w:tabs>
      <w:rPr>
        <w:rFonts w:cs="Calibri"/>
        <w:lang w:val="fr-FR"/>
      </w:rPr>
    </w:pP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FILENAME \p \* MERGEFORMAT </w:instrText>
    </w:r>
    <w:r w:rsidRPr="00476123">
      <w:rPr>
        <w:rFonts w:cs="Calibri"/>
        <w:lang w:val="fr-FR"/>
      </w:rPr>
      <w:fldChar w:fldCharType="separate"/>
    </w:r>
    <w:r w:rsidR="000821BF">
      <w:rPr>
        <w:rFonts w:cs="Calibri"/>
        <w:noProof/>
        <w:lang w:val="fr-FR"/>
      </w:rPr>
      <w:t>P:\ARA\SG\CONSEIL\EG-ITR\EG-ITR-4\000\002A.docx</w:t>
    </w:r>
    <w:r w:rsidRPr="00476123">
      <w:rPr>
        <w:rFonts w:cs="Calibri"/>
      </w:rPr>
      <w:fldChar w:fldCharType="end"/>
    </w:r>
    <w:r w:rsidRPr="00476123">
      <w:rPr>
        <w:rFonts w:cs="Calibri"/>
      </w:rPr>
      <w:t xml:space="preserve">  </w:t>
    </w:r>
    <w:r w:rsidRPr="00476123">
      <w:rPr>
        <w:rFonts w:cs="Calibri"/>
        <w:lang w:val="fr-FR"/>
      </w:rPr>
      <w:t xml:space="preserve"> (</w:t>
    </w:r>
    <w:r w:rsidR="00240AF5">
      <w:rPr>
        <w:rFonts w:cs="Calibri"/>
        <w:lang w:val="fr-FR"/>
      </w:rPr>
      <w:t>433805</w:t>
    </w:r>
    <w:r w:rsidRPr="00476123">
      <w:rPr>
        <w:rFonts w:cs="Calibri"/>
        <w:lang w:val="fr-FR"/>
      </w:rPr>
      <w:t>)</w:t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savedate \@ dd.MM.yy </w:instrText>
    </w:r>
    <w:r w:rsidRPr="00476123">
      <w:rPr>
        <w:rFonts w:cs="Calibri"/>
        <w:lang w:val="fr-FR"/>
      </w:rPr>
      <w:fldChar w:fldCharType="separate"/>
    </w:r>
    <w:r w:rsidR="00F67041">
      <w:rPr>
        <w:rFonts w:cs="Calibri"/>
        <w:noProof/>
        <w:lang w:val="fr-FR"/>
      </w:rPr>
      <w:t>06.04.18</w:t>
    </w:r>
    <w:r w:rsidRPr="00476123">
      <w:rPr>
        <w:rFonts w:cs="Calibri"/>
      </w:rPr>
      <w:fldChar w:fldCharType="end"/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printdate \@ dd.MM.yy </w:instrText>
    </w:r>
    <w:r w:rsidRPr="00476123">
      <w:rPr>
        <w:rFonts w:cs="Calibri"/>
        <w:lang w:val="fr-FR"/>
      </w:rPr>
      <w:fldChar w:fldCharType="separate"/>
    </w:r>
    <w:r w:rsidR="000821BF">
      <w:rPr>
        <w:rFonts w:cs="Calibri"/>
        <w:noProof/>
        <w:lang w:val="fr-FR"/>
      </w:rPr>
      <w:t>07.06.16</w:t>
    </w:r>
    <w:r w:rsidRPr="00476123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3EA" w:rsidRDefault="008813EA" w:rsidP="00E07379">
      <w:pPr>
        <w:spacing w:before="0" w:line="240" w:lineRule="auto"/>
      </w:pPr>
      <w:r>
        <w:separator/>
      </w:r>
    </w:p>
  </w:footnote>
  <w:footnote w:type="continuationSeparator" w:id="0">
    <w:p w:rsidR="008813EA" w:rsidRDefault="008813E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F67041" w:rsidP="00760E68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Pr="00F67041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EA"/>
    <w:rsid w:val="000124CC"/>
    <w:rsid w:val="00041F8B"/>
    <w:rsid w:val="000428A1"/>
    <w:rsid w:val="00046444"/>
    <w:rsid w:val="0006023B"/>
    <w:rsid w:val="000821BF"/>
    <w:rsid w:val="0008638B"/>
    <w:rsid w:val="00090574"/>
    <w:rsid w:val="00092FC2"/>
    <w:rsid w:val="000A1677"/>
    <w:rsid w:val="000B31C8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12CE3"/>
    <w:rsid w:val="00132F05"/>
    <w:rsid w:val="00173915"/>
    <w:rsid w:val="001A5189"/>
    <w:rsid w:val="0022345D"/>
    <w:rsid w:val="00225854"/>
    <w:rsid w:val="0023283D"/>
    <w:rsid w:val="00240AF5"/>
    <w:rsid w:val="00252E0C"/>
    <w:rsid w:val="00276881"/>
    <w:rsid w:val="002916BE"/>
    <w:rsid w:val="002978F4"/>
    <w:rsid w:val="002B028D"/>
    <w:rsid w:val="002B435E"/>
    <w:rsid w:val="002C4DAE"/>
    <w:rsid w:val="002D6669"/>
    <w:rsid w:val="002E2522"/>
    <w:rsid w:val="002E6541"/>
    <w:rsid w:val="002F5560"/>
    <w:rsid w:val="00303AE3"/>
    <w:rsid w:val="0030486B"/>
    <w:rsid w:val="00307F61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686F"/>
    <w:rsid w:val="004367CE"/>
    <w:rsid w:val="00443869"/>
    <w:rsid w:val="004712C6"/>
    <w:rsid w:val="00476123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738BD"/>
    <w:rsid w:val="006A6A8E"/>
    <w:rsid w:val="006C1556"/>
    <w:rsid w:val="006F267F"/>
    <w:rsid w:val="006F63F7"/>
    <w:rsid w:val="006F6F03"/>
    <w:rsid w:val="00706D7A"/>
    <w:rsid w:val="00726AEC"/>
    <w:rsid w:val="007530CA"/>
    <w:rsid w:val="00760E68"/>
    <w:rsid w:val="0079553D"/>
    <w:rsid w:val="007A704F"/>
    <w:rsid w:val="007B01CC"/>
    <w:rsid w:val="007D4F32"/>
    <w:rsid w:val="007E7C6C"/>
    <w:rsid w:val="007F6238"/>
    <w:rsid w:val="007F646C"/>
    <w:rsid w:val="00801FCD"/>
    <w:rsid w:val="00803D7E"/>
    <w:rsid w:val="00803F08"/>
    <w:rsid w:val="00813841"/>
    <w:rsid w:val="008235CD"/>
    <w:rsid w:val="00823A07"/>
    <w:rsid w:val="00835FEC"/>
    <w:rsid w:val="008513CB"/>
    <w:rsid w:val="00874D9C"/>
    <w:rsid w:val="008813EA"/>
    <w:rsid w:val="008A1810"/>
    <w:rsid w:val="008B5B5D"/>
    <w:rsid w:val="00917694"/>
    <w:rsid w:val="009263CD"/>
    <w:rsid w:val="00930E6D"/>
    <w:rsid w:val="00950A5B"/>
    <w:rsid w:val="00955F61"/>
    <w:rsid w:val="00972CA2"/>
    <w:rsid w:val="00982B28"/>
    <w:rsid w:val="00984EA5"/>
    <w:rsid w:val="00992593"/>
    <w:rsid w:val="0099765F"/>
    <w:rsid w:val="009B4F68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1F1A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474D"/>
    <w:rsid w:val="00C75633"/>
    <w:rsid w:val="00C8242E"/>
    <w:rsid w:val="00C82615"/>
    <w:rsid w:val="00C867DB"/>
    <w:rsid w:val="00CA2A38"/>
    <w:rsid w:val="00CA50FF"/>
    <w:rsid w:val="00CB2555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26C0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63082"/>
    <w:rsid w:val="00E7380C"/>
    <w:rsid w:val="00E74BE7"/>
    <w:rsid w:val="00E86CC9"/>
    <w:rsid w:val="00E96624"/>
    <w:rsid w:val="00EF6D41"/>
    <w:rsid w:val="00F126F1"/>
    <w:rsid w:val="00F2106A"/>
    <w:rsid w:val="00F36D8B"/>
    <w:rsid w:val="00F37538"/>
    <w:rsid w:val="00F401D0"/>
    <w:rsid w:val="00F45F2B"/>
    <w:rsid w:val="00F57AE4"/>
    <w:rsid w:val="00F67041"/>
    <w:rsid w:val="00F67150"/>
    <w:rsid w:val="00F84366"/>
    <w:rsid w:val="00F85089"/>
    <w:rsid w:val="00F85564"/>
    <w:rsid w:val="00F86CFA"/>
    <w:rsid w:val="00F86D36"/>
    <w:rsid w:val="00FB60B7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F99F1A64-F323-495E-A810-34D7A95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de10a323-94a9-4e93-88b4-ea964576960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74752-C8C7-4924-8411-DB7F37E7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Imad RIZ</cp:lastModifiedBy>
  <cp:revision>5</cp:revision>
  <cp:lastPrinted>2016-06-07T13:25:00Z</cp:lastPrinted>
  <dcterms:created xsi:type="dcterms:W3CDTF">2018-04-06T07:09:00Z</dcterms:created>
  <dcterms:modified xsi:type="dcterms:W3CDTF">2018-04-06T09:22:00Z</dcterms:modified>
  <cp:category>Conference document</cp:category>
</cp:coreProperties>
</file>