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958" w:rsidRDefault="00054958">
      <w:pPr>
        <w:rPr>
          <w:b/>
          <w:sz w:val="20"/>
          <w:u w:val="single"/>
        </w:rPr>
      </w:pPr>
    </w:p>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054958" w:rsidRPr="00BB37F5" w:rsidTr="008B485E">
        <w:trPr>
          <w:cantSplit/>
        </w:trPr>
        <w:tc>
          <w:tcPr>
            <w:tcW w:w="6237" w:type="dxa"/>
            <w:vAlign w:val="center"/>
          </w:tcPr>
          <w:p w:rsidR="00054958" w:rsidRPr="00FD65AD" w:rsidRDefault="00054958" w:rsidP="008B485E">
            <w:pPr>
              <w:spacing w:after="48" w:line="240" w:lineRule="atLeast"/>
              <w:rPr>
                <w:rFonts w:cstheme="minorHAnsi"/>
                <w:position w:val="6"/>
              </w:rPr>
            </w:pPr>
            <w:r>
              <w:rPr>
                <w:rFonts w:ascii="Calibri" w:hAnsi="Calibri" w:cs="Calibri"/>
                <w:b/>
                <w:bCs/>
                <w:position w:val="6"/>
                <w:sz w:val="30"/>
                <w:szCs w:val="30"/>
              </w:rPr>
              <w:t>Expert Group on the International Telecommunication Regulations (EG-ITRs)</w:t>
            </w:r>
          </w:p>
        </w:tc>
        <w:tc>
          <w:tcPr>
            <w:tcW w:w="4077" w:type="dxa"/>
          </w:tcPr>
          <w:p w:rsidR="00054958" w:rsidRPr="00BB37F5" w:rsidRDefault="00054958" w:rsidP="002B5896">
            <w:pPr>
              <w:spacing w:line="240" w:lineRule="atLeast"/>
            </w:pPr>
            <w:bookmarkStart w:id="0" w:name="ditulogo"/>
            <w:bookmarkEnd w:id="0"/>
            <w:r>
              <w:rPr>
                <w:noProof/>
              </w:rPr>
              <w:drawing>
                <wp:inline distT="0" distB="0" distL="0" distR="0" wp14:anchorId="4A75C9A8" wp14:editId="23C60F18">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054958" w:rsidRPr="00FD65AD" w:rsidTr="002B5896">
        <w:trPr>
          <w:cantSplit/>
        </w:trPr>
        <w:tc>
          <w:tcPr>
            <w:tcW w:w="6237" w:type="dxa"/>
            <w:tcBorders>
              <w:bottom w:val="single" w:sz="12" w:space="0" w:color="auto"/>
            </w:tcBorders>
          </w:tcPr>
          <w:p w:rsidR="00054958" w:rsidRPr="00FD65AD" w:rsidRDefault="00F465CD" w:rsidP="00F465CD">
            <w:pPr>
              <w:spacing w:after="0"/>
              <w:rPr>
                <w:rFonts w:cstheme="minorHAnsi"/>
                <w:b/>
              </w:rPr>
            </w:pPr>
            <w:r>
              <w:rPr>
                <w:rFonts w:cstheme="minorHAnsi"/>
                <w:b/>
              </w:rPr>
              <w:t>Third</w:t>
            </w:r>
            <w:r w:rsidR="00054958">
              <w:rPr>
                <w:rFonts w:cstheme="minorHAnsi"/>
                <w:b/>
              </w:rPr>
              <w:t xml:space="preserve"> </w:t>
            </w:r>
            <w:r w:rsidR="00054958" w:rsidRPr="00FD65AD">
              <w:rPr>
                <w:rFonts w:cstheme="minorHAnsi"/>
                <w:b/>
              </w:rPr>
              <w:t xml:space="preserve">meeting – Geneva, </w:t>
            </w:r>
            <w:r w:rsidR="00054958">
              <w:rPr>
                <w:rFonts w:cstheme="minorHAnsi"/>
                <w:b/>
              </w:rPr>
              <w:t>1</w:t>
            </w:r>
            <w:r>
              <w:rPr>
                <w:rFonts w:cstheme="minorHAnsi"/>
                <w:b/>
              </w:rPr>
              <w:t>7</w:t>
            </w:r>
            <w:r w:rsidR="00054958">
              <w:rPr>
                <w:rFonts w:cstheme="minorHAnsi"/>
                <w:b/>
              </w:rPr>
              <w:t>-1</w:t>
            </w:r>
            <w:r>
              <w:rPr>
                <w:rFonts w:cstheme="minorHAnsi"/>
                <w:b/>
              </w:rPr>
              <w:t>9</w:t>
            </w:r>
            <w:r w:rsidR="00054958">
              <w:rPr>
                <w:rFonts w:cstheme="minorHAnsi"/>
                <w:b/>
              </w:rPr>
              <w:t xml:space="preserve"> </w:t>
            </w:r>
            <w:r>
              <w:rPr>
                <w:rFonts w:cstheme="minorHAnsi"/>
                <w:b/>
              </w:rPr>
              <w:t>January</w:t>
            </w:r>
            <w:r w:rsidR="00054958">
              <w:rPr>
                <w:rFonts w:cstheme="minorHAnsi"/>
                <w:b/>
              </w:rPr>
              <w:t xml:space="preserve"> 201</w:t>
            </w:r>
            <w:r>
              <w:rPr>
                <w:rFonts w:cstheme="minorHAnsi"/>
                <w:b/>
              </w:rPr>
              <w:t>8</w:t>
            </w:r>
            <w:r w:rsidR="00054958" w:rsidRPr="00FD65AD">
              <w:rPr>
                <w:rFonts w:cstheme="minorHAnsi"/>
                <w:b/>
              </w:rPr>
              <w:t xml:space="preserve"> </w:t>
            </w:r>
          </w:p>
        </w:tc>
        <w:tc>
          <w:tcPr>
            <w:tcW w:w="4077" w:type="dxa"/>
            <w:tcBorders>
              <w:bottom w:val="single" w:sz="12" w:space="0" w:color="auto"/>
            </w:tcBorders>
          </w:tcPr>
          <w:p w:rsidR="00054958" w:rsidRPr="00FD65AD" w:rsidRDefault="00054958" w:rsidP="008B485E">
            <w:pPr>
              <w:spacing w:after="0"/>
              <w:rPr>
                <w:rFonts w:cstheme="minorHAnsi"/>
              </w:rPr>
            </w:pPr>
          </w:p>
        </w:tc>
      </w:tr>
      <w:tr w:rsidR="00054958" w:rsidRPr="003B4EB9" w:rsidTr="002B5896">
        <w:trPr>
          <w:cantSplit/>
        </w:trPr>
        <w:tc>
          <w:tcPr>
            <w:tcW w:w="6237" w:type="dxa"/>
            <w:tcBorders>
              <w:top w:val="single" w:sz="12" w:space="0" w:color="auto"/>
            </w:tcBorders>
          </w:tcPr>
          <w:p w:rsidR="00054958" w:rsidRPr="003B4EB9" w:rsidRDefault="00054958" w:rsidP="008B485E">
            <w:pPr>
              <w:spacing w:after="0"/>
              <w:rPr>
                <w:rFonts w:cstheme="minorHAnsi"/>
                <w:b/>
                <w:smallCaps/>
              </w:rPr>
            </w:pPr>
          </w:p>
        </w:tc>
        <w:tc>
          <w:tcPr>
            <w:tcW w:w="4077" w:type="dxa"/>
            <w:tcBorders>
              <w:top w:val="single" w:sz="12" w:space="0" w:color="auto"/>
            </w:tcBorders>
          </w:tcPr>
          <w:p w:rsidR="00054958" w:rsidRPr="003B4EB9" w:rsidRDefault="00054958" w:rsidP="008B485E">
            <w:pPr>
              <w:spacing w:after="0"/>
              <w:rPr>
                <w:rFonts w:cstheme="minorHAnsi"/>
              </w:rPr>
            </w:pPr>
          </w:p>
        </w:tc>
      </w:tr>
      <w:tr w:rsidR="00054958" w:rsidRPr="00CB2A7D" w:rsidTr="002B5896">
        <w:trPr>
          <w:cantSplit/>
          <w:trHeight w:val="23"/>
        </w:trPr>
        <w:tc>
          <w:tcPr>
            <w:tcW w:w="6237" w:type="dxa"/>
            <w:vMerge w:val="restart"/>
          </w:tcPr>
          <w:p w:rsidR="00054958" w:rsidRPr="003B4EB9" w:rsidRDefault="00054958" w:rsidP="008B485E">
            <w:pPr>
              <w:tabs>
                <w:tab w:val="left" w:pos="851"/>
              </w:tabs>
              <w:spacing w:after="0"/>
              <w:rPr>
                <w:rFonts w:cstheme="minorHAnsi"/>
                <w:b/>
              </w:rPr>
            </w:pPr>
          </w:p>
        </w:tc>
        <w:tc>
          <w:tcPr>
            <w:tcW w:w="4077" w:type="dxa"/>
          </w:tcPr>
          <w:p w:rsidR="00054958" w:rsidRPr="003B4EB9" w:rsidRDefault="00054958" w:rsidP="00F603DC">
            <w:pPr>
              <w:tabs>
                <w:tab w:val="left" w:pos="851"/>
              </w:tabs>
              <w:spacing w:after="0"/>
              <w:rPr>
                <w:rFonts w:cstheme="minorHAnsi"/>
                <w:b/>
                <w:lang w:val="de-CH"/>
              </w:rPr>
            </w:pPr>
            <w:r w:rsidRPr="003B4EB9">
              <w:rPr>
                <w:rFonts w:cs="Calibri"/>
                <w:b/>
                <w:lang w:val="de-CH"/>
              </w:rPr>
              <w:t xml:space="preserve">Document EG-ITRs </w:t>
            </w:r>
            <w:r w:rsidR="00F465CD">
              <w:rPr>
                <w:rFonts w:cs="Calibri"/>
                <w:b/>
                <w:lang w:val="de-CH"/>
              </w:rPr>
              <w:t>3</w:t>
            </w:r>
            <w:r w:rsidRPr="003B4EB9">
              <w:rPr>
                <w:rFonts w:cs="Calibri"/>
                <w:b/>
                <w:lang w:val="de-CH"/>
              </w:rPr>
              <w:t>/</w:t>
            </w:r>
            <w:r w:rsidR="00F603DC" w:rsidRPr="00237DCE">
              <w:rPr>
                <w:rFonts w:cs="Calibri"/>
                <w:b/>
                <w:lang w:val="de-CH"/>
              </w:rPr>
              <w:t>11</w:t>
            </w:r>
            <w:r w:rsidR="000759F6" w:rsidRPr="00237DCE">
              <w:rPr>
                <w:rFonts w:cs="Calibri"/>
                <w:b/>
                <w:lang w:val="de-CH"/>
              </w:rPr>
              <w:t>-E</w:t>
            </w:r>
          </w:p>
        </w:tc>
      </w:tr>
      <w:tr w:rsidR="00054958" w:rsidRPr="003B4EB9" w:rsidTr="002B5896">
        <w:trPr>
          <w:cantSplit/>
          <w:trHeight w:val="23"/>
        </w:trPr>
        <w:tc>
          <w:tcPr>
            <w:tcW w:w="6237" w:type="dxa"/>
            <w:vMerge/>
          </w:tcPr>
          <w:p w:rsidR="00054958" w:rsidRPr="003B4EB9" w:rsidRDefault="00054958" w:rsidP="008B485E">
            <w:pPr>
              <w:tabs>
                <w:tab w:val="left" w:pos="851"/>
              </w:tabs>
              <w:spacing w:after="0" w:line="240" w:lineRule="atLeast"/>
              <w:rPr>
                <w:b/>
                <w:szCs w:val="24"/>
                <w:lang w:val="de-CH"/>
              </w:rPr>
            </w:pPr>
          </w:p>
        </w:tc>
        <w:tc>
          <w:tcPr>
            <w:tcW w:w="4077" w:type="dxa"/>
            <w:shd w:val="clear" w:color="auto" w:fill="auto"/>
          </w:tcPr>
          <w:p w:rsidR="00054958" w:rsidRPr="003B4EB9" w:rsidRDefault="00F465CD" w:rsidP="00F465CD">
            <w:pPr>
              <w:tabs>
                <w:tab w:val="left" w:pos="993"/>
              </w:tabs>
              <w:spacing w:after="0"/>
              <w:rPr>
                <w:b/>
                <w:szCs w:val="24"/>
                <w:highlight w:val="yellow"/>
              </w:rPr>
            </w:pPr>
            <w:r>
              <w:rPr>
                <w:rFonts w:cstheme="minorHAnsi"/>
                <w:b/>
              </w:rPr>
              <w:t>19</w:t>
            </w:r>
            <w:r w:rsidR="00054958" w:rsidRPr="003B4EB9">
              <w:rPr>
                <w:rFonts w:cstheme="minorHAnsi"/>
                <w:b/>
              </w:rPr>
              <w:t xml:space="preserve"> </w:t>
            </w:r>
            <w:r>
              <w:rPr>
                <w:rFonts w:cstheme="minorHAnsi"/>
                <w:b/>
              </w:rPr>
              <w:t>January</w:t>
            </w:r>
            <w:r w:rsidR="00054958" w:rsidRPr="003B4EB9">
              <w:rPr>
                <w:rFonts w:cstheme="minorHAnsi"/>
                <w:b/>
              </w:rPr>
              <w:t xml:space="preserve"> 201</w:t>
            </w:r>
            <w:r>
              <w:rPr>
                <w:rFonts w:cstheme="minorHAnsi"/>
                <w:b/>
              </w:rPr>
              <w:t>8</w:t>
            </w:r>
          </w:p>
        </w:tc>
      </w:tr>
      <w:tr w:rsidR="00054958" w:rsidRPr="003B4EB9" w:rsidTr="002B5896">
        <w:trPr>
          <w:cantSplit/>
          <w:trHeight w:val="80"/>
        </w:trPr>
        <w:tc>
          <w:tcPr>
            <w:tcW w:w="6237" w:type="dxa"/>
            <w:vMerge/>
          </w:tcPr>
          <w:p w:rsidR="00054958" w:rsidRPr="003B4EB9" w:rsidRDefault="00054958" w:rsidP="008B485E">
            <w:pPr>
              <w:tabs>
                <w:tab w:val="left" w:pos="851"/>
              </w:tabs>
              <w:spacing w:after="0" w:line="240" w:lineRule="atLeast"/>
              <w:rPr>
                <w:b/>
                <w:szCs w:val="24"/>
              </w:rPr>
            </w:pPr>
          </w:p>
        </w:tc>
        <w:tc>
          <w:tcPr>
            <w:tcW w:w="4077" w:type="dxa"/>
          </w:tcPr>
          <w:p w:rsidR="00054958" w:rsidRPr="003B4EB9" w:rsidRDefault="00054958" w:rsidP="008B485E">
            <w:pPr>
              <w:tabs>
                <w:tab w:val="left" w:pos="993"/>
              </w:tabs>
              <w:spacing w:after="0"/>
              <w:rPr>
                <w:b/>
                <w:szCs w:val="24"/>
              </w:rPr>
            </w:pPr>
            <w:r>
              <w:rPr>
                <w:rFonts w:cstheme="minorHAnsi"/>
                <w:b/>
              </w:rPr>
              <w:t xml:space="preserve">Original: </w:t>
            </w:r>
            <w:r w:rsidRPr="003B4EB9">
              <w:rPr>
                <w:rFonts w:cstheme="minorHAnsi"/>
                <w:b/>
              </w:rPr>
              <w:t>English</w:t>
            </w:r>
          </w:p>
        </w:tc>
      </w:tr>
      <w:tr w:rsidR="00054958" w:rsidRPr="003B4EB9" w:rsidTr="002B5896">
        <w:trPr>
          <w:cantSplit/>
          <w:trHeight w:val="80"/>
        </w:trPr>
        <w:tc>
          <w:tcPr>
            <w:tcW w:w="10314" w:type="dxa"/>
            <w:gridSpan w:val="2"/>
          </w:tcPr>
          <w:p w:rsidR="00054958" w:rsidRPr="003B4EB9" w:rsidRDefault="00054958" w:rsidP="00F465CD">
            <w:pPr>
              <w:pStyle w:val="Title1"/>
              <w:spacing w:before="600"/>
              <w:rPr>
                <w:rFonts w:asciiTheme="minorHAnsi" w:hAnsiTheme="minorHAnsi"/>
                <w:szCs w:val="28"/>
              </w:rPr>
            </w:pPr>
            <w:r w:rsidRPr="003B4EB9">
              <w:rPr>
                <w:rFonts w:asciiTheme="minorHAnsi" w:hAnsiTheme="minorHAnsi"/>
                <w:szCs w:val="28"/>
              </w:rPr>
              <w:t xml:space="preserve">REPORT OF THE </w:t>
            </w:r>
            <w:r w:rsidR="00F465CD">
              <w:rPr>
                <w:rFonts w:asciiTheme="minorHAnsi" w:hAnsiTheme="minorHAnsi"/>
                <w:szCs w:val="28"/>
              </w:rPr>
              <w:t>third</w:t>
            </w:r>
            <w:r w:rsidRPr="003B4EB9">
              <w:rPr>
                <w:rFonts w:asciiTheme="minorHAnsi" w:hAnsiTheme="minorHAnsi"/>
                <w:szCs w:val="28"/>
              </w:rPr>
              <w:t xml:space="preserve"> MEETING of </w:t>
            </w:r>
            <w:r>
              <w:rPr>
                <w:rFonts w:asciiTheme="minorHAnsi" w:hAnsiTheme="minorHAnsi"/>
                <w:szCs w:val="28"/>
              </w:rPr>
              <w:br/>
            </w:r>
            <w:r w:rsidRPr="003B4EB9">
              <w:rPr>
                <w:rFonts w:asciiTheme="minorHAnsi" w:hAnsiTheme="minorHAnsi"/>
                <w:szCs w:val="28"/>
              </w:rPr>
              <w:t>the</w:t>
            </w:r>
            <w:r>
              <w:rPr>
                <w:rFonts w:asciiTheme="minorHAnsi" w:hAnsiTheme="minorHAnsi"/>
                <w:szCs w:val="28"/>
              </w:rPr>
              <w:t xml:space="preserve"> </w:t>
            </w:r>
            <w:r w:rsidRPr="003B4EB9">
              <w:rPr>
                <w:rFonts w:asciiTheme="minorHAnsi" w:hAnsiTheme="minorHAnsi"/>
                <w:szCs w:val="28"/>
              </w:rPr>
              <w:t xml:space="preserve">expert group on the international telecommunication regulations </w:t>
            </w:r>
            <w:r>
              <w:rPr>
                <w:rFonts w:asciiTheme="minorHAnsi" w:hAnsiTheme="minorHAnsi"/>
                <w:szCs w:val="28"/>
              </w:rPr>
              <w:br/>
            </w:r>
            <w:r w:rsidRPr="003B4EB9">
              <w:rPr>
                <w:rFonts w:asciiTheme="minorHAnsi" w:hAnsiTheme="minorHAnsi"/>
                <w:szCs w:val="28"/>
              </w:rPr>
              <w:t>(eg-itrs)</w:t>
            </w:r>
          </w:p>
        </w:tc>
      </w:tr>
    </w:tbl>
    <w:p w:rsidR="00C30BAD" w:rsidRPr="00043720" w:rsidRDefault="00C30BAD" w:rsidP="00C30BAD">
      <w:pPr>
        <w:pStyle w:val="ListParagraph"/>
        <w:numPr>
          <w:ilvl w:val="0"/>
          <w:numId w:val="3"/>
        </w:numPr>
        <w:tabs>
          <w:tab w:val="clear" w:pos="794"/>
          <w:tab w:val="clear" w:pos="1191"/>
          <w:tab w:val="clear" w:pos="1588"/>
          <w:tab w:val="clear" w:pos="1985"/>
        </w:tabs>
        <w:overflowPunct/>
        <w:autoSpaceDE/>
        <w:autoSpaceDN/>
        <w:snapToGrid w:val="0"/>
        <w:spacing w:before="480" w:after="120"/>
        <w:ind w:left="0" w:firstLine="0"/>
        <w:contextualSpacing w:val="0"/>
        <w:jc w:val="both"/>
        <w:textAlignment w:val="auto"/>
        <w:rPr>
          <w:rFonts w:asciiTheme="minorHAnsi" w:hAnsiTheme="minorHAnsi" w:cstheme="majorBidi"/>
          <w:b/>
          <w:szCs w:val="24"/>
        </w:rPr>
      </w:pPr>
      <w:r w:rsidRPr="00043720">
        <w:rPr>
          <w:rFonts w:asciiTheme="minorHAnsi" w:hAnsiTheme="minorHAnsi" w:cstheme="majorBidi"/>
          <w:b/>
          <w:szCs w:val="24"/>
        </w:rPr>
        <w:t>Introduction</w:t>
      </w:r>
    </w:p>
    <w:p w:rsidR="00C30BAD" w:rsidRPr="00043720" w:rsidRDefault="00C30BAD" w:rsidP="00A722E5">
      <w:pPr>
        <w:snapToGrid w:val="0"/>
        <w:spacing w:after="120"/>
        <w:jc w:val="both"/>
        <w:rPr>
          <w:rFonts w:cstheme="majorBidi"/>
          <w:szCs w:val="24"/>
        </w:rPr>
      </w:pPr>
      <w:r w:rsidRPr="00043720">
        <w:rPr>
          <w:rFonts w:cstheme="majorBidi"/>
          <w:b/>
          <w:bCs/>
          <w:szCs w:val="24"/>
        </w:rPr>
        <w:t>1.1</w:t>
      </w:r>
      <w:r w:rsidRPr="00043720">
        <w:rPr>
          <w:rFonts w:cstheme="majorBidi"/>
          <w:szCs w:val="24"/>
        </w:rPr>
        <w:tab/>
      </w:r>
      <w:r w:rsidR="00F465CD">
        <w:rPr>
          <w:rFonts w:cstheme="majorBidi"/>
          <w:szCs w:val="24"/>
        </w:rPr>
        <w:t>On behalf of the Secretary-General, t</w:t>
      </w:r>
      <w:r w:rsidRPr="00043720">
        <w:rPr>
          <w:rFonts w:cstheme="majorBidi"/>
          <w:szCs w:val="24"/>
        </w:rPr>
        <w:t xml:space="preserve">he </w:t>
      </w:r>
      <w:r w:rsidR="00F465CD">
        <w:rPr>
          <w:rFonts w:cstheme="majorBidi"/>
          <w:szCs w:val="24"/>
        </w:rPr>
        <w:t xml:space="preserve">Deputy </w:t>
      </w:r>
      <w:r w:rsidRPr="00043720">
        <w:rPr>
          <w:rFonts w:cstheme="majorBidi"/>
          <w:szCs w:val="24"/>
        </w:rPr>
        <w:t xml:space="preserve">Secretary-General Mr. </w:t>
      </w:r>
      <w:r w:rsidR="00F465CD">
        <w:rPr>
          <w:rFonts w:cstheme="majorBidi"/>
          <w:szCs w:val="24"/>
        </w:rPr>
        <w:t>Malcolm Johnson</w:t>
      </w:r>
      <w:r w:rsidRPr="00043720">
        <w:rPr>
          <w:rFonts w:cstheme="majorBidi"/>
          <w:szCs w:val="24"/>
        </w:rPr>
        <w:t xml:space="preserve">, welcomed the participants to the </w:t>
      </w:r>
      <w:r w:rsidR="00F465CD">
        <w:rPr>
          <w:rFonts w:cstheme="majorBidi"/>
          <w:szCs w:val="24"/>
        </w:rPr>
        <w:t>third</w:t>
      </w:r>
      <w:r w:rsidRPr="00043720">
        <w:rPr>
          <w:rFonts w:cstheme="majorBidi"/>
          <w:szCs w:val="24"/>
        </w:rPr>
        <w:t xml:space="preserve"> meeting of EG-ITRs. He stressed the importance of the work that lies ahead of the Group</w:t>
      </w:r>
      <w:r w:rsidR="00F465CD">
        <w:rPr>
          <w:rFonts w:cstheme="majorBidi"/>
          <w:szCs w:val="24"/>
        </w:rPr>
        <w:t>,</w:t>
      </w:r>
      <w:r>
        <w:rPr>
          <w:rFonts w:cstheme="majorBidi"/>
          <w:szCs w:val="24"/>
        </w:rPr>
        <w:t xml:space="preserve"> and highlighted that </w:t>
      </w:r>
      <w:r w:rsidR="00F465CD">
        <w:rPr>
          <w:rFonts w:cstheme="majorBidi"/>
          <w:szCs w:val="24"/>
        </w:rPr>
        <w:t>t</w:t>
      </w:r>
      <w:r w:rsidR="00F465CD" w:rsidRPr="00F465CD">
        <w:rPr>
          <w:rFonts w:cstheme="majorBidi"/>
          <w:szCs w:val="24"/>
        </w:rPr>
        <w:t>he ITU membership is looking to this group to provide valuable guidance to Council, and through the Council to the plenipotentiary conference later this year</w:t>
      </w:r>
      <w:r w:rsidRPr="00054958">
        <w:rPr>
          <w:rFonts w:cstheme="majorBidi"/>
          <w:szCs w:val="24"/>
        </w:rPr>
        <w:t>.</w:t>
      </w:r>
    </w:p>
    <w:p w:rsidR="00C30BAD" w:rsidRDefault="00C30BAD" w:rsidP="00C930D6">
      <w:pPr>
        <w:snapToGrid w:val="0"/>
        <w:spacing w:after="120"/>
        <w:jc w:val="both"/>
        <w:rPr>
          <w:rFonts w:cstheme="majorBidi"/>
          <w:szCs w:val="24"/>
        </w:rPr>
      </w:pPr>
      <w:r w:rsidRPr="00043720">
        <w:rPr>
          <w:rFonts w:cstheme="majorBidi"/>
          <w:b/>
          <w:bCs/>
          <w:szCs w:val="24"/>
        </w:rPr>
        <w:t>1.2</w:t>
      </w:r>
      <w:r w:rsidRPr="00043720">
        <w:rPr>
          <w:rFonts w:cstheme="majorBidi"/>
          <w:szCs w:val="24"/>
        </w:rPr>
        <w:tab/>
        <w:t>The Chairman thanked the Deputy Secretary-General and Directors for their support. The Chairman stressed the need for the Group to work together in the spirit of consensus</w:t>
      </w:r>
      <w:r>
        <w:rPr>
          <w:rFonts w:cstheme="majorBidi"/>
          <w:szCs w:val="24"/>
        </w:rPr>
        <w:t xml:space="preserve"> and thanked the Vice Chairs for their valuable support and advice</w:t>
      </w:r>
      <w:r w:rsidRPr="00043720">
        <w:rPr>
          <w:rFonts w:cstheme="majorBidi"/>
          <w:szCs w:val="24"/>
        </w:rPr>
        <w:t>.</w:t>
      </w:r>
      <w:r>
        <w:rPr>
          <w:rFonts w:cstheme="majorBidi"/>
          <w:szCs w:val="24"/>
        </w:rPr>
        <w:t xml:space="preserve"> </w:t>
      </w:r>
      <w:r w:rsidR="00F465CD">
        <w:rPr>
          <w:rFonts w:cstheme="majorBidi"/>
          <w:szCs w:val="24"/>
        </w:rPr>
        <w:t>The Chairman r</w:t>
      </w:r>
      <w:r w:rsidR="00F465CD" w:rsidRPr="00F465CD">
        <w:rPr>
          <w:rFonts w:cstheme="majorBidi"/>
          <w:szCs w:val="24"/>
        </w:rPr>
        <w:t xml:space="preserve">emind </w:t>
      </w:r>
      <w:r w:rsidR="00F465CD">
        <w:rPr>
          <w:rFonts w:cstheme="majorBidi"/>
          <w:szCs w:val="24"/>
        </w:rPr>
        <w:t>the Group</w:t>
      </w:r>
      <w:r w:rsidR="00F465CD" w:rsidRPr="00F465CD">
        <w:rPr>
          <w:rFonts w:cstheme="majorBidi"/>
          <w:szCs w:val="24"/>
        </w:rPr>
        <w:t xml:space="preserve"> of the progress made since the September </w:t>
      </w:r>
      <w:r w:rsidR="00F629F5">
        <w:rPr>
          <w:rFonts w:cstheme="majorBidi"/>
          <w:szCs w:val="24"/>
        </w:rPr>
        <w:t xml:space="preserve">2017 </w:t>
      </w:r>
      <w:r w:rsidR="00F465CD" w:rsidRPr="00F465CD">
        <w:rPr>
          <w:rFonts w:cstheme="majorBidi"/>
          <w:szCs w:val="24"/>
        </w:rPr>
        <w:t xml:space="preserve">meeting of EG-ITRs, when the </w:t>
      </w:r>
      <w:r w:rsidR="00C930D6">
        <w:rPr>
          <w:rFonts w:cstheme="majorBidi"/>
          <w:szCs w:val="24"/>
        </w:rPr>
        <w:t>G</w:t>
      </w:r>
      <w:r w:rsidR="00F465CD" w:rsidRPr="00F465CD">
        <w:rPr>
          <w:rFonts w:cstheme="majorBidi"/>
          <w:szCs w:val="24"/>
        </w:rPr>
        <w:t>roup agreed to a plan for finalizing the report to Council 2018</w:t>
      </w:r>
      <w:r w:rsidR="00F465CD">
        <w:rPr>
          <w:rFonts w:cstheme="majorBidi"/>
          <w:szCs w:val="24"/>
        </w:rPr>
        <w:t xml:space="preserve">. </w:t>
      </w:r>
      <w:r w:rsidR="00F465CD" w:rsidRPr="00F465CD">
        <w:rPr>
          <w:rFonts w:cstheme="majorBidi"/>
          <w:szCs w:val="24"/>
        </w:rPr>
        <w:t xml:space="preserve"> </w:t>
      </w:r>
      <w:r w:rsidRPr="00054958">
        <w:rPr>
          <w:rFonts w:cstheme="majorBidi"/>
          <w:szCs w:val="24"/>
        </w:rPr>
        <w:t xml:space="preserve"> </w:t>
      </w:r>
    </w:p>
    <w:p w:rsidR="00C30BAD" w:rsidRPr="00043720" w:rsidRDefault="00C30BAD" w:rsidP="00C30BAD">
      <w:pPr>
        <w:snapToGrid w:val="0"/>
        <w:spacing w:before="360" w:after="120"/>
        <w:rPr>
          <w:rFonts w:cstheme="majorBidi"/>
          <w:b/>
          <w:bCs/>
          <w:szCs w:val="24"/>
        </w:rPr>
      </w:pPr>
      <w:r w:rsidRPr="00043720">
        <w:rPr>
          <w:rFonts w:cstheme="majorBidi"/>
          <w:b/>
          <w:szCs w:val="24"/>
        </w:rPr>
        <w:t>2</w:t>
      </w:r>
      <w:r w:rsidRPr="00043720">
        <w:rPr>
          <w:rFonts w:cstheme="majorBidi"/>
          <w:b/>
          <w:szCs w:val="24"/>
        </w:rPr>
        <w:tab/>
        <w:t>Adoption of the Agenda and allocation of documents</w:t>
      </w:r>
    </w:p>
    <w:p w:rsidR="00C30BAD" w:rsidRDefault="00C30BAD" w:rsidP="003A165E">
      <w:pPr>
        <w:snapToGrid w:val="0"/>
        <w:spacing w:after="120"/>
        <w:jc w:val="both"/>
        <w:rPr>
          <w:rFonts w:cstheme="majorBidi"/>
          <w:szCs w:val="24"/>
        </w:rPr>
      </w:pPr>
      <w:r w:rsidRPr="00043720">
        <w:rPr>
          <w:rFonts w:cstheme="majorBidi"/>
          <w:szCs w:val="24"/>
        </w:rPr>
        <w:t>The Agenda (Document</w:t>
      </w:r>
      <w:r w:rsidRPr="00043720">
        <w:rPr>
          <w:szCs w:val="24"/>
        </w:rPr>
        <w:t xml:space="preserve"> </w:t>
      </w:r>
      <w:r w:rsidRPr="00043720">
        <w:rPr>
          <w:rFonts w:cstheme="majorBidi"/>
          <w:szCs w:val="24"/>
        </w:rPr>
        <w:t xml:space="preserve">EG-ITRs </w:t>
      </w:r>
      <w:r w:rsidR="00F465CD">
        <w:rPr>
          <w:rFonts w:cstheme="majorBidi"/>
          <w:szCs w:val="24"/>
        </w:rPr>
        <w:t>3</w:t>
      </w:r>
      <w:r w:rsidRPr="00043720">
        <w:rPr>
          <w:rFonts w:cstheme="majorBidi"/>
          <w:szCs w:val="24"/>
        </w:rPr>
        <w:t>/1 (Rev.</w:t>
      </w:r>
      <w:r w:rsidR="00F465CD">
        <w:rPr>
          <w:rFonts w:cstheme="majorBidi"/>
          <w:szCs w:val="24"/>
        </w:rPr>
        <w:t>1</w:t>
      </w:r>
      <w:r w:rsidRPr="00043720">
        <w:rPr>
          <w:rFonts w:cstheme="majorBidi"/>
          <w:szCs w:val="24"/>
        </w:rPr>
        <w:t>))</w:t>
      </w:r>
      <w:r>
        <w:rPr>
          <w:rFonts w:cstheme="majorBidi"/>
          <w:szCs w:val="24"/>
        </w:rPr>
        <w:t xml:space="preserve"> was presented by the Chairman and adopted as presented</w:t>
      </w:r>
      <w:r w:rsidRPr="00043720">
        <w:rPr>
          <w:rFonts w:cstheme="majorBidi"/>
          <w:szCs w:val="24"/>
        </w:rPr>
        <w:t>.</w:t>
      </w:r>
      <w:r w:rsidR="00F465CD">
        <w:rPr>
          <w:rFonts w:cstheme="majorBidi"/>
          <w:szCs w:val="24"/>
        </w:rPr>
        <w:t xml:space="preserve">  The Chairman noted that in the agenda, the </w:t>
      </w:r>
      <w:r w:rsidR="00F465CD" w:rsidRPr="00F465CD">
        <w:rPr>
          <w:rFonts w:cstheme="majorBidi"/>
          <w:szCs w:val="24"/>
        </w:rPr>
        <w:t>discussion</w:t>
      </w:r>
      <w:r w:rsidR="00F465CD">
        <w:rPr>
          <w:rFonts w:cstheme="majorBidi"/>
          <w:szCs w:val="24"/>
        </w:rPr>
        <w:t>s</w:t>
      </w:r>
      <w:r w:rsidR="00F465CD" w:rsidRPr="00F465CD">
        <w:rPr>
          <w:rFonts w:cstheme="majorBidi"/>
          <w:szCs w:val="24"/>
        </w:rPr>
        <w:t xml:space="preserve"> </w:t>
      </w:r>
      <w:r w:rsidR="00F465CD">
        <w:rPr>
          <w:rFonts w:cstheme="majorBidi"/>
          <w:szCs w:val="24"/>
        </w:rPr>
        <w:t xml:space="preserve">have been categorized </w:t>
      </w:r>
      <w:r w:rsidR="00F465CD" w:rsidRPr="00F465CD">
        <w:rPr>
          <w:rFonts w:cstheme="majorBidi"/>
          <w:szCs w:val="24"/>
        </w:rPr>
        <w:t xml:space="preserve">into two parts </w:t>
      </w:r>
      <w:r w:rsidR="00F465CD">
        <w:rPr>
          <w:rFonts w:cstheme="majorBidi"/>
          <w:szCs w:val="24"/>
        </w:rPr>
        <w:t xml:space="preserve">(a) </w:t>
      </w:r>
      <w:r w:rsidR="00F465CD" w:rsidRPr="00F465CD">
        <w:rPr>
          <w:rFonts w:cstheme="majorBidi"/>
          <w:szCs w:val="24"/>
        </w:rPr>
        <w:t xml:space="preserve">the contributions </w:t>
      </w:r>
      <w:r w:rsidR="00F465CD">
        <w:rPr>
          <w:rFonts w:cstheme="majorBidi"/>
          <w:szCs w:val="24"/>
        </w:rPr>
        <w:t>made</w:t>
      </w:r>
      <w:r w:rsidR="00F465CD" w:rsidRPr="00F465CD">
        <w:rPr>
          <w:rFonts w:cstheme="majorBidi"/>
          <w:szCs w:val="24"/>
        </w:rPr>
        <w:t xml:space="preserve"> directly to the 3</w:t>
      </w:r>
      <w:r w:rsidR="00F465CD" w:rsidRPr="00F465CD">
        <w:rPr>
          <w:rFonts w:cstheme="majorBidi"/>
          <w:szCs w:val="24"/>
          <w:vertAlign w:val="superscript"/>
        </w:rPr>
        <w:t>rd</w:t>
      </w:r>
      <w:r w:rsidR="00F465CD">
        <w:rPr>
          <w:rFonts w:cstheme="majorBidi"/>
          <w:szCs w:val="24"/>
        </w:rPr>
        <w:t xml:space="preserve"> </w:t>
      </w:r>
      <w:r w:rsidR="00F465CD" w:rsidRPr="00F465CD">
        <w:rPr>
          <w:rFonts w:cstheme="majorBidi"/>
          <w:szCs w:val="24"/>
        </w:rPr>
        <w:t>meeting</w:t>
      </w:r>
      <w:r w:rsidR="00F465CD">
        <w:rPr>
          <w:rFonts w:cstheme="majorBidi"/>
          <w:szCs w:val="24"/>
        </w:rPr>
        <w:t xml:space="preserve"> (b) comments on </w:t>
      </w:r>
      <w:r w:rsidR="00F465CD" w:rsidRPr="00F465CD">
        <w:rPr>
          <w:rFonts w:cstheme="majorBidi"/>
          <w:szCs w:val="24"/>
        </w:rPr>
        <w:t>draft</w:t>
      </w:r>
      <w:r w:rsidR="00BD324C">
        <w:rPr>
          <w:rFonts w:cstheme="majorBidi"/>
          <w:szCs w:val="24"/>
        </w:rPr>
        <w:t xml:space="preserve"> 1.0 of the </w:t>
      </w:r>
      <w:r w:rsidR="00F465CD" w:rsidRPr="00F465CD">
        <w:rPr>
          <w:rFonts w:cstheme="majorBidi"/>
          <w:szCs w:val="24"/>
        </w:rPr>
        <w:t>final report to Council</w:t>
      </w:r>
      <w:r w:rsidR="000301A7">
        <w:rPr>
          <w:rFonts w:cstheme="majorBidi"/>
          <w:szCs w:val="24"/>
        </w:rPr>
        <w:t xml:space="preserve"> 2018</w:t>
      </w:r>
      <w:r w:rsidR="00F465CD" w:rsidRPr="00F465CD">
        <w:rPr>
          <w:rFonts w:cstheme="majorBidi"/>
          <w:szCs w:val="24"/>
        </w:rPr>
        <w:t>.</w:t>
      </w:r>
    </w:p>
    <w:p w:rsidR="00237DCE" w:rsidRDefault="00237DCE" w:rsidP="00237DCE">
      <w:pPr>
        <w:snapToGrid w:val="0"/>
        <w:spacing w:after="0" w:line="240" w:lineRule="auto"/>
        <w:rPr>
          <w:rFonts w:cstheme="majorBidi"/>
          <w:b/>
          <w:bCs/>
          <w:szCs w:val="24"/>
        </w:rPr>
      </w:pPr>
    </w:p>
    <w:p w:rsidR="00027968" w:rsidRDefault="00D805C4" w:rsidP="00237DCE">
      <w:pPr>
        <w:snapToGrid w:val="0"/>
        <w:spacing w:after="120"/>
        <w:ind w:left="720" w:hanging="720"/>
        <w:rPr>
          <w:rFonts w:cstheme="majorBidi"/>
          <w:b/>
          <w:bCs/>
          <w:szCs w:val="24"/>
        </w:rPr>
      </w:pPr>
      <w:r>
        <w:rPr>
          <w:rFonts w:cstheme="majorBidi"/>
          <w:b/>
          <w:bCs/>
          <w:szCs w:val="24"/>
        </w:rPr>
        <w:t>3.</w:t>
      </w:r>
      <w:r>
        <w:rPr>
          <w:rFonts w:cstheme="majorBidi"/>
          <w:b/>
          <w:bCs/>
          <w:szCs w:val="24"/>
        </w:rPr>
        <w:tab/>
        <w:t xml:space="preserve">Discussion on </w:t>
      </w:r>
      <w:r w:rsidR="004C540A">
        <w:rPr>
          <w:rFonts w:cstheme="majorBidi"/>
          <w:b/>
          <w:bCs/>
          <w:szCs w:val="24"/>
        </w:rPr>
        <w:t xml:space="preserve">Document </w:t>
      </w:r>
      <w:r w:rsidR="004C540A" w:rsidRPr="004D7EDA">
        <w:rPr>
          <w:rFonts w:cstheme="majorBidi"/>
          <w:b/>
          <w:spacing w:val="-4"/>
          <w:szCs w:val="24"/>
        </w:rPr>
        <w:t xml:space="preserve">EG-ITRs </w:t>
      </w:r>
      <w:r w:rsidR="004C540A">
        <w:rPr>
          <w:rFonts w:cstheme="majorBidi"/>
          <w:b/>
          <w:spacing w:val="-4"/>
          <w:szCs w:val="24"/>
        </w:rPr>
        <w:t>3</w:t>
      </w:r>
      <w:r w:rsidR="004C540A" w:rsidRPr="004D7EDA">
        <w:rPr>
          <w:rFonts w:cstheme="majorBidi"/>
          <w:b/>
          <w:spacing w:val="-4"/>
          <w:szCs w:val="24"/>
        </w:rPr>
        <w:t>/</w:t>
      </w:r>
      <w:r w:rsidR="004C540A">
        <w:rPr>
          <w:rFonts w:cstheme="majorBidi"/>
          <w:b/>
          <w:spacing w:val="-4"/>
          <w:szCs w:val="24"/>
        </w:rPr>
        <w:t xml:space="preserve">5: </w:t>
      </w:r>
      <w:r w:rsidR="00027968" w:rsidRPr="00027968">
        <w:rPr>
          <w:rFonts w:cstheme="majorBidi"/>
          <w:b/>
          <w:bCs/>
          <w:szCs w:val="24"/>
        </w:rPr>
        <w:t xml:space="preserve">TSB Director's input to the third meeting of the EG-ITRs  </w:t>
      </w:r>
    </w:p>
    <w:p w:rsidR="004C540A" w:rsidRDefault="004C540A" w:rsidP="003A165E">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eastAsiaTheme="minorEastAsia" w:hAnsiTheme="minorHAnsi" w:cstheme="majorBidi"/>
          <w:sz w:val="22"/>
          <w:szCs w:val="24"/>
          <w:lang w:val="en-US" w:eastAsia="zh-CN"/>
        </w:rPr>
      </w:pPr>
      <w:r w:rsidRPr="004C540A">
        <w:rPr>
          <w:rFonts w:asciiTheme="minorHAnsi" w:eastAsiaTheme="minorEastAsia" w:hAnsiTheme="minorHAnsi" w:cstheme="majorBidi"/>
          <w:sz w:val="22"/>
          <w:szCs w:val="24"/>
          <w:lang w:val="en-US" w:eastAsia="zh-CN"/>
        </w:rPr>
        <w:t>At the 2</w:t>
      </w:r>
      <w:r w:rsidRPr="004C540A">
        <w:rPr>
          <w:rFonts w:asciiTheme="minorHAnsi" w:eastAsiaTheme="minorEastAsia" w:hAnsiTheme="minorHAnsi" w:cstheme="majorBidi"/>
          <w:sz w:val="22"/>
          <w:szCs w:val="24"/>
          <w:vertAlign w:val="superscript"/>
          <w:lang w:val="en-US" w:eastAsia="zh-CN"/>
        </w:rPr>
        <w:t>nd</w:t>
      </w:r>
      <w:r>
        <w:rPr>
          <w:rFonts w:asciiTheme="minorHAnsi" w:eastAsiaTheme="minorEastAsia" w:hAnsiTheme="minorHAnsi" w:cstheme="majorBidi"/>
          <w:sz w:val="22"/>
          <w:szCs w:val="24"/>
          <w:lang w:val="en-US" w:eastAsia="zh-CN"/>
        </w:rPr>
        <w:t xml:space="preserve"> </w:t>
      </w:r>
      <w:r w:rsidRPr="004C540A">
        <w:rPr>
          <w:rFonts w:asciiTheme="minorHAnsi" w:eastAsiaTheme="minorEastAsia" w:hAnsiTheme="minorHAnsi" w:cstheme="majorBidi"/>
          <w:sz w:val="22"/>
          <w:szCs w:val="24"/>
          <w:lang w:val="en-US" w:eastAsia="zh-CN"/>
        </w:rPr>
        <w:t xml:space="preserve">meeting of the Group, the TSB Director provided the </w:t>
      </w:r>
      <w:r w:rsidR="003A165E">
        <w:rPr>
          <w:rFonts w:asciiTheme="minorHAnsi" w:eastAsiaTheme="minorEastAsia" w:hAnsiTheme="minorHAnsi" w:cstheme="majorBidi"/>
          <w:sz w:val="22"/>
          <w:szCs w:val="24"/>
          <w:lang w:val="en-US" w:eastAsia="zh-CN"/>
        </w:rPr>
        <w:t>G</w:t>
      </w:r>
      <w:r w:rsidRPr="004C540A">
        <w:rPr>
          <w:rFonts w:asciiTheme="minorHAnsi" w:eastAsiaTheme="minorEastAsia" w:hAnsiTheme="minorHAnsi" w:cstheme="majorBidi"/>
          <w:sz w:val="22"/>
          <w:szCs w:val="24"/>
          <w:lang w:val="en-US" w:eastAsia="zh-CN"/>
        </w:rPr>
        <w:t xml:space="preserve">roup with an update on the activities of the ITU-T study groups </w:t>
      </w:r>
      <w:r w:rsidR="003A165E">
        <w:rPr>
          <w:rFonts w:asciiTheme="minorHAnsi" w:eastAsiaTheme="minorEastAsia" w:hAnsiTheme="minorHAnsi" w:cstheme="majorBidi"/>
          <w:sz w:val="22"/>
          <w:szCs w:val="24"/>
          <w:lang w:val="en-US" w:eastAsia="zh-CN"/>
        </w:rPr>
        <w:t xml:space="preserve">(SG) </w:t>
      </w:r>
      <w:r w:rsidRPr="004C540A">
        <w:rPr>
          <w:rFonts w:asciiTheme="minorHAnsi" w:eastAsiaTheme="minorEastAsia" w:hAnsiTheme="minorHAnsi" w:cstheme="majorBidi"/>
          <w:sz w:val="22"/>
          <w:szCs w:val="24"/>
          <w:lang w:val="en-US" w:eastAsia="zh-CN"/>
        </w:rPr>
        <w:t xml:space="preserve">on the review of the ITRs (see Final report of the second meeting). </w:t>
      </w:r>
      <w:r>
        <w:rPr>
          <w:rFonts w:asciiTheme="minorHAnsi" w:eastAsiaTheme="minorEastAsia" w:hAnsiTheme="minorHAnsi" w:cstheme="majorBidi"/>
          <w:sz w:val="22"/>
          <w:szCs w:val="24"/>
          <w:lang w:val="en-US" w:eastAsia="zh-CN"/>
        </w:rPr>
        <w:t xml:space="preserve">Document </w:t>
      </w:r>
      <w:r w:rsidRPr="004C540A">
        <w:rPr>
          <w:rFonts w:asciiTheme="minorHAnsi" w:eastAsiaTheme="minorEastAsia" w:hAnsiTheme="minorHAnsi" w:cstheme="majorBidi"/>
          <w:sz w:val="22"/>
          <w:szCs w:val="24"/>
          <w:lang w:val="en-US" w:eastAsia="zh-CN"/>
        </w:rPr>
        <w:t>EG-ITRs 3/5</w:t>
      </w:r>
      <w:r>
        <w:rPr>
          <w:rFonts w:asciiTheme="minorHAnsi" w:eastAsiaTheme="minorEastAsia" w:hAnsiTheme="minorHAnsi" w:cstheme="majorBidi"/>
          <w:sz w:val="22"/>
          <w:szCs w:val="24"/>
          <w:lang w:val="en-US" w:eastAsia="zh-CN"/>
        </w:rPr>
        <w:t xml:space="preserve"> </w:t>
      </w:r>
      <w:r w:rsidRPr="004C540A">
        <w:rPr>
          <w:rFonts w:asciiTheme="minorHAnsi" w:eastAsiaTheme="minorEastAsia" w:hAnsiTheme="minorHAnsi" w:cstheme="majorBidi"/>
          <w:sz w:val="22"/>
          <w:szCs w:val="24"/>
          <w:lang w:val="en-US" w:eastAsia="zh-CN"/>
        </w:rPr>
        <w:t>presents the current status of the responses of the ITU-T study groups.</w:t>
      </w:r>
    </w:p>
    <w:p w:rsidR="004C540A" w:rsidRPr="004C540A" w:rsidRDefault="00006E03" w:rsidP="0092460A">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eastAsiaTheme="minorEastAsia" w:hAnsiTheme="minorHAnsi" w:cstheme="majorBidi"/>
          <w:sz w:val="22"/>
          <w:szCs w:val="24"/>
          <w:lang w:val="en-US" w:eastAsia="zh-CN"/>
        </w:rPr>
      </w:pPr>
      <w:r>
        <w:rPr>
          <w:rFonts w:asciiTheme="minorHAnsi" w:eastAsiaTheme="minorEastAsia" w:hAnsiTheme="minorHAnsi" w:cstheme="majorBidi"/>
          <w:sz w:val="22"/>
          <w:szCs w:val="24"/>
          <w:lang w:val="en-US" w:eastAsia="zh-CN"/>
        </w:rPr>
        <w:t xml:space="preserve">The </w:t>
      </w:r>
      <w:r w:rsidR="00967D54">
        <w:rPr>
          <w:rFonts w:asciiTheme="minorHAnsi" w:eastAsiaTheme="minorEastAsia" w:hAnsiTheme="minorHAnsi" w:cstheme="majorBidi"/>
          <w:sz w:val="22"/>
          <w:szCs w:val="24"/>
          <w:lang w:val="en-US" w:eastAsia="zh-CN"/>
        </w:rPr>
        <w:t xml:space="preserve">ITU-T </w:t>
      </w:r>
      <w:r w:rsidR="004C540A" w:rsidRPr="004C540A">
        <w:rPr>
          <w:rFonts w:asciiTheme="minorHAnsi" w:eastAsiaTheme="minorEastAsia" w:hAnsiTheme="minorHAnsi" w:cstheme="majorBidi"/>
          <w:sz w:val="22"/>
          <w:szCs w:val="24"/>
          <w:lang w:val="en-US" w:eastAsia="zh-CN"/>
        </w:rPr>
        <w:t xml:space="preserve">SG 20 chairman </w:t>
      </w:r>
      <w:r w:rsidR="0092460A">
        <w:rPr>
          <w:rFonts w:asciiTheme="minorHAnsi" w:eastAsiaTheme="minorEastAsia" w:hAnsiTheme="minorHAnsi" w:cstheme="majorBidi"/>
          <w:sz w:val="22"/>
          <w:szCs w:val="24"/>
          <w:lang w:val="en-US" w:eastAsia="zh-CN"/>
        </w:rPr>
        <w:t>stated</w:t>
      </w:r>
      <w:r w:rsidR="004C540A" w:rsidRPr="004C540A">
        <w:rPr>
          <w:rFonts w:asciiTheme="minorHAnsi" w:eastAsiaTheme="minorEastAsia" w:hAnsiTheme="minorHAnsi" w:cstheme="majorBidi"/>
          <w:sz w:val="22"/>
          <w:szCs w:val="24"/>
          <w:lang w:val="en-US" w:eastAsia="zh-CN"/>
        </w:rPr>
        <w:t xml:space="preserve"> that the request to S</w:t>
      </w:r>
      <w:r w:rsidR="00967D54">
        <w:rPr>
          <w:rFonts w:asciiTheme="minorHAnsi" w:eastAsiaTheme="minorEastAsia" w:hAnsiTheme="minorHAnsi" w:cstheme="majorBidi"/>
          <w:sz w:val="22"/>
          <w:szCs w:val="24"/>
          <w:lang w:val="en-US" w:eastAsia="zh-CN"/>
        </w:rPr>
        <w:t xml:space="preserve">tudy </w:t>
      </w:r>
      <w:r w:rsidR="004C540A" w:rsidRPr="004C540A">
        <w:rPr>
          <w:rFonts w:asciiTheme="minorHAnsi" w:eastAsiaTheme="minorEastAsia" w:hAnsiTheme="minorHAnsi" w:cstheme="majorBidi"/>
          <w:sz w:val="22"/>
          <w:szCs w:val="24"/>
          <w:lang w:val="en-US" w:eastAsia="zh-CN"/>
        </w:rPr>
        <w:t>G</w:t>
      </w:r>
      <w:r w:rsidR="00967D54">
        <w:rPr>
          <w:rFonts w:asciiTheme="minorHAnsi" w:eastAsiaTheme="minorEastAsia" w:hAnsiTheme="minorHAnsi" w:cstheme="majorBidi"/>
          <w:sz w:val="22"/>
          <w:szCs w:val="24"/>
          <w:lang w:val="en-US" w:eastAsia="zh-CN"/>
        </w:rPr>
        <w:t>roups</w:t>
      </w:r>
      <w:r w:rsidR="004C540A" w:rsidRPr="004C540A">
        <w:rPr>
          <w:rFonts w:asciiTheme="minorHAnsi" w:eastAsiaTheme="minorEastAsia" w:hAnsiTheme="minorHAnsi" w:cstheme="majorBidi"/>
          <w:sz w:val="22"/>
          <w:szCs w:val="24"/>
          <w:lang w:val="en-US" w:eastAsia="zh-CN"/>
        </w:rPr>
        <w:t xml:space="preserve"> was not clear and requested more clarity on what is expected from SGs.</w:t>
      </w:r>
    </w:p>
    <w:p w:rsidR="004C540A" w:rsidRPr="004C540A" w:rsidRDefault="004C540A" w:rsidP="0092460A">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eastAsiaTheme="minorEastAsia" w:hAnsiTheme="minorHAnsi" w:cstheme="majorBidi"/>
          <w:sz w:val="22"/>
          <w:szCs w:val="24"/>
          <w:lang w:val="en-US" w:eastAsia="zh-CN"/>
        </w:rPr>
      </w:pPr>
      <w:r w:rsidRPr="004C540A">
        <w:rPr>
          <w:rFonts w:asciiTheme="minorHAnsi" w:eastAsiaTheme="minorEastAsia" w:hAnsiTheme="minorHAnsi" w:cstheme="majorBidi"/>
          <w:sz w:val="22"/>
          <w:szCs w:val="24"/>
          <w:lang w:val="en-US" w:eastAsia="zh-CN"/>
        </w:rPr>
        <w:t xml:space="preserve">The Chairman </w:t>
      </w:r>
      <w:r w:rsidR="0092460A">
        <w:rPr>
          <w:rFonts w:asciiTheme="minorHAnsi" w:eastAsiaTheme="minorEastAsia" w:hAnsiTheme="minorHAnsi" w:cstheme="majorBidi"/>
          <w:sz w:val="22"/>
          <w:szCs w:val="24"/>
          <w:lang w:val="en-US" w:eastAsia="zh-CN"/>
        </w:rPr>
        <w:t>stated</w:t>
      </w:r>
      <w:r w:rsidRPr="004C540A">
        <w:rPr>
          <w:rFonts w:asciiTheme="minorHAnsi" w:eastAsiaTheme="minorEastAsia" w:hAnsiTheme="minorHAnsi" w:cstheme="majorBidi"/>
          <w:sz w:val="22"/>
          <w:szCs w:val="24"/>
          <w:lang w:val="en-US" w:eastAsia="zh-CN"/>
        </w:rPr>
        <w:t xml:space="preserve"> that the guidance in relevant resolutions of PP-14 and Council provide the broad framework, and SGs are asked to use this framework to see how it relates to the</w:t>
      </w:r>
      <w:r w:rsidR="00967D54">
        <w:rPr>
          <w:rFonts w:asciiTheme="minorHAnsi" w:eastAsiaTheme="minorEastAsia" w:hAnsiTheme="minorHAnsi" w:cstheme="majorBidi"/>
          <w:sz w:val="22"/>
          <w:szCs w:val="24"/>
          <w:lang w:val="en-US" w:eastAsia="zh-CN"/>
        </w:rPr>
        <w:t>ir</w:t>
      </w:r>
      <w:r w:rsidRPr="004C540A">
        <w:rPr>
          <w:rFonts w:asciiTheme="minorHAnsi" w:eastAsiaTheme="minorEastAsia" w:hAnsiTheme="minorHAnsi" w:cstheme="majorBidi"/>
          <w:sz w:val="22"/>
          <w:szCs w:val="24"/>
          <w:lang w:val="en-US" w:eastAsia="zh-CN"/>
        </w:rPr>
        <w:t xml:space="preserve"> </w:t>
      </w:r>
      <w:r w:rsidR="00967D54">
        <w:rPr>
          <w:rFonts w:asciiTheme="minorHAnsi" w:eastAsiaTheme="minorEastAsia" w:hAnsiTheme="minorHAnsi" w:cstheme="majorBidi"/>
          <w:sz w:val="22"/>
          <w:szCs w:val="24"/>
          <w:lang w:val="en-US" w:eastAsia="zh-CN"/>
        </w:rPr>
        <w:t xml:space="preserve">respective </w:t>
      </w:r>
      <w:r w:rsidRPr="004C540A">
        <w:rPr>
          <w:rFonts w:asciiTheme="minorHAnsi" w:eastAsiaTheme="minorEastAsia" w:hAnsiTheme="minorHAnsi" w:cstheme="majorBidi"/>
          <w:sz w:val="22"/>
          <w:szCs w:val="24"/>
          <w:lang w:val="en-US" w:eastAsia="zh-CN"/>
        </w:rPr>
        <w:t>SGs.</w:t>
      </w:r>
    </w:p>
    <w:p w:rsidR="004C540A" w:rsidRPr="004C540A" w:rsidRDefault="004C540A" w:rsidP="00D5509F">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eastAsiaTheme="minorEastAsia" w:hAnsiTheme="minorHAnsi" w:cstheme="majorBidi"/>
          <w:sz w:val="22"/>
          <w:szCs w:val="24"/>
          <w:lang w:val="en-US" w:eastAsia="zh-CN"/>
        </w:rPr>
      </w:pPr>
      <w:r w:rsidRPr="004C540A">
        <w:rPr>
          <w:rFonts w:asciiTheme="minorHAnsi" w:eastAsiaTheme="minorEastAsia" w:hAnsiTheme="minorHAnsi" w:cstheme="majorBidi"/>
          <w:sz w:val="22"/>
          <w:szCs w:val="24"/>
          <w:lang w:val="en-US" w:eastAsia="zh-CN"/>
        </w:rPr>
        <w:lastRenderedPageBreak/>
        <w:t xml:space="preserve">A member </w:t>
      </w:r>
      <w:r w:rsidR="00D5509F">
        <w:rPr>
          <w:rFonts w:asciiTheme="minorHAnsi" w:eastAsiaTheme="minorEastAsia" w:hAnsiTheme="minorHAnsi" w:cstheme="majorBidi"/>
          <w:sz w:val="22"/>
          <w:szCs w:val="24"/>
          <w:lang w:val="en-US" w:eastAsia="zh-CN"/>
        </w:rPr>
        <w:t>stated</w:t>
      </w:r>
      <w:r w:rsidRPr="004C540A">
        <w:rPr>
          <w:rFonts w:asciiTheme="minorHAnsi" w:eastAsiaTheme="minorEastAsia" w:hAnsiTheme="minorHAnsi" w:cstheme="majorBidi"/>
          <w:sz w:val="22"/>
          <w:szCs w:val="24"/>
          <w:lang w:val="en-US" w:eastAsia="zh-CN"/>
        </w:rPr>
        <w:t xml:space="preserve"> that feedback from </w:t>
      </w:r>
      <w:r w:rsidR="00967D54">
        <w:rPr>
          <w:rFonts w:asciiTheme="minorHAnsi" w:eastAsiaTheme="minorEastAsia" w:hAnsiTheme="minorHAnsi" w:cstheme="majorBidi"/>
          <w:sz w:val="22"/>
          <w:szCs w:val="24"/>
          <w:lang w:val="en-US" w:eastAsia="zh-CN"/>
        </w:rPr>
        <w:t xml:space="preserve">ITU-T </w:t>
      </w:r>
      <w:r w:rsidRPr="004C540A">
        <w:rPr>
          <w:rFonts w:asciiTheme="minorHAnsi" w:eastAsiaTheme="minorEastAsia" w:hAnsiTheme="minorHAnsi" w:cstheme="majorBidi"/>
          <w:sz w:val="22"/>
          <w:szCs w:val="24"/>
          <w:lang w:val="en-US" w:eastAsia="zh-CN"/>
        </w:rPr>
        <w:t xml:space="preserve">SG3 and SG17 would be important as the ITRs touch upon several issues that are under the purview of </w:t>
      </w:r>
      <w:r w:rsidR="00967D54">
        <w:rPr>
          <w:rFonts w:asciiTheme="minorHAnsi" w:eastAsiaTheme="minorEastAsia" w:hAnsiTheme="minorHAnsi" w:cstheme="majorBidi"/>
          <w:sz w:val="22"/>
          <w:szCs w:val="24"/>
          <w:lang w:val="en-US" w:eastAsia="zh-CN"/>
        </w:rPr>
        <w:t>these study groups</w:t>
      </w:r>
      <w:r w:rsidRPr="004C540A">
        <w:rPr>
          <w:rFonts w:asciiTheme="minorHAnsi" w:eastAsiaTheme="minorEastAsia" w:hAnsiTheme="minorHAnsi" w:cstheme="majorBidi"/>
          <w:sz w:val="22"/>
          <w:szCs w:val="24"/>
          <w:lang w:val="en-US" w:eastAsia="zh-CN"/>
        </w:rPr>
        <w:t xml:space="preserve">.  </w:t>
      </w:r>
    </w:p>
    <w:p w:rsidR="004C540A" w:rsidRPr="004C540A" w:rsidRDefault="004C540A" w:rsidP="003A165E">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eastAsiaTheme="minorEastAsia" w:hAnsiTheme="minorHAnsi" w:cstheme="majorBidi"/>
          <w:sz w:val="22"/>
          <w:szCs w:val="24"/>
          <w:lang w:val="en-US" w:eastAsia="zh-CN"/>
        </w:rPr>
      </w:pPr>
      <w:r w:rsidRPr="004C540A">
        <w:rPr>
          <w:rFonts w:asciiTheme="minorHAnsi" w:eastAsiaTheme="minorEastAsia" w:hAnsiTheme="minorHAnsi" w:cstheme="majorBidi"/>
          <w:sz w:val="22"/>
          <w:szCs w:val="24"/>
          <w:lang w:val="en-US" w:eastAsia="zh-CN"/>
        </w:rPr>
        <w:t xml:space="preserve">It was noted that as per the agreed process, the inputs from ITU-T SGs </w:t>
      </w:r>
      <w:r w:rsidR="00286EF4">
        <w:rPr>
          <w:rFonts w:asciiTheme="minorHAnsi" w:eastAsiaTheme="minorEastAsia" w:hAnsiTheme="minorHAnsi" w:cstheme="majorBidi"/>
          <w:sz w:val="22"/>
          <w:szCs w:val="24"/>
          <w:lang w:val="en-US" w:eastAsia="zh-CN"/>
        </w:rPr>
        <w:t xml:space="preserve">should </w:t>
      </w:r>
      <w:r w:rsidRPr="004C540A">
        <w:rPr>
          <w:rFonts w:asciiTheme="minorHAnsi" w:eastAsiaTheme="minorEastAsia" w:hAnsiTheme="minorHAnsi" w:cstheme="majorBidi"/>
          <w:sz w:val="22"/>
          <w:szCs w:val="24"/>
          <w:lang w:val="en-US" w:eastAsia="zh-CN"/>
        </w:rPr>
        <w:t>be channeled through TSAG, taking into consideration</w:t>
      </w:r>
      <w:r w:rsidR="00286EF4">
        <w:rPr>
          <w:rFonts w:asciiTheme="minorHAnsi" w:eastAsiaTheme="minorEastAsia" w:hAnsiTheme="minorHAnsi" w:cstheme="majorBidi"/>
          <w:sz w:val="22"/>
          <w:szCs w:val="24"/>
          <w:lang w:val="en-US" w:eastAsia="zh-CN"/>
        </w:rPr>
        <w:t>,</w:t>
      </w:r>
      <w:r w:rsidRPr="004C540A">
        <w:rPr>
          <w:rFonts w:asciiTheme="minorHAnsi" w:eastAsiaTheme="minorEastAsia" w:hAnsiTheme="minorHAnsi" w:cstheme="majorBidi"/>
          <w:sz w:val="22"/>
          <w:szCs w:val="24"/>
          <w:lang w:val="en-US" w:eastAsia="zh-CN"/>
        </w:rPr>
        <w:t xml:space="preserve"> the timing of TSAG.</w:t>
      </w:r>
    </w:p>
    <w:p w:rsidR="004C540A" w:rsidRPr="004C540A" w:rsidRDefault="00286EF4" w:rsidP="003A165E">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eastAsiaTheme="minorEastAsia" w:hAnsiTheme="minorHAnsi" w:cstheme="majorBidi"/>
          <w:sz w:val="22"/>
          <w:szCs w:val="24"/>
          <w:lang w:val="en-US" w:eastAsia="zh-CN"/>
        </w:rPr>
      </w:pPr>
      <w:r>
        <w:rPr>
          <w:rFonts w:asciiTheme="minorHAnsi" w:eastAsiaTheme="minorEastAsia" w:hAnsiTheme="minorHAnsi" w:cstheme="majorBidi"/>
          <w:sz w:val="22"/>
          <w:szCs w:val="24"/>
          <w:lang w:val="en-US" w:eastAsia="zh-CN"/>
        </w:rPr>
        <w:t xml:space="preserve">The </w:t>
      </w:r>
      <w:r w:rsidR="004C540A" w:rsidRPr="004C540A">
        <w:rPr>
          <w:rFonts w:asciiTheme="minorHAnsi" w:eastAsiaTheme="minorEastAsia" w:hAnsiTheme="minorHAnsi" w:cstheme="majorBidi"/>
          <w:sz w:val="22"/>
          <w:szCs w:val="24"/>
          <w:lang w:val="en-US" w:eastAsia="zh-CN"/>
        </w:rPr>
        <w:t xml:space="preserve">TSB Director </w:t>
      </w:r>
      <w:r>
        <w:rPr>
          <w:rFonts w:asciiTheme="minorHAnsi" w:eastAsiaTheme="minorEastAsia" w:hAnsiTheme="minorHAnsi" w:cstheme="majorBidi"/>
          <w:sz w:val="22"/>
          <w:szCs w:val="24"/>
          <w:lang w:val="en-US" w:eastAsia="zh-CN"/>
        </w:rPr>
        <w:t>said</w:t>
      </w:r>
      <w:r w:rsidR="004C540A" w:rsidRPr="004C540A">
        <w:rPr>
          <w:rFonts w:asciiTheme="minorHAnsi" w:eastAsiaTheme="minorEastAsia" w:hAnsiTheme="minorHAnsi" w:cstheme="majorBidi"/>
          <w:sz w:val="22"/>
          <w:szCs w:val="24"/>
          <w:lang w:val="en-US" w:eastAsia="zh-CN"/>
        </w:rPr>
        <w:t xml:space="preserve"> that he would go back to the relevant SGs</w:t>
      </w:r>
      <w:r>
        <w:rPr>
          <w:rFonts w:asciiTheme="minorHAnsi" w:eastAsiaTheme="minorEastAsia" w:hAnsiTheme="minorHAnsi" w:cstheme="majorBidi"/>
          <w:sz w:val="22"/>
          <w:szCs w:val="24"/>
          <w:lang w:val="en-US" w:eastAsia="zh-CN"/>
        </w:rPr>
        <w:t>,</w:t>
      </w:r>
      <w:r w:rsidR="004C540A" w:rsidRPr="004C540A">
        <w:rPr>
          <w:rFonts w:asciiTheme="minorHAnsi" w:eastAsiaTheme="minorEastAsia" w:hAnsiTheme="minorHAnsi" w:cstheme="majorBidi"/>
          <w:sz w:val="22"/>
          <w:szCs w:val="24"/>
          <w:lang w:val="en-US" w:eastAsia="zh-CN"/>
        </w:rPr>
        <w:t xml:space="preserve"> requesting them for further inputs, if any.</w:t>
      </w:r>
    </w:p>
    <w:p w:rsidR="00C30BAD" w:rsidRPr="00043720" w:rsidRDefault="00EE2F2D" w:rsidP="00A65743">
      <w:pPr>
        <w:snapToGrid w:val="0"/>
        <w:spacing w:before="360" w:after="120"/>
        <w:jc w:val="both"/>
        <w:rPr>
          <w:rFonts w:cstheme="majorBidi"/>
          <w:b/>
          <w:szCs w:val="24"/>
        </w:rPr>
      </w:pPr>
      <w:r>
        <w:rPr>
          <w:rFonts w:cstheme="majorBidi"/>
          <w:b/>
          <w:szCs w:val="24"/>
        </w:rPr>
        <w:t>4</w:t>
      </w:r>
      <w:r w:rsidR="00C30BAD" w:rsidRPr="00043720">
        <w:rPr>
          <w:rFonts w:cstheme="majorBidi"/>
          <w:b/>
          <w:szCs w:val="24"/>
        </w:rPr>
        <w:tab/>
        <w:t>Summary of Contributions</w:t>
      </w:r>
      <w:r w:rsidR="00277D19">
        <w:rPr>
          <w:rFonts w:cstheme="majorBidi"/>
          <w:b/>
          <w:szCs w:val="24"/>
        </w:rPr>
        <w:t xml:space="preserve"> </w:t>
      </w:r>
      <w:r w:rsidR="00277D19" w:rsidRPr="00277D19">
        <w:rPr>
          <w:rFonts w:cstheme="majorBidi"/>
          <w:b/>
          <w:szCs w:val="24"/>
        </w:rPr>
        <w:t xml:space="preserve">made directly to the </w:t>
      </w:r>
      <w:r w:rsidR="00A65743">
        <w:rPr>
          <w:rFonts w:cstheme="majorBidi"/>
          <w:b/>
          <w:szCs w:val="24"/>
        </w:rPr>
        <w:t xml:space="preserve">third </w:t>
      </w:r>
      <w:r w:rsidR="00277D19" w:rsidRPr="00277D19">
        <w:rPr>
          <w:rFonts w:cstheme="majorBidi"/>
          <w:b/>
          <w:szCs w:val="24"/>
        </w:rPr>
        <w:t>meeting</w:t>
      </w:r>
    </w:p>
    <w:p w:rsidR="00D01F62" w:rsidRDefault="009F5F08" w:rsidP="00880DF8">
      <w:pPr>
        <w:snapToGrid w:val="0"/>
        <w:spacing w:after="120"/>
        <w:jc w:val="both"/>
        <w:rPr>
          <w:rFonts w:cstheme="majorBidi"/>
          <w:szCs w:val="24"/>
        </w:rPr>
      </w:pPr>
      <w:r>
        <w:rPr>
          <w:rFonts w:cstheme="majorBidi"/>
          <w:szCs w:val="24"/>
        </w:rPr>
        <w:t xml:space="preserve">The Chairman proposed that </w:t>
      </w:r>
      <w:r w:rsidR="00D01F62">
        <w:rPr>
          <w:rFonts w:cstheme="majorBidi"/>
          <w:szCs w:val="24"/>
        </w:rPr>
        <w:t xml:space="preserve">– (a) </w:t>
      </w:r>
      <w:r>
        <w:rPr>
          <w:rFonts w:cstheme="majorBidi"/>
          <w:szCs w:val="24"/>
        </w:rPr>
        <w:t>t</w:t>
      </w:r>
      <w:r w:rsidRPr="009F5F08">
        <w:rPr>
          <w:rFonts w:cstheme="majorBidi"/>
          <w:szCs w:val="24"/>
        </w:rPr>
        <w:t xml:space="preserve">he contributions </w:t>
      </w:r>
      <w:r>
        <w:rPr>
          <w:rFonts w:cstheme="majorBidi"/>
          <w:szCs w:val="24"/>
        </w:rPr>
        <w:t xml:space="preserve">would </w:t>
      </w:r>
      <w:r w:rsidRPr="009F5F08">
        <w:rPr>
          <w:rFonts w:cstheme="majorBidi"/>
          <w:szCs w:val="24"/>
        </w:rPr>
        <w:t>be presented in the order that they have been received.</w:t>
      </w:r>
      <w:r>
        <w:rPr>
          <w:rFonts w:cstheme="majorBidi"/>
          <w:szCs w:val="24"/>
        </w:rPr>
        <w:t xml:space="preserve"> </w:t>
      </w:r>
      <w:r w:rsidR="00D01F62">
        <w:rPr>
          <w:rFonts w:cstheme="majorBidi"/>
          <w:szCs w:val="24"/>
        </w:rPr>
        <w:t xml:space="preserve">(b) </w:t>
      </w:r>
      <w:r w:rsidRPr="009F5F08">
        <w:rPr>
          <w:rFonts w:cstheme="majorBidi"/>
          <w:szCs w:val="24"/>
        </w:rPr>
        <w:t xml:space="preserve">After the presentation of each contribution, the floor </w:t>
      </w:r>
      <w:r>
        <w:rPr>
          <w:rFonts w:cstheme="majorBidi"/>
          <w:szCs w:val="24"/>
        </w:rPr>
        <w:t xml:space="preserve">will be opened </w:t>
      </w:r>
      <w:r w:rsidRPr="009F5F08">
        <w:rPr>
          <w:rFonts w:cstheme="majorBidi"/>
          <w:szCs w:val="24"/>
        </w:rPr>
        <w:t>for discussion</w:t>
      </w:r>
      <w:r w:rsidR="00880DF8">
        <w:rPr>
          <w:rFonts w:cstheme="majorBidi"/>
          <w:szCs w:val="24"/>
        </w:rPr>
        <w:t>.</w:t>
      </w:r>
      <w:r w:rsidRPr="009F5F08">
        <w:rPr>
          <w:rFonts w:cstheme="majorBidi"/>
          <w:szCs w:val="24"/>
        </w:rPr>
        <w:t xml:space="preserve"> </w:t>
      </w:r>
      <w:r>
        <w:rPr>
          <w:rFonts w:cstheme="majorBidi"/>
          <w:szCs w:val="24"/>
        </w:rPr>
        <w:t xml:space="preserve">This proposal was accepted by the group. </w:t>
      </w:r>
    </w:p>
    <w:p w:rsidR="00C30BAD" w:rsidRDefault="00C30BAD" w:rsidP="008B485E">
      <w:pPr>
        <w:keepNext/>
        <w:keepLines/>
        <w:snapToGrid w:val="0"/>
        <w:spacing w:after="120"/>
        <w:jc w:val="both"/>
        <w:rPr>
          <w:rFonts w:cstheme="majorBidi"/>
          <w:szCs w:val="24"/>
        </w:rPr>
      </w:pPr>
      <w:r w:rsidRPr="00043720">
        <w:rPr>
          <w:rFonts w:cstheme="majorBidi"/>
          <w:szCs w:val="24"/>
        </w:rPr>
        <w:t xml:space="preserve">The contributions </w:t>
      </w:r>
      <w:r w:rsidR="009F5F08">
        <w:rPr>
          <w:rFonts w:cstheme="majorBidi"/>
          <w:szCs w:val="24"/>
        </w:rPr>
        <w:t xml:space="preserve">presented </w:t>
      </w:r>
      <w:r w:rsidRPr="00043720">
        <w:rPr>
          <w:rFonts w:cstheme="majorBidi"/>
          <w:szCs w:val="24"/>
        </w:rPr>
        <w:t>are summarized as follows:</w:t>
      </w:r>
    </w:p>
    <w:p w:rsidR="00C30BAD" w:rsidRDefault="00EE2F2D" w:rsidP="00237DCE">
      <w:pPr>
        <w:keepNext/>
        <w:keepLines/>
        <w:snapToGrid w:val="0"/>
        <w:spacing w:after="120"/>
        <w:ind w:left="720" w:hanging="720"/>
        <w:jc w:val="both"/>
        <w:rPr>
          <w:rFonts w:cstheme="majorBidi"/>
          <w:b/>
          <w:spacing w:val="-4"/>
          <w:szCs w:val="24"/>
        </w:rPr>
      </w:pPr>
      <w:r>
        <w:rPr>
          <w:rFonts w:cstheme="majorBidi"/>
          <w:b/>
          <w:szCs w:val="24"/>
        </w:rPr>
        <w:t>4</w:t>
      </w:r>
      <w:r w:rsidR="00C30BAD" w:rsidRPr="00043720">
        <w:rPr>
          <w:rFonts w:cstheme="majorBidi"/>
          <w:b/>
          <w:szCs w:val="24"/>
        </w:rPr>
        <w:t>.1</w:t>
      </w:r>
      <w:r w:rsidR="00C30BAD" w:rsidRPr="00043720">
        <w:rPr>
          <w:rFonts w:cstheme="majorBidi"/>
          <w:b/>
          <w:szCs w:val="24"/>
        </w:rPr>
        <w:tab/>
      </w:r>
      <w:r w:rsidR="00C30BAD" w:rsidRPr="004D7EDA">
        <w:rPr>
          <w:rFonts w:cstheme="majorBidi"/>
          <w:b/>
          <w:spacing w:val="-4"/>
          <w:szCs w:val="24"/>
        </w:rPr>
        <w:t xml:space="preserve">Contribution EG-ITRs </w:t>
      </w:r>
      <w:r w:rsidR="00027968">
        <w:rPr>
          <w:rFonts w:cstheme="majorBidi"/>
          <w:b/>
          <w:spacing w:val="-4"/>
          <w:szCs w:val="24"/>
        </w:rPr>
        <w:t>3</w:t>
      </w:r>
      <w:r w:rsidR="00C30BAD" w:rsidRPr="004D7EDA">
        <w:rPr>
          <w:rFonts w:cstheme="majorBidi"/>
          <w:b/>
          <w:spacing w:val="-4"/>
          <w:szCs w:val="24"/>
        </w:rPr>
        <w:t>/2</w:t>
      </w:r>
      <w:r w:rsidR="00C30BAD" w:rsidRPr="00043720">
        <w:rPr>
          <w:rFonts w:cstheme="majorBidi"/>
          <w:b/>
          <w:spacing w:val="-4"/>
          <w:szCs w:val="24"/>
        </w:rPr>
        <w:t xml:space="preserve"> </w:t>
      </w:r>
      <w:r w:rsidR="00027968">
        <w:rPr>
          <w:rFonts w:cstheme="majorBidi"/>
          <w:b/>
          <w:spacing w:val="-4"/>
          <w:szCs w:val="24"/>
        </w:rPr>
        <w:t>from t</w:t>
      </w:r>
      <w:r w:rsidR="00027968" w:rsidRPr="00027968">
        <w:rPr>
          <w:rFonts w:cstheme="majorBidi"/>
          <w:b/>
          <w:spacing w:val="-4"/>
          <w:szCs w:val="24"/>
        </w:rPr>
        <w:t xml:space="preserve">he People's Republic of China - Proposal on the review and revision of the ITRs    </w:t>
      </w:r>
    </w:p>
    <w:p w:rsidR="008312F4" w:rsidRPr="00237DCE" w:rsidRDefault="008312F4" w:rsidP="00FB5949">
      <w:pPr>
        <w:snapToGrid w:val="0"/>
        <w:spacing w:after="120"/>
        <w:jc w:val="both"/>
        <w:rPr>
          <w:rFonts w:cstheme="majorBidi"/>
          <w:bCs/>
          <w:spacing w:val="-4"/>
          <w:szCs w:val="24"/>
        </w:rPr>
      </w:pPr>
      <w:r w:rsidRPr="00237DCE">
        <w:rPr>
          <w:rFonts w:cstheme="majorBidi"/>
          <w:bCs/>
          <w:spacing w:val="-4"/>
          <w:szCs w:val="24"/>
        </w:rPr>
        <w:t>New trends in telecommunication/ICT is most evident in the more profound convergence of telecom and Internet services. The human and financial resources as well as time spent by ITU up till now in this regard is not only aimed at “reviewing” the ITR, but also revising and improving the ITR on the basis of the review work so that the ITR will keep up with times and meet the demands of the new trends in telecommunication/ICT.</w:t>
      </w:r>
    </w:p>
    <w:p w:rsidR="008312F4" w:rsidRPr="00237DCE" w:rsidRDefault="008312F4" w:rsidP="00FB5949">
      <w:pPr>
        <w:snapToGrid w:val="0"/>
        <w:spacing w:after="120"/>
        <w:jc w:val="both"/>
        <w:rPr>
          <w:rFonts w:cstheme="majorBidi"/>
          <w:bCs/>
          <w:spacing w:val="-4"/>
          <w:szCs w:val="24"/>
        </w:rPr>
      </w:pPr>
      <w:r w:rsidRPr="00237DCE">
        <w:rPr>
          <w:rFonts w:cstheme="majorBidi"/>
          <w:bCs/>
          <w:spacing w:val="-4"/>
          <w:szCs w:val="24"/>
        </w:rPr>
        <w:t>It is the belief of China that the applicability of the ITRs is worldwide. It should be measured by taking into account the past, present and future telecom/ICT development of all ITU Member States instead of drawing the conclusion that these Regulations - a global multilateral treaty for telecom/ICT - are irrelevant or non-applicable on the sheer basis of the telecom/ICT development standard or experience of a number of developed countries.</w:t>
      </w:r>
    </w:p>
    <w:p w:rsidR="004C142A" w:rsidRPr="00237DCE" w:rsidRDefault="008312F4" w:rsidP="00FB5949">
      <w:pPr>
        <w:snapToGrid w:val="0"/>
        <w:spacing w:after="120"/>
        <w:jc w:val="both"/>
        <w:rPr>
          <w:rFonts w:cstheme="majorBidi"/>
          <w:bCs/>
          <w:spacing w:val="-4"/>
          <w:szCs w:val="24"/>
        </w:rPr>
      </w:pPr>
      <w:r w:rsidRPr="00237DCE">
        <w:rPr>
          <w:rFonts w:cstheme="majorBidi"/>
          <w:bCs/>
          <w:spacing w:val="-4"/>
          <w:szCs w:val="24"/>
        </w:rPr>
        <w:t>Summary: (1) The current ITRs lack provisions that are generally effective in protecting the world telecom/ICT network/infrastructure and the private data of users. So the ITR(2012) should set up a principle of “Development and Security in Parallel”, which gives general guidance to the world telecommunications/ICT as a whole. (2) The ITR(2012) should be featured as having a forward-looking and leading role to the development and security of telecommunications/ICT in the world. (3) The review and revision of the ITRs should focus on regulating the ever growing security problems faced by the global telecommunications/ICT industry as it “goes OTT” (services over the Internet)</w:t>
      </w:r>
      <w:r w:rsidRPr="00237DCE">
        <w:rPr>
          <w:rFonts w:cstheme="majorBidi"/>
          <w:bCs/>
          <w:spacing w:val="-4"/>
          <w:szCs w:val="24"/>
        </w:rPr>
        <w:t>，</w:t>
      </w:r>
      <w:r w:rsidRPr="00237DCE">
        <w:rPr>
          <w:rFonts w:cstheme="majorBidi"/>
          <w:bCs/>
          <w:spacing w:val="-4"/>
          <w:szCs w:val="24"/>
        </w:rPr>
        <w:t>focus on establishing regulations to protect the user individual privacy and also focus on establishing regulations to make up for the widening of “digital gap”.</w:t>
      </w:r>
    </w:p>
    <w:p w:rsidR="00C30BAD" w:rsidRDefault="00EE2F2D" w:rsidP="00237DCE">
      <w:pPr>
        <w:snapToGrid w:val="0"/>
        <w:spacing w:after="120"/>
        <w:ind w:left="720" w:hanging="720"/>
        <w:jc w:val="both"/>
        <w:rPr>
          <w:rFonts w:cstheme="majorBidi"/>
          <w:b/>
          <w:spacing w:val="-4"/>
          <w:szCs w:val="24"/>
        </w:rPr>
      </w:pPr>
      <w:r>
        <w:rPr>
          <w:rFonts w:cstheme="majorBidi"/>
          <w:b/>
          <w:spacing w:val="-4"/>
          <w:szCs w:val="24"/>
        </w:rPr>
        <w:t>4</w:t>
      </w:r>
      <w:r w:rsidR="00C30BAD">
        <w:rPr>
          <w:rFonts w:cstheme="majorBidi"/>
          <w:b/>
          <w:spacing w:val="-4"/>
          <w:szCs w:val="24"/>
        </w:rPr>
        <w:t>.2</w:t>
      </w:r>
      <w:r w:rsidR="00C30BAD">
        <w:rPr>
          <w:rFonts w:cstheme="majorBidi"/>
          <w:b/>
          <w:spacing w:val="-4"/>
          <w:szCs w:val="24"/>
        </w:rPr>
        <w:tab/>
      </w:r>
      <w:r w:rsidR="00C30BAD" w:rsidRPr="004D7EDA">
        <w:rPr>
          <w:rFonts w:cstheme="majorBidi"/>
          <w:b/>
          <w:spacing w:val="-4"/>
          <w:szCs w:val="24"/>
        </w:rPr>
        <w:t xml:space="preserve">Contribution EG-ITRs </w:t>
      </w:r>
      <w:r w:rsidR="00027968">
        <w:rPr>
          <w:rFonts w:cstheme="majorBidi"/>
          <w:b/>
          <w:spacing w:val="-4"/>
          <w:szCs w:val="24"/>
        </w:rPr>
        <w:t>3</w:t>
      </w:r>
      <w:r w:rsidR="00C30BAD" w:rsidRPr="004D7EDA">
        <w:rPr>
          <w:rFonts w:cstheme="majorBidi"/>
          <w:b/>
          <w:spacing w:val="-4"/>
          <w:szCs w:val="24"/>
        </w:rPr>
        <w:t>/3</w:t>
      </w:r>
      <w:r w:rsidR="00C30BAD" w:rsidRPr="00043720">
        <w:rPr>
          <w:rFonts w:cstheme="majorBidi"/>
          <w:b/>
          <w:spacing w:val="-4"/>
          <w:szCs w:val="24"/>
        </w:rPr>
        <w:t xml:space="preserve"> </w:t>
      </w:r>
      <w:r w:rsidR="00027968" w:rsidRPr="00027968">
        <w:rPr>
          <w:rFonts w:cstheme="majorBidi"/>
          <w:b/>
          <w:spacing w:val="-4"/>
          <w:szCs w:val="24"/>
        </w:rPr>
        <w:t>from China Telecommunications Corporation - Proposal on the review and revision of the ITRs</w:t>
      </w:r>
    </w:p>
    <w:p w:rsidR="008312F4" w:rsidRPr="008312F4" w:rsidRDefault="008312F4" w:rsidP="008312F4">
      <w:pPr>
        <w:snapToGrid w:val="0"/>
        <w:spacing w:after="120"/>
        <w:jc w:val="both"/>
        <w:rPr>
          <w:rFonts w:cstheme="majorBidi"/>
          <w:bCs/>
          <w:spacing w:val="-4"/>
          <w:szCs w:val="24"/>
        </w:rPr>
      </w:pPr>
      <w:r w:rsidRPr="008312F4">
        <w:rPr>
          <w:rFonts w:cstheme="majorBidi"/>
          <w:bCs/>
          <w:spacing w:val="-4"/>
          <w:szCs w:val="24"/>
        </w:rPr>
        <w:t xml:space="preserve">In response to the booming of the global telecommunications/Information and Communication Technologies (ICT) services and the new trends in telecom industry, the telecom operators are in urgent need of a new legal framework instrument such as ITRs in order to address the market requirements.  </w:t>
      </w:r>
    </w:p>
    <w:p w:rsidR="008312F4" w:rsidRPr="008312F4" w:rsidRDefault="008312F4" w:rsidP="008312F4">
      <w:pPr>
        <w:snapToGrid w:val="0"/>
        <w:spacing w:after="120"/>
        <w:jc w:val="both"/>
        <w:rPr>
          <w:rFonts w:cstheme="majorBidi"/>
          <w:bCs/>
          <w:spacing w:val="-4"/>
          <w:szCs w:val="24"/>
        </w:rPr>
      </w:pPr>
      <w:r w:rsidRPr="008312F4">
        <w:rPr>
          <w:rFonts w:cstheme="majorBidi"/>
          <w:bCs/>
          <w:spacing w:val="-4"/>
          <w:szCs w:val="24"/>
        </w:rPr>
        <w:t xml:space="preserve">To address problems of a global nature, each and every Member State needs to realize that, as part of the Community of Shared Future for Mankind, they need to make unswerving efforts to achieve the common global prosperity.  </w:t>
      </w:r>
    </w:p>
    <w:p w:rsidR="008312F4" w:rsidRDefault="008312F4" w:rsidP="008312F4">
      <w:pPr>
        <w:snapToGrid w:val="0"/>
        <w:spacing w:after="120"/>
        <w:jc w:val="both"/>
        <w:rPr>
          <w:rFonts w:cstheme="majorBidi"/>
          <w:bCs/>
          <w:spacing w:val="-4"/>
          <w:szCs w:val="24"/>
        </w:rPr>
      </w:pPr>
      <w:r w:rsidRPr="008312F4">
        <w:rPr>
          <w:rFonts w:cstheme="majorBidi"/>
          <w:bCs/>
          <w:spacing w:val="-4"/>
          <w:szCs w:val="24"/>
        </w:rPr>
        <w:t>Therefore, ITU is proposed to carry out studies on new challenges arising from recent developments in telecom industry and put in place by consensus a comprehensive legal framework instrument based on 2012</w:t>
      </w:r>
      <w:r>
        <w:rPr>
          <w:rFonts w:cstheme="majorBidi"/>
          <w:bCs/>
          <w:spacing w:val="-4"/>
          <w:szCs w:val="24"/>
        </w:rPr>
        <w:t xml:space="preserve"> </w:t>
      </w:r>
      <w:r w:rsidRPr="008312F4">
        <w:rPr>
          <w:rFonts w:cstheme="majorBidi"/>
          <w:bCs/>
          <w:spacing w:val="-4"/>
          <w:szCs w:val="24"/>
        </w:rPr>
        <w:t>ITRs.</w:t>
      </w:r>
    </w:p>
    <w:p w:rsidR="00C30BAD" w:rsidRDefault="00104195" w:rsidP="008312F4">
      <w:pPr>
        <w:snapToGrid w:val="0"/>
        <w:spacing w:after="120"/>
        <w:jc w:val="both"/>
        <w:rPr>
          <w:rFonts w:cstheme="majorBidi"/>
          <w:b/>
          <w:spacing w:val="-4"/>
          <w:szCs w:val="24"/>
        </w:rPr>
      </w:pPr>
      <w:r>
        <w:rPr>
          <w:rFonts w:cstheme="majorBidi"/>
          <w:b/>
          <w:spacing w:val="-4"/>
          <w:szCs w:val="24"/>
        </w:rPr>
        <w:br/>
      </w:r>
      <w:r w:rsidR="00EE2F2D">
        <w:rPr>
          <w:rFonts w:cstheme="majorBidi"/>
          <w:b/>
          <w:spacing w:val="-4"/>
          <w:szCs w:val="24"/>
        </w:rPr>
        <w:t>4</w:t>
      </w:r>
      <w:r w:rsidR="00C30BAD">
        <w:rPr>
          <w:rFonts w:cstheme="majorBidi"/>
          <w:b/>
          <w:spacing w:val="-4"/>
          <w:szCs w:val="24"/>
        </w:rPr>
        <w:t>.3</w:t>
      </w:r>
      <w:r w:rsidR="00C30BAD">
        <w:rPr>
          <w:rFonts w:cstheme="majorBidi"/>
          <w:b/>
          <w:spacing w:val="-4"/>
          <w:szCs w:val="24"/>
        </w:rPr>
        <w:tab/>
      </w:r>
      <w:r w:rsidR="00C30BAD" w:rsidRPr="00654ECB">
        <w:rPr>
          <w:rFonts w:cstheme="majorBidi"/>
          <w:b/>
          <w:spacing w:val="-4"/>
          <w:szCs w:val="24"/>
        </w:rPr>
        <w:t xml:space="preserve">Contribution </w:t>
      </w:r>
      <w:r w:rsidR="00C30BAD" w:rsidRPr="004D7EDA">
        <w:rPr>
          <w:rFonts w:cstheme="majorBidi"/>
          <w:b/>
          <w:spacing w:val="-4"/>
          <w:szCs w:val="24"/>
        </w:rPr>
        <w:t xml:space="preserve">EG-ITRs </w:t>
      </w:r>
      <w:r w:rsidR="00027968">
        <w:rPr>
          <w:rFonts w:cstheme="majorBidi"/>
          <w:b/>
          <w:spacing w:val="-4"/>
          <w:szCs w:val="24"/>
        </w:rPr>
        <w:t>3</w:t>
      </w:r>
      <w:r w:rsidR="00C30BAD" w:rsidRPr="004D7EDA">
        <w:rPr>
          <w:rFonts w:cstheme="majorBidi"/>
          <w:b/>
          <w:spacing w:val="-4"/>
          <w:szCs w:val="24"/>
        </w:rPr>
        <w:t>/4</w:t>
      </w:r>
      <w:r w:rsidR="00C30BAD" w:rsidRPr="00043720">
        <w:rPr>
          <w:rFonts w:cstheme="majorBidi"/>
          <w:b/>
          <w:spacing w:val="-4"/>
          <w:szCs w:val="24"/>
        </w:rPr>
        <w:t xml:space="preserve"> </w:t>
      </w:r>
      <w:r w:rsidR="00C30BAD" w:rsidRPr="00654ECB">
        <w:rPr>
          <w:rFonts w:cstheme="majorBidi"/>
          <w:b/>
          <w:spacing w:val="-4"/>
          <w:szCs w:val="24"/>
        </w:rPr>
        <w:t xml:space="preserve">from </w:t>
      </w:r>
      <w:r w:rsidR="00027968" w:rsidRPr="00027968">
        <w:rPr>
          <w:rFonts w:cstheme="majorBidi"/>
          <w:b/>
          <w:spacing w:val="-4"/>
          <w:szCs w:val="24"/>
        </w:rPr>
        <w:t>KDDI - Review of the 2012 ITRs</w:t>
      </w:r>
    </w:p>
    <w:p w:rsidR="008312F4" w:rsidRPr="008312F4" w:rsidRDefault="008312F4" w:rsidP="00D10583">
      <w:pPr>
        <w:snapToGrid w:val="0"/>
        <w:spacing w:after="120"/>
        <w:jc w:val="both"/>
        <w:rPr>
          <w:rFonts w:ascii="Calibri" w:hAnsi="Calibri"/>
          <w:szCs w:val="21"/>
        </w:rPr>
      </w:pPr>
      <w:r w:rsidRPr="008312F4">
        <w:rPr>
          <w:rFonts w:ascii="Calibri" w:hAnsi="Calibri"/>
          <w:szCs w:val="21"/>
        </w:rPr>
        <w:t>KDDI quoted two summaries of Contributions from the report of the second meeting of EG-ITRs to show that its position on the review of the 2012 ITRs has not changed.  The Contributions are EG-ITRs 2/9 from several Sector Members and 2/11 from Japan.  KDDI is one of the sources of Contribution EG-ITRs 2/9 and has endorsed the position of the Japanese government.  In the quote, it said that there are very few countries that continue to rely on the ITR-based accounting rate regime.  Further, KDDI and other Japanese operators replied to the questionnaire of the Japanese government that they have not experienced or do not foresee any potential or actual conflicts.</w:t>
      </w:r>
    </w:p>
    <w:p w:rsidR="00C30BAD" w:rsidRDefault="008312F4" w:rsidP="00D10583">
      <w:pPr>
        <w:snapToGrid w:val="0"/>
        <w:spacing w:after="120"/>
        <w:jc w:val="both"/>
        <w:rPr>
          <w:rFonts w:ascii="Calibri" w:hAnsi="Calibri"/>
          <w:szCs w:val="21"/>
        </w:rPr>
      </w:pPr>
      <w:r w:rsidRPr="008312F4">
        <w:rPr>
          <w:rFonts w:ascii="Calibri" w:hAnsi="Calibri"/>
          <w:szCs w:val="21"/>
        </w:rPr>
        <w:t>At the last part of the Contribution, KDDI pointed out its active participation to the ITU-T SG3.  The group is a very useful forum to discuss the regulatory and economic issues of telecommunications.  Addition to it, KDDI commented its view about "new trends" which should not be solely highlighted.</w:t>
      </w:r>
    </w:p>
    <w:p w:rsidR="00C30BAD" w:rsidRDefault="00A4025A" w:rsidP="00027968">
      <w:pPr>
        <w:snapToGrid w:val="0"/>
        <w:spacing w:after="120"/>
        <w:jc w:val="both"/>
        <w:rPr>
          <w:rFonts w:cstheme="majorBidi"/>
          <w:b/>
          <w:spacing w:val="-4"/>
          <w:szCs w:val="24"/>
        </w:rPr>
      </w:pPr>
      <w:r>
        <w:rPr>
          <w:rFonts w:cstheme="majorBidi"/>
          <w:b/>
          <w:spacing w:val="-4"/>
          <w:szCs w:val="24"/>
        </w:rPr>
        <w:br/>
      </w:r>
      <w:r w:rsidR="00EE2F2D">
        <w:rPr>
          <w:rFonts w:cstheme="majorBidi"/>
          <w:b/>
          <w:spacing w:val="-4"/>
          <w:szCs w:val="24"/>
        </w:rPr>
        <w:t>4</w:t>
      </w:r>
      <w:r w:rsidR="00C30BAD">
        <w:rPr>
          <w:rFonts w:cstheme="majorBidi"/>
          <w:b/>
          <w:spacing w:val="-4"/>
          <w:szCs w:val="24"/>
        </w:rPr>
        <w:t>.4</w:t>
      </w:r>
      <w:r w:rsidR="00C30BAD">
        <w:rPr>
          <w:rFonts w:cstheme="majorBidi"/>
          <w:b/>
          <w:spacing w:val="-4"/>
          <w:szCs w:val="24"/>
        </w:rPr>
        <w:tab/>
      </w:r>
      <w:r w:rsidR="00C30BAD" w:rsidRPr="004634E0">
        <w:rPr>
          <w:rFonts w:cstheme="majorBidi"/>
          <w:b/>
          <w:spacing w:val="-4"/>
          <w:szCs w:val="24"/>
        </w:rPr>
        <w:t xml:space="preserve">Contribution </w:t>
      </w:r>
      <w:r w:rsidR="00027968">
        <w:rPr>
          <w:rFonts w:cstheme="majorBidi"/>
          <w:b/>
          <w:spacing w:val="-4"/>
          <w:szCs w:val="24"/>
        </w:rPr>
        <w:t>EG-ITRs 3</w:t>
      </w:r>
      <w:r w:rsidR="00C30BAD">
        <w:rPr>
          <w:rFonts w:cstheme="majorBidi"/>
          <w:b/>
          <w:spacing w:val="-4"/>
          <w:szCs w:val="24"/>
        </w:rPr>
        <w:t>/</w:t>
      </w:r>
      <w:r w:rsidR="00027968">
        <w:rPr>
          <w:rFonts w:cstheme="majorBidi"/>
          <w:b/>
          <w:spacing w:val="-4"/>
          <w:szCs w:val="24"/>
        </w:rPr>
        <w:t>6</w:t>
      </w:r>
      <w:r w:rsidR="00C30BAD">
        <w:rPr>
          <w:rFonts w:cstheme="majorBidi"/>
          <w:b/>
          <w:spacing w:val="-4"/>
          <w:szCs w:val="24"/>
        </w:rPr>
        <w:t xml:space="preserve"> </w:t>
      </w:r>
      <w:r w:rsidR="00C30BAD" w:rsidRPr="004634E0">
        <w:rPr>
          <w:rFonts w:cstheme="majorBidi"/>
          <w:b/>
          <w:spacing w:val="-4"/>
          <w:szCs w:val="24"/>
        </w:rPr>
        <w:t xml:space="preserve">from </w:t>
      </w:r>
      <w:r w:rsidR="00027968" w:rsidRPr="00027968">
        <w:rPr>
          <w:rFonts w:cstheme="majorBidi"/>
          <w:b/>
          <w:spacing w:val="-4"/>
          <w:szCs w:val="24"/>
        </w:rPr>
        <w:t xml:space="preserve">Portugal </w:t>
      </w:r>
    </w:p>
    <w:p w:rsidR="00027968" w:rsidRPr="00CD0ABA" w:rsidRDefault="00CD0ABA" w:rsidP="00027968">
      <w:pPr>
        <w:keepNext/>
        <w:snapToGrid w:val="0"/>
        <w:spacing w:after="120"/>
        <w:jc w:val="both"/>
        <w:rPr>
          <w:rFonts w:cs="Times New Roman"/>
        </w:rPr>
      </w:pPr>
      <w:r w:rsidRPr="00CD0ABA">
        <w:rPr>
          <w:rFonts w:cs="Times New Roman"/>
        </w:rPr>
        <w:t>In a contribution that was developed and agreed within the framework of a Regional Association, it was found counterproductive, at present and in the near future, to hold a WCIT, given the difference of opinions expressed by Member States and also operators on the applicability and usefulness of the 1988 ITRs and 2012 ITRs. In that contribution, it was also considered that for further examination of the matter the analysis made by Brazil (doc 2/4) and Mexico (doc 2/14) are particularly valuable.</w:t>
      </w:r>
    </w:p>
    <w:p w:rsidR="00C30BAD" w:rsidRDefault="00A4025A" w:rsidP="00027968">
      <w:pPr>
        <w:keepNext/>
        <w:snapToGrid w:val="0"/>
        <w:spacing w:after="120"/>
        <w:jc w:val="both"/>
        <w:rPr>
          <w:rFonts w:cstheme="majorBidi"/>
          <w:b/>
          <w:spacing w:val="-4"/>
          <w:szCs w:val="24"/>
        </w:rPr>
      </w:pPr>
      <w:r>
        <w:rPr>
          <w:rFonts w:cstheme="majorBidi"/>
          <w:b/>
          <w:spacing w:val="-4"/>
          <w:szCs w:val="24"/>
        </w:rPr>
        <w:br/>
      </w:r>
      <w:r w:rsidR="00EE2F2D">
        <w:rPr>
          <w:rFonts w:cstheme="majorBidi"/>
          <w:b/>
          <w:spacing w:val="-4"/>
          <w:szCs w:val="24"/>
        </w:rPr>
        <w:t>4</w:t>
      </w:r>
      <w:r w:rsidR="00C30BAD">
        <w:rPr>
          <w:rFonts w:cstheme="majorBidi"/>
          <w:b/>
          <w:spacing w:val="-4"/>
          <w:szCs w:val="24"/>
        </w:rPr>
        <w:t>.5</w:t>
      </w:r>
      <w:r w:rsidR="00C30BAD">
        <w:rPr>
          <w:rFonts w:cstheme="majorBidi"/>
          <w:b/>
          <w:spacing w:val="-4"/>
          <w:szCs w:val="24"/>
        </w:rPr>
        <w:tab/>
      </w:r>
      <w:r w:rsidR="00C30BAD" w:rsidRPr="004634E0">
        <w:rPr>
          <w:rFonts w:cstheme="majorBidi"/>
          <w:b/>
          <w:spacing w:val="-4"/>
          <w:szCs w:val="24"/>
        </w:rPr>
        <w:t xml:space="preserve">Contribution </w:t>
      </w:r>
      <w:r w:rsidR="00C30BAD">
        <w:rPr>
          <w:rFonts w:cstheme="majorBidi"/>
          <w:b/>
          <w:spacing w:val="-4"/>
          <w:szCs w:val="24"/>
        </w:rPr>
        <w:t xml:space="preserve">EG-ITRs </w:t>
      </w:r>
      <w:r w:rsidR="00027968">
        <w:rPr>
          <w:rFonts w:cstheme="majorBidi"/>
          <w:b/>
          <w:spacing w:val="-4"/>
          <w:szCs w:val="24"/>
        </w:rPr>
        <w:t>3</w:t>
      </w:r>
      <w:r w:rsidR="00C30BAD">
        <w:rPr>
          <w:rFonts w:cstheme="majorBidi"/>
          <w:b/>
          <w:spacing w:val="-4"/>
          <w:szCs w:val="24"/>
        </w:rPr>
        <w:t>/</w:t>
      </w:r>
      <w:r w:rsidR="00027968">
        <w:rPr>
          <w:rFonts w:cstheme="majorBidi"/>
          <w:b/>
          <w:spacing w:val="-4"/>
          <w:szCs w:val="24"/>
        </w:rPr>
        <w:t>7</w:t>
      </w:r>
      <w:r w:rsidR="00C30BAD">
        <w:rPr>
          <w:rFonts w:cstheme="majorBidi"/>
          <w:b/>
          <w:spacing w:val="-4"/>
          <w:szCs w:val="24"/>
        </w:rPr>
        <w:t xml:space="preserve"> </w:t>
      </w:r>
      <w:r w:rsidR="00027968">
        <w:rPr>
          <w:rFonts w:cstheme="majorBidi"/>
          <w:b/>
          <w:spacing w:val="-4"/>
          <w:szCs w:val="24"/>
        </w:rPr>
        <w:t xml:space="preserve">from </w:t>
      </w:r>
      <w:r w:rsidR="00027968" w:rsidRPr="00027968">
        <w:rPr>
          <w:rFonts w:cstheme="majorBidi"/>
          <w:b/>
          <w:spacing w:val="-4"/>
          <w:szCs w:val="24"/>
        </w:rPr>
        <w:t>Japan - Review of the 2012 ITRs</w:t>
      </w:r>
    </w:p>
    <w:p w:rsidR="00DA0B72" w:rsidRDefault="007712AA" w:rsidP="007712AA">
      <w:pPr>
        <w:keepNext/>
        <w:spacing w:after="0" w:line="240" w:lineRule="auto"/>
        <w:jc w:val="both"/>
        <w:rPr>
          <w:rFonts w:cs="Times New Roman"/>
        </w:rPr>
      </w:pPr>
      <w:r w:rsidRPr="007712AA">
        <w:rPr>
          <w:rFonts w:cs="Times New Roman"/>
        </w:rPr>
        <w:t>Regarding the scope of the ITRs, Japan is of the view that the ITRs should remain focused on international telecommunication services offered to the public and should not be extended to domestic issues or issues related to the Internet. In order to maximize the benefits brought about by telecommunications/ICT, we need to build an enabling environment for accelerating operators’ business activity and fostering competition, instead of regulation. New trends and emerging issues are ever-changing in drastically and rapidly evolving international telecommunications/ICT environments. It is unfitting that continually changing new issues will be addressed by the ITRs by making assumptions about how new issues will evolve. In addition, new issues cause a lack of stability to the ITRs. Furthermore, setting an international legal framework to regulate new issues will make operators difficult to respond flexibly to rapidly evolving international environments, and as a result decrease the potential of new business and technological innovation.</w:t>
      </w:r>
      <w:r>
        <w:rPr>
          <w:rFonts w:cs="Times New Roman"/>
        </w:rPr>
        <w:t xml:space="preserve"> </w:t>
      </w:r>
      <w:r w:rsidRPr="007712AA">
        <w:rPr>
          <w:rFonts w:cs="Times New Roman"/>
        </w:rPr>
        <w:t>In the absence of international consensus among Member States, we do not recognize the necessity of revising the ITRs and of holding a WCIT.</w:t>
      </w:r>
      <w:r w:rsidR="006E7F60">
        <w:rPr>
          <w:rFonts w:cs="Times New Roman"/>
        </w:rPr>
        <w:t xml:space="preserve"> </w:t>
      </w:r>
      <w:r w:rsidRPr="007712AA">
        <w:rPr>
          <w:rFonts w:cs="Times New Roman"/>
        </w:rPr>
        <w:t xml:space="preserve"> We have significant concern that holding WCIT will impose a huge financial and human resources’ burden on all the people involved.</w:t>
      </w:r>
    </w:p>
    <w:p w:rsidR="007712AA" w:rsidRPr="00906980" w:rsidRDefault="007712AA" w:rsidP="007712AA">
      <w:pPr>
        <w:keepNext/>
        <w:spacing w:after="0" w:line="240" w:lineRule="auto"/>
        <w:jc w:val="both"/>
        <w:rPr>
          <w:rFonts w:cs="Times New Roman"/>
        </w:rPr>
      </w:pPr>
    </w:p>
    <w:p w:rsidR="00C30BAD" w:rsidRDefault="00EE2F2D" w:rsidP="00237DCE">
      <w:pPr>
        <w:snapToGrid w:val="0"/>
        <w:spacing w:after="120"/>
        <w:ind w:left="720" w:hanging="720"/>
        <w:jc w:val="both"/>
        <w:rPr>
          <w:rFonts w:cstheme="majorBidi"/>
          <w:b/>
          <w:spacing w:val="-4"/>
          <w:szCs w:val="24"/>
        </w:rPr>
      </w:pPr>
      <w:r>
        <w:rPr>
          <w:rFonts w:cstheme="majorBidi"/>
          <w:b/>
          <w:spacing w:val="-4"/>
          <w:szCs w:val="24"/>
        </w:rPr>
        <w:t>4</w:t>
      </w:r>
      <w:r w:rsidR="00C30BAD">
        <w:rPr>
          <w:rFonts w:cstheme="majorBidi"/>
          <w:b/>
          <w:spacing w:val="-4"/>
          <w:szCs w:val="24"/>
        </w:rPr>
        <w:t>.6</w:t>
      </w:r>
      <w:r w:rsidR="00C30BAD">
        <w:rPr>
          <w:rFonts w:cstheme="majorBidi"/>
          <w:b/>
          <w:spacing w:val="-4"/>
          <w:szCs w:val="24"/>
        </w:rPr>
        <w:tab/>
      </w:r>
      <w:r w:rsidR="00C30BAD" w:rsidRPr="0013580B">
        <w:rPr>
          <w:rFonts w:cstheme="majorBidi"/>
          <w:b/>
          <w:spacing w:val="-4"/>
          <w:szCs w:val="24"/>
        </w:rPr>
        <w:t xml:space="preserve">Contribution </w:t>
      </w:r>
      <w:r w:rsidR="00C30BAD">
        <w:rPr>
          <w:rFonts w:cstheme="majorBidi"/>
          <w:b/>
          <w:spacing w:val="-4"/>
          <w:szCs w:val="24"/>
        </w:rPr>
        <w:t xml:space="preserve">EG-ITRs </w:t>
      </w:r>
      <w:r w:rsidR="00277D19">
        <w:rPr>
          <w:rFonts w:cstheme="majorBidi"/>
          <w:b/>
          <w:spacing w:val="-4"/>
          <w:szCs w:val="24"/>
        </w:rPr>
        <w:t>3</w:t>
      </w:r>
      <w:r w:rsidR="00C30BAD">
        <w:rPr>
          <w:rFonts w:cstheme="majorBidi"/>
          <w:b/>
          <w:spacing w:val="-4"/>
          <w:szCs w:val="24"/>
        </w:rPr>
        <w:t>/</w:t>
      </w:r>
      <w:r w:rsidR="00027968">
        <w:rPr>
          <w:rFonts w:cstheme="majorBidi"/>
          <w:b/>
          <w:spacing w:val="-4"/>
          <w:szCs w:val="24"/>
        </w:rPr>
        <w:t>8</w:t>
      </w:r>
      <w:r w:rsidR="00C30BAD">
        <w:rPr>
          <w:rFonts w:cstheme="majorBidi"/>
          <w:b/>
          <w:spacing w:val="-4"/>
          <w:szCs w:val="24"/>
        </w:rPr>
        <w:t xml:space="preserve"> </w:t>
      </w:r>
      <w:r w:rsidR="00027968">
        <w:rPr>
          <w:rFonts w:cstheme="majorBidi"/>
          <w:b/>
          <w:spacing w:val="-4"/>
          <w:szCs w:val="24"/>
        </w:rPr>
        <w:t xml:space="preserve">from the </w:t>
      </w:r>
      <w:r w:rsidR="00027968" w:rsidRPr="00027968">
        <w:rPr>
          <w:rFonts w:cstheme="majorBidi"/>
          <w:b/>
          <w:spacing w:val="-4"/>
          <w:szCs w:val="24"/>
        </w:rPr>
        <w:t xml:space="preserve">United States of America - United States views on the draft of the final report on the review of the ITRs  </w:t>
      </w:r>
    </w:p>
    <w:p w:rsidR="007974DD" w:rsidRPr="007974DD" w:rsidRDefault="007974DD" w:rsidP="003A165E">
      <w:pPr>
        <w:snapToGrid w:val="0"/>
        <w:spacing w:after="120"/>
        <w:jc w:val="both"/>
        <w:rPr>
          <w:rFonts w:cs="Times New Roman"/>
        </w:rPr>
      </w:pPr>
      <w:r w:rsidRPr="007974DD">
        <w:rPr>
          <w:rFonts w:cs="Times New Roman"/>
        </w:rPr>
        <w:t>The US contribution reiterated its views on the review of the 2012 ITRs as well as the perils of convening a WCIT to revise the 2012 ITRs. The US believes that the ITRS are no longer applicable or relevant to the vast majority of international communications traffic and that the existence of two versions of ITR</w:t>
      </w:r>
      <w:r>
        <w:rPr>
          <w:rFonts w:cs="Times New Roman"/>
        </w:rPr>
        <w:t>s</w:t>
      </w:r>
      <w:r w:rsidRPr="007974DD">
        <w:rPr>
          <w:rFonts w:cs="Times New Roman"/>
        </w:rPr>
        <w:t xml:space="preserve"> has not created any legal or practical conflicts.  There has been no demonstration of conflicts in contributions to the Experts Group.</w:t>
      </w:r>
    </w:p>
    <w:p w:rsidR="007974DD" w:rsidRPr="007974DD" w:rsidRDefault="007974DD" w:rsidP="003A165E">
      <w:pPr>
        <w:snapToGrid w:val="0"/>
        <w:spacing w:after="120"/>
        <w:jc w:val="both"/>
        <w:rPr>
          <w:rFonts w:cs="Times New Roman"/>
        </w:rPr>
      </w:pPr>
      <w:r w:rsidRPr="007974DD">
        <w:rPr>
          <w:rFonts w:cs="Times New Roman"/>
        </w:rPr>
        <w:t>The US also repeated its serious concerns about the scope and applicability of the 2012 ITRS. In particular, it noted its concern that some of the provisions are outside the stated purpose and scope of the ITRS as articulated in Article 1 of both the 1988 and 2012 ITRs. It further stated that the ITRS like other treaty instruments should stand the test of time. Any attempt to revise the ITRS to reflect "new trends" would make it obsolete as soon as the regulations were adopted.</w:t>
      </w:r>
    </w:p>
    <w:p w:rsidR="007974DD" w:rsidRPr="007974DD" w:rsidRDefault="007974DD" w:rsidP="00237DCE">
      <w:pPr>
        <w:snapToGrid w:val="0"/>
        <w:spacing w:after="0"/>
        <w:jc w:val="both"/>
        <w:rPr>
          <w:rFonts w:cs="Times New Roman"/>
        </w:rPr>
      </w:pPr>
      <w:r w:rsidRPr="007974DD">
        <w:rPr>
          <w:rFonts w:cs="Times New Roman"/>
        </w:rPr>
        <w:t>The US believes that a future WCIT is riddled with perils and would divert valuable ITU resources away from the implementation of the ITU's core mission and could even result in a third set of ITRs. Instead of spending energy on a future WCIT, the US believes that the Union should work to address the digital divide and work toward fulfilling 2030 development goals.</w:t>
      </w:r>
    </w:p>
    <w:p w:rsidR="00237DCE" w:rsidRDefault="00237DCE" w:rsidP="00237DCE">
      <w:pPr>
        <w:snapToGrid w:val="0"/>
        <w:spacing w:after="0"/>
        <w:jc w:val="both"/>
        <w:rPr>
          <w:rFonts w:cstheme="majorBidi"/>
          <w:b/>
          <w:spacing w:val="-4"/>
          <w:szCs w:val="24"/>
        </w:rPr>
      </w:pPr>
    </w:p>
    <w:p w:rsidR="00C30BAD" w:rsidRDefault="00EE2F2D" w:rsidP="00237DCE">
      <w:pPr>
        <w:snapToGrid w:val="0"/>
        <w:spacing w:after="120"/>
        <w:ind w:left="720" w:hanging="720"/>
        <w:jc w:val="both"/>
        <w:rPr>
          <w:rFonts w:cstheme="majorBidi"/>
          <w:b/>
          <w:spacing w:val="-4"/>
          <w:szCs w:val="24"/>
        </w:rPr>
      </w:pPr>
      <w:r>
        <w:rPr>
          <w:rFonts w:cstheme="majorBidi"/>
          <w:b/>
          <w:spacing w:val="-4"/>
          <w:szCs w:val="24"/>
        </w:rPr>
        <w:t>4</w:t>
      </w:r>
      <w:r w:rsidR="00C30BAD">
        <w:rPr>
          <w:rFonts w:cstheme="majorBidi"/>
          <w:b/>
          <w:spacing w:val="-4"/>
          <w:szCs w:val="24"/>
        </w:rPr>
        <w:t>.7</w:t>
      </w:r>
      <w:r w:rsidR="00C30BAD">
        <w:rPr>
          <w:rFonts w:cstheme="majorBidi"/>
          <w:b/>
          <w:spacing w:val="-4"/>
          <w:szCs w:val="24"/>
        </w:rPr>
        <w:tab/>
      </w:r>
      <w:r w:rsidR="00C30BAD" w:rsidRPr="00C30BAD">
        <w:rPr>
          <w:rFonts w:cstheme="majorBidi"/>
          <w:b/>
          <w:spacing w:val="-4"/>
          <w:szCs w:val="24"/>
        </w:rPr>
        <w:t xml:space="preserve">Contribution </w:t>
      </w:r>
      <w:r w:rsidR="00C30BAD">
        <w:rPr>
          <w:rFonts w:cstheme="majorBidi"/>
          <w:b/>
          <w:spacing w:val="-4"/>
          <w:szCs w:val="24"/>
        </w:rPr>
        <w:t xml:space="preserve">EG-ITRs </w:t>
      </w:r>
      <w:r w:rsidR="00277D19">
        <w:rPr>
          <w:rFonts w:cstheme="majorBidi"/>
          <w:b/>
          <w:spacing w:val="-4"/>
          <w:szCs w:val="24"/>
        </w:rPr>
        <w:t>3</w:t>
      </w:r>
      <w:r w:rsidR="00C30BAD">
        <w:rPr>
          <w:rFonts w:cstheme="majorBidi"/>
          <w:b/>
          <w:spacing w:val="-4"/>
          <w:szCs w:val="24"/>
        </w:rPr>
        <w:t>/</w:t>
      </w:r>
      <w:r w:rsidR="00277D19">
        <w:rPr>
          <w:rFonts w:cstheme="majorBidi"/>
          <w:b/>
          <w:spacing w:val="-4"/>
          <w:szCs w:val="24"/>
        </w:rPr>
        <w:t>9</w:t>
      </w:r>
      <w:r w:rsidR="00C30BAD">
        <w:rPr>
          <w:rFonts w:cstheme="majorBidi"/>
          <w:b/>
          <w:spacing w:val="-4"/>
          <w:szCs w:val="24"/>
        </w:rPr>
        <w:t xml:space="preserve"> </w:t>
      </w:r>
      <w:r w:rsidR="00C30BAD" w:rsidRPr="00C30BAD">
        <w:rPr>
          <w:rFonts w:cstheme="majorBidi"/>
          <w:b/>
          <w:spacing w:val="-4"/>
          <w:szCs w:val="24"/>
        </w:rPr>
        <w:t xml:space="preserve">from </w:t>
      </w:r>
      <w:r w:rsidR="00277D19">
        <w:rPr>
          <w:rFonts w:cstheme="majorBidi"/>
          <w:b/>
          <w:spacing w:val="-4"/>
          <w:szCs w:val="24"/>
        </w:rPr>
        <w:t xml:space="preserve">the </w:t>
      </w:r>
      <w:r w:rsidR="00277D19" w:rsidRPr="00277D19">
        <w:rPr>
          <w:rFonts w:cstheme="majorBidi"/>
          <w:b/>
          <w:spacing w:val="-4"/>
          <w:szCs w:val="24"/>
        </w:rPr>
        <w:t>Russian Federation, Republic of Armenia, Republic of Belarus and Kyrgyz Republic - Problematic issues related to the use of ITRs</w:t>
      </w:r>
    </w:p>
    <w:p w:rsidR="00583161" w:rsidRPr="00583161" w:rsidRDefault="00583161" w:rsidP="00583161">
      <w:pPr>
        <w:jc w:val="both"/>
        <w:rPr>
          <w:bCs/>
        </w:rPr>
      </w:pPr>
      <w:r w:rsidRPr="00583161">
        <w:rPr>
          <w:bCs/>
        </w:rPr>
        <w:t xml:space="preserve">The contribution of the Russian Federation, supported by Republic of Armenia, Republic of Belarus and Kyrgyz Republic, outlines a number of fundamental problem issues connected with the application of the ITRs, such as the outdated terminology of the 1988 ITRs, that the 1988 ITRs do not correspond to the realities of modern telecommunications/ICTs, or to the roles, aims and practical functions of administrations and operators due to fundamental changes in the role and functions of administrations and operators in the course of global liberalization of international telecommunication markets and significant changes in the role and functions of ITU Member States in the provision of international telecommunications. It also notes changes in telecommunication infrastructure and emergence of new international telecommunication services, especially in the field of mobile wireless telecommunications and other various factors. </w:t>
      </w:r>
    </w:p>
    <w:p w:rsidR="00583161" w:rsidRPr="00583161" w:rsidRDefault="00583161" w:rsidP="00583161">
      <w:pPr>
        <w:jc w:val="both"/>
        <w:rPr>
          <w:bCs/>
        </w:rPr>
      </w:pPr>
      <w:r w:rsidRPr="00583161">
        <w:rPr>
          <w:bCs/>
        </w:rPr>
        <w:t>The contribution underlines that both versions of the ITRs include a number of differing provisions related to economic aspects of providing telecommunication/ICT services, which creates additional potential risks of financial loss for operators. This state of affairs creates new challenges for administrations and operators when collaborating with partners from countries in which different versions of the ITRs (1988 and 2012) are applied.</w:t>
      </w:r>
    </w:p>
    <w:p w:rsidR="005F3B6F" w:rsidRPr="005F3B6F" w:rsidRDefault="00583161" w:rsidP="00583161">
      <w:pPr>
        <w:jc w:val="both"/>
        <w:rPr>
          <w:bCs/>
        </w:rPr>
      </w:pPr>
      <w:r w:rsidRPr="00583161">
        <w:rPr>
          <w:bCs/>
        </w:rPr>
        <w:t>In the light of the foregoing, it was proposed to include in the final report of EG-ITRs the opinion on the importance of having a single text of the ITRs. To facilitate the organization of effective work by EG-ITRs, an article by article comparison of the 1988 and 2012 ITRs has been prepared, which was proposed to be reflected in Section 2.3 “Potential conflicts” of the draft Final Report.</w:t>
      </w:r>
    </w:p>
    <w:p w:rsidR="00C30BAD" w:rsidRDefault="00A4025A" w:rsidP="00277D19">
      <w:pPr>
        <w:rPr>
          <w:rFonts w:cstheme="majorBidi"/>
          <w:b/>
          <w:spacing w:val="-4"/>
          <w:szCs w:val="24"/>
        </w:rPr>
      </w:pPr>
      <w:r>
        <w:rPr>
          <w:rFonts w:cstheme="majorBidi"/>
          <w:b/>
          <w:spacing w:val="-4"/>
          <w:szCs w:val="24"/>
        </w:rPr>
        <w:br/>
      </w:r>
      <w:r w:rsidR="00EE2F2D">
        <w:rPr>
          <w:rFonts w:cstheme="majorBidi"/>
          <w:b/>
          <w:spacing w:val="-4"/>
          <w:szCs w:val="24"/>
        </w:rPr>
        <w:t>4</w:t>
      </w:r>
      <w:r w:rsidR="00C30BAD" w:rsidRPr="00C30BAD">
        <w:rPr>
          <w:rFonts w:cstheme="majorBidi"/>
          <w:b/>
          <w:spacing w:val="-4"/>
          <w:szCs w:val="24"/>
        </w:rPr>
        <w:t>.8</w:t>
      </w:r>
      <w:r w:rsidR="00C30BAD" w:rsidRPr="00C30BAD">
        <w:rPr>
          <w:rFonts w:cstheme="majorBidi"/>
          <w:b/>
          <w:spacing w:val="-4"/>
          <w:szCs w:val="24"/>
        </w:rPr>
        <w:tab/>
        <w:t xml:space="preserve">Contribution </w:t>
      </w:r>
      <w:r w:rsidR="00C30BAD">
        <w:rPr>
          <w:rFonts w:cstheme="majorBidi"/>
          <w:b/>
          <w:spacing w:val="-4"/>
          <w:szCs w:val="24"/>
        </w:rPr>
        <w:t xml:space="preserve">EG-ITRs 2/9 </w:t>
      </w:r>
      <w:r w:rsidR="00C30BAD" w:rsidRPr="00C30BAD">
        <w:rPr>
          <w:rFonts w:cstheme="majorBidi"/>
          <w:b/>
          <w:spacing w:val="-4"/>
          <w:szCs w:val="24"/>
        </w:rPr>
        <w:t xml:space="preserve">from </w:t>
      </w:r>
      <w:r w:rsidR="00277D19" w:rsidRPr="00277D19">
        <w:rPr>
          <w:rFonts w:cstheme="majorBidi"/>
          <w:b/>
          <w:spacing w:val="-4"/>
          <w:szCs w:val="24"/>
        </w:rPr>
        <w:t>the Republic of Zimbabwe - Review and revision of the ITRs</w:t>
      </w:r>
      <w:r w:rsidR="00C30BAD" w:rsidRPr="00C30BAD">
        <w:rPr>
          <w:rFonts w:cstheme="majorBidi"/>
          <w:b/>
          <w:spacing w:val="-4"/>
          <w:szCs w:val="24"/>
        </w:rPr>
        <w:t xml:space="preserve">   </w:t>
      </w:r>
    </w:p>
    <w:p w:rsidR="001B04F2" w:rsidRPr="0017115C" w:rsidRDefault="001B04F2" w:rsidP="003A165E">
      <w:pPr>
        <w:jc w:val="both"/>
        <w:rPr>
          <w:rFonts w:cstheme="majorBidi"/>
          <w:bCs/>
          <w:szCs w:val="24"/>
        </w:rPr>
      </w:pPr>
      <w:r w:rsidRPr="0017115C">
        <w:rPr>
          <w:rFonts w:cstheme="majorBidi"/>
          <w:bCs/>
          <w:szCs w:val="24"/>
        </w:rPr>
        <w:t>The Contribution from Zimbabwe examined the ITRs in light of the terms of reference of the EG-ITRs. It covered issues relating to the implementation of the 2012 ITRs and WCIT-12 Resolutions and issues relating to possible conflict between the two treaties. The two Treaties are complimentary to each other, with the 2012 ITRs complimenting the 1988 one. The matters that they govern remain in existence albeit with variations in terminology and some institutional organizations. The new issues covered by the 2012 ITRs are real issues which the world is grappling with today and need to be covered in an international regulatory framework. It is important to carry everyone on board to find a lasting solution to the ITR problem. Accordingly, it is recommended as follows:</w:t>
      </w:r>
    </w:p>
    <w:p w:rsidR="001B04F2" w:rsidRPr="0017115C" w:rsidRDefault="001B04F2" w:rsidP="003A165E">
      <w:pPr>
        <w:jc w:val="both"/>
        <w:rPr>
          <w:rFonts w:cstheme="majorBidi"/>
          <w:bCs/>
          <w:szCs w:val="24"/>
        </w:rPr>
      </w:pPr>
      <w:r w:rsidRPr="0017115C">
        <w:rPr>
          <w:rFonts w:cstheme="majorBidi"/>
          <w:bCs/>
          <w:szCs w:val="24"/>
        </w:rPr>
        <w:t>a)</w:t>
      </w:r>
      <w:r w:rsidRPr="0017115C">
        <w:rPr>
          <w:rFonts w:cstheme="majorBidi"/>
          <w:bCs/>
          <w:szCs w:val="24"/>
        </w:rPr>
        <w:tab/>
        <w:t>Measures be put in place for discussion of the contentious issues on security and emerging technologies in order to find a way of accommodating these appropriately in the ITRs</w:t>
      </w:r>
    </w:p>
    <w:p w:rsidR="001B04F2" w:rsidRPr="0017115C" w:rsidRDefault="001B04F2" w:rsidP="003A165E">
      <w:pPr>
        <w:jc w:val="both"/>
        <w:rPr>
          <w:rFonts w:cstheme="majorBidi"/>
          <w:bCs/>
          <w:szCs w:val="24"/>
        </w:rPr>
      </w:pPr>
      <w:r w:rsidRPr="0017115C">
        <w:rPr>
          <w:rFonts w:cstheme="majorBidi"/>
          <w:bCs/>
          <w:szCs w:val="24"/>
        </w:rPr>
        <w:t>b)</w:t>
      </w:r>
      <w:r w:rsidRPr="0017115C">
        <w:rPr>
          <w:rFonts w:cstheme="majorBidi"/>
          <w:bCs/>
          <w:szCs w:val="24"/>
        </w:rPr>
        <w:tab/>
        <w:t>Appropriate consultations to ensure that there is buy in by the majority of Member States on a review of the ITRs need to made</w:t>
      </w:r>
    </w:p>
    <w:p w:rsidR="001B04F2" w:rsidRPr="0017115C" w:rsidRDefault="001B04F2" w:rsidP="003A165E">
      <w:pPr>
        <w:jc w:val="both"/>
        <w:rPr>
          <w:rFonts w:cstheme="majorBidi"/>
          <w:bCs/>
          <w:szCs w:val="24"/>
        </w:rPr>
      </w:pPr>
      <w:r w:rsidRPr="0017115C">
        <w:rPr>
          <w:rFonts w:cstheme="majorBidi"/>
          <w:bCs/>
          <w:szCs w:val="24"/>
        </w:rPr>
        <w:t>c)</w:t>
      </w:r>
      <w:r w:rsidRPr="0017115C">
        <w:rPr>
          <w:rFonts w:cstheme="majorBidi"/>
          <w:bCs/>
          <w:szCs w:val="24"/>
        </w:rPr>
        <w:tab/>
        <w:t>That once consensus is reached, Review of the ITRs be made</w:t>
      </w:r>
    </w:p>
    <w:p w:rsidR="001B04F2" w:rsidRPr="001B04F2" w:rsidRDefault="001B04F2" w:rsidP="003A165E">
      <w:pPr>
        <w:jc w:val="both"/>
        <w:rPr>
          <w:rFonts w:cstheme="majorBidi"/>
          <w:bCs/>
          <w:szCs w:val="24"/>
        </w:rPr>
      </w:pPr>
      <w:r w:rsidRPr="0017115C">
        <w:rPr>
          <w:rFonts w:cstheme="majorBidi"/>
          <w:bCs/>
          <w:szCs w:val="24"/>
        </w:rPr>
        <w:t>d)</w:t>
      </w:r>
      <w:r w:rsidRPr="0017115C">
        <w:rPr>
          <w:rFonts w:cstheme="majorBidi"/>
          <w:bCs/>
          <w:szCs w:val="24"/>
        </w:rPr>
        <w:tab/>
        <w:t>Only when it is clear that consensus can be reached on the contentious issues, should a proposal to hold another World Conference on International Telecommunications be considered, in order to avoid a split result.</w:t>
      </w:r>
    </w:p>
    <w:p w:rsidR="009F5F08" w:rsidRPr="00043720" w:rsidRDefault="00EE2F2D" w:rsidP="009F5F08">
      <w:pPr>
        <w:keepNext/>
        <w:keepLines/>
        <w:snapToGrid w:val="0"/>
        <w:spacing w:before="360" w:after="120"/>
        <w:jc w:val="both"/>
        <w:rPr>
          <w:rFonts w:cstheme="majorBidi"/>
          <w:b/>
          <w:szCs w:val="24"/>
        </w:rPr>
      </w:pPr>
      <w:r>
        <w:rPr>
          <w:rFonts w:cstheme="majorBidi"/>
          <w:b/>
          <w:szCs w:val="24"/>
        </w:rPr>
        <w:t>5</w:t>
      </w:r>
      <w:r w:rsidR="009F5F08" w:rsidRPr="00043720">
        <w:rPr>
          <w:rFonts w:cstheme="majorBidi"/>
          <w:b/>
          <w:szCs w:val="24"/>
        </w:rPr>
        <w:tab/>
        <w:t>Discussions</w:t>
      </w:r>
      <w:r w:rsidR="00254030">
        <w:rPr>
          <w:rFonts w:cstheme="majorBidi"/>
          <w:b/>
          <w:szCs w:val="24"/>
        </w:rPr>
        <w:t xml:space="preserve"> on contributions </w:t>
      </w:r>
      <w:r w:rsidR="00254030" w:rsidRPr="00277D19">
        <w:rPr>
          <w:rFonts w:cstheme="majorBidi"/>
          <w:b/>
          <w:szCs w:val="24"/>
        </w:rPr>
        <w:t xml:space="preserve">made directly to the </w:t>
      </w:r>
      <w:r w:rsidR="00254030">
        <w:rPr>
          <w:rFonts w:cstheme="majorBidi"/>
          <w:b/>
          <w:szCs w:val="24"/>
        </w:rPr>
        <w:t xml:space="preserve">third </w:t>
      </w:r>
      <w:r w:rsidR="00254030" w:rsidRPr="00277D19">
        <w:rPr>
          <w:rFonts w:cstheme="majorBidi"/>
          <w:b/>
          <w:szCs w:val="24"/>
        </w:rPr>
        <w:t>meeting</w:t>
      </w:r>
    </w:p>
    <w:p w:rsidR="00254030" w:rsidRPr="00254030" w:rsidRDefault="00254030" w:rsidP="00102023">
      <w:pPr>
        <w:rPr>
          <w:bCs/>
        </w:rPr>
      </w:pPr>
      <w:r w:rsidRPr="00254030">
        <w:rPr>
          <w:bCs/>
        </w:rPr>
        <w:t>The Expert Group examined the various contributions, which were appreciated by the Group.</w:t>
      </w:r>
      <w:r w:rsidR="00D47FEE">
        <w:rPr>
          <w:bCs/>
        </w:rPr>
        <w:t xml:space="preserve"> </w:t>
      </w:r>
      <w:r w:rsidR="00D47FEE" w:rsidRPr="00D47FEE">
        <w:rPr>
          <w:bCs/>
        </w:rPr>
        <w:t xml:space="preserve">During the discussions, </w:t>
      </w:r>
      <w:r w:rsidR="00D47FEE">
        <w:rPr>
          <w:bCs/>
        </w:rPr>
        <w:t xml:space="preserve">it was </w:t>
      </w:r>
      <w:r w:rsidR="00102023">
        <w:rPr>
          <w:bCs/>
        </w:rPr>
        <w:t>observed</w:t>
      </w:r>
      <w:r w:rsidR="00D47FEE">
        <w:rPr>
          <w:bCs/>
        </w:rPr>
        <w:t xml:space="preserve"> that </w:t>
      </w:r>
      <w:r w:rsidR="00D47FEE" w:rsidRPr="00D47FEE">
        <w:rPr>
          <w:bCs/>
        </w:rPr>
        <w:t xml:space="preserve">there were </w:t>
      </w:r>
      <w:r w:rsidR="002042DD">
        <w:rPr>
          <w:bCs/>
        </w:rPr>
        <w:t>different</w:t>
      </w:r>
      <w:r w:rsidR="00D47FEE" w:rsidRPr="00D47FEE">
        <w:rPr>
          <w:bCs/>
        </w:rPr>
        <w:t xml:space="preserve"> views on the interpretation of the ToRs of the Group as specified in Council 2016 Res.1379.</w:t>
      </w:r>
    </w:p>
    <w:p w:rsidR="00CD2CC0" w:rsidRDefault="00EE2F2D" w:rsidP="00254030">
      <w:pPr>
        <w:jc w:val="both"/>
        <w:rPr>
          <w:rFonts w:cstheme="majorBidi"/>
          <w:b/>
          <w:spacing w:val="-4"/>
          <w:szCs w:val="24"/>
        </w:rPr>
      </w:pPr>
      <w:r>
        <w:rPr>
          <w:b/>
        </w:rPr>
        <w:t>5</w:t>
      </w:r>
      <w:r w:rsidR="00254030" w:rsidRPr="00254030">
        <w:rPr>
          <w:b/>
        </w:rPr>
        <w:t>.1</w:t>
      </w:r>
      <w:r w:rsidR="00254030" w:rsidRPr="00254030">
        <w:rPr>
          <w:b/>
        </w:rPr>
        <w:tab/>
        <w:t xml:space="preserve">Discussion on </w:t>
      </w:r>
      <w:r w:rsidR="00254030" w:rsidRPr="004D7EDA">
        <w:rPr>
          <w:rFonts w:cstheme="majorBidi"/>
          <w:b/>
          <w:spacing w:val="-4"/>
          <w:szCs w:val="24"/>
        </w:rPr>
        <w:t xml:space="preserve">Contribution EG-ITRs </w:t>
      </w:r>
      <w:r w:rsidR="00254030">
        <w:rPr>
          <w:rFonts w:cstheme="majorBidi"/>
          <w:b/>
          <w:spacing w:val="-4"/>
          <w:szCs w:val="24"/>
        </w:rPr>
        <w:t>3</w:t>
      </w:r>
      <w:r w:rsidR="00254030" w:rsidRPr="004D7EDA">
        <w:rPr>
          <w:rFonts w:cstheme="majorBidi"/>
          <w:b/>
          <w:spacing w:val="-4"/>
          <w:szCs w:val="24"/>
        </w:rPr>
        <w:t>/2</w:t>
      </w:r>
      <w:r w:rsidR="00254030" w:rsidRPr="00043720">
        <w:rPr>
          <w:rFonts w:cstheme="majorBidi"/>
          <w:b/>
          <w:spacing w:val="-4"/>
          <w:szCs w:val="24"/>
        </w:rPr>
        <w:t xml:space="preserve"> </w:t>
      </w:r>
      <w:r w:rsidR="00254030">
        <w:rPr>
          <w:rFonts w:cstheme="majorBidi"/>
          <w:b/>
          <w:spacing w:val="-4"/>
          <w:szCs w:val="24"/>
        </w:rPr>
        <w:t>from t</w:t>
      </w:r>
      <w:r w:rsidR="00254030" w:rsidRPr="00027968">
        <w:rPr>
          <w:rFonts w:cstheme="majorBidi"/>
          <w:b/>
          <w:spacing w:val="-4"/>
          <w:szCs w:val="24"/>
        </w:rPr>
        <w:t>he People's Republic of China</w:t>
      </w:r>
    </w:p>
    <w:p w:rsidR="00254030" w:rsidRPr="00254030" w:rsidRDefault="00254030" w:rsidP="003A165E">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254030">
        <w:rPr>
          <w:rFonts w:asciiTheme="minorHAnsi" w:hAnsiTheme="minorHAnsi"/>
          <w:sz w:val="22"/>
          <w:szCs w:val="22"/>
        </w:rPr>
        <w:t xml:space="preserve">Some members </w:t>
      </w:r>
      <w:r w:rsidR="007D67D0">
        <w:rPr>
          <w:rFonts w:asciiTheme="minorHAnsi" w:hAnsiTheme="minorHAnsi"/>
          <w:sz w:val="22"/>
          <w:szCs w:val="22"/>
        </w:rPr>
        <w:t>stated</w:t>
      </w:r>
      <w:r w:rsidRPr="00254030">
        <w:rPr>
          <w:rFonts w:asciiTheme="minorHAnsi" w:hAnsiTheme="minorHAnsi"/>
          <w:sz w:val="22"/>
          <w:szCs w:val="22"/>
        </w:rPr>
        <w:t xml:space="preserve"> the importance of new trends and challenges raised in the contribution and its impact on ITRs. </w:t>
      </w:r>
      <w:r w:rsidR="007D67D0">
        <w:rPr>
          <w:rFonts w:asciiTheme="minorHAnsi" w:hAnsiTheme="minorHAnsi"/>
          <w:sz w:val="22"/>
          <w:szCs w:val="22"/>
        </w:rPr>
        <w:t xml:space="preserve"> </w:t>
      </w:r>
    </w:p>
    <w:p w:rsidR="00254030" w:rsidRPr="00254030" w:rsidRDefault="00254030" w:rsidP="0092460A">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254030">
        <w:rPr>
          <w:rFonts w:asciiTheme="minorHAnsi" w:hAnsiTheme="minorHAnsi"/>
          <w:sz w:val="22"/>
          <w:szCs w:val="22"/>
        </w:rPr>
        <w:t xml:space="preserve">A member </w:t>
      </w:r>
      <w:r w:rsidR="007D67D0">
        <w:rPr>
          <w:rFonts w:asciiTheme="minorHAnsi" w:hAnsiTheme="minorHAnsi"/>
          <w:sz w:val="22"/>
          <w:szCs w:val="22"/>
        </w:rPr>
        <w:t>was of the view</w:t>
      </w:r>
      <w:r w:rsidRPr="00254030">
        <w:rPr>
          <w:rFonts w:asciiTheme="minorHAnsi" w:hAnsiTheme="minorHAnsi"/>
          <w:sz w:val="22"/>
          <w:szCs w:val="22"/>
        </w:rPr>
        <w:t xml:space="preserve"> that the new trends may be taken into account in the work of the </w:t>
      </w:r>
      <w:r w:rsidR="0092460A">
        <w:rPr>
          <w:rFonts w:asciiTheme="minorHAnsi" w:hAnsiTheme="minorHAnsi"/>
          <w:sz w:val="22"/>
          <w:szCs w:val="22"/>
        </w:rPr>
        <w:t>G</w:t>
      </w:r>
      <w:r w:rsidRPr="00254030">
        <w:rPr>
          <w:rFonts w:asciiTheme="minorHAnsi" w:hAnsiTheme="minorHAnsi"/>
          <w:sz w:val="22"/>
          <w:szCs w:val="22"/>
        </w:rPr>
        <w:t xml:space="preserve">roup but the mandate of the </w:t>
      </w:r>
      <w:r w:rsidR="0092460A">
        <w:rPr>
          <w:rFonts w:asciiTheme="minorHAnsi" w:hAnsiTheme="minorHAnsi"/>
          <w:sz w:val="22"/>
          <w:szCs w:val="22"/>
        </w:rPr>
        <w:t>G</w:t>
      </w:r>
      <w:r w:rsidRPr="00254030">
        <w:rPr>
          <w:rFonts w:asciiTheme="minorHAnsi" w:hAnsiTheme="minorHAnsi"/>
          <w:sz w:val="22"/>
          <w:szCs w:val="22"/>
        </w:rPr>
        <w:t xml:space="preserve">roup is not to </w:t>
      </w:r>
      <w:r w:rsidR="00A12832" w:rsidRPr="00254030">
        <w:rPr>
          <w:rFonts w:asciiTheme="minorHAnsi" w:hAnsiTheme="minorHAnsi"/>
          <w:sz w:val="22"/>
          <w:szCs w:val="22"/>
        </w:rPr>
        <w:t>analyse</w:t>
      </w:r>
      <w:r w:rsidRPr="00254030">
        <w:rPr>
          <w:rFonts w:asciiTheme="minorHAnsi" w:hAnsiTheme="minorHAnsi"/>
          <w:sz w:val="22"/>
          <w:szCs w:val="22"/>
        </w:rPr>
        <w:t xml:space="preserve"> or catalogue the new trends. </w:t>
      </w:r>
    </w:p>
    <w:p w:rsidR="00254030" w:rsidRPr="00254030" w:rsidRDefault="00254030" w:rsidP="0092460A">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254030">
        <w:rPr>
          <w:rFonts w:asciiTheme="minorHAnsi" w:hAnsiTheme="minorHAnsi"/>
          <w:sz w:val="22"/>
          <w:szCs w:val="22"/>
        </w:rPr>
        <w:t xml:space="preserve">Some members </w:t>
      </w:r>
      <w:r w:rsidR="0092460A">
        <w:rPr>
          <w:rFonts w:asciiTheme="minorHAnsi" w:hAnsiTheme="minorHAnsi"/>
          <w:sz w:val="22"/>
          <w:szCs w:val="22"/>
        </w:rPr>
        <w:t>stated</w:t>
      </w:r>
      <w:r w:rsidRPr="00254030">
        <w:rPr>
          <w:rFonts w:asciiTheme="minorHAnsi" w:hAnsiTheme="minorHAnsi"/>
          <w:sz w:val="22"/>
          <w:szCs w:val="22"/>
        </w:rPr>
        <w:t xml:space="preserve"> that some of the issues raised </w:t>
      </w:r>
      <w:r w:rsidR="007D67D0">
        <w:rPr>
          <w:rFonts w:asciiTheme="minorHAnsi" w:hAnsiTheme="minorHAnsi"/>
          <w:sz w:val="22"/>
          <w:szCs w:val="22"/>
        </w:rPr>
        <w:t xml:space="preserve">in the contribution </w:t>
      </w:r>
      <w:r w:rsidRPr="00254030">
        <w:rPr>
          <w:rFonts w:asciiTheme="minorHAnsi" w:hAnsiTheme="minorHAnsi"/>
          <w:sz w:val="22"/>
          <w:szCs w:val="22"/>
        </w:rPr>
        <w:t xml:space="preserve">fall outside the purview of the ITRs, and that there are other bodies to address them. </w:t>
      </w:r>
    </w:p>
    <w:p w:rsidR="00254030" w:rsidRPr="00254030" w:rsidRDefault="00254030" w:rsidP="0092460A">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254030">
        <w:rPr>
          <w:rFonts w:asciiTheme="minorHAnsi" w:hAnsiTheme="minorHAnsi"/>
          <w:sz w:val="22"/>
          <w:szCs w:val="22"/>
        </w:rPr>
        <w:t xml:space="preserve">Some </w:t>
      </w:r>
      <w:r w:rsidR="007D67D0">
        <w:rPr>
          <w:rFonts w:asciiTheme="minorHAnsi" w:hAnsiTheme="minorHAnsi"/>
          <w:sz w:val="22"/>
          <w:szCs w:val="22"/>
        </w:rPr>
        <w:t xml:space="preserve">members </w:t>
      </w:r>
      <w:r w:rsidRPr="00254030">
        <w:rPr>
          <w:rFonts w:asciiTheme="minorHAnsi" w:hAnsiTheme="minorHAnsi"/>
          <w:sz w:val="22"/>
          <w:szCs w:val="22"/>
        </w:rPr>
        <w:t xml:space="preserve">also </w:t>
      </w:r>
      <w:r w:rsidR="007D67D0">
        <w:rPr>
          <w:rFonts w:asciiTheme="minorHAnsi" w:hAnsiTheme="minorHAnsi"/>
          <w:sz w:val="22"/>
          <w:szCs w:val="22"/>
        </w:rPr>
        <w:t>stated</w:t>
      </w:r>
      <w:r w:rsidRPr="00254030">
        <w:rPr>
          <w:rFonts w:asciiTheme="minorHAnsi" w:hAnsiTheme="minorHAnsi"/>
          <w:sz w:val="22"/>
          <w:szCs w:val="22"/>
        </w:rPr>
        <w:t xml:space="preserve"> that it was difficult to catch up with emerging trends in a treaty instrument, as there is a risk that </w:t>
      </w:r>
      <w:r w:rsidR="0092460A">
        <w:rPr>
          <w:rFonts w:asciiTheme="minorHAnsi" w:hAnsiTheme="minorHAnsi"/>
          <w:sz w:val="22"/>
          <w:szCs w:val="22"/>
        </w:rPr>
        <w:t>the treaty</w:t>
      </w:r>
      <w:r w:rsidRPr="00254030">
        <w:rPr>
          <w:rFonts w:asciiTheme="minorHAnsi" w:hAnsiTheme="minorHAnsi"/>
          <w:sz w:val="22"/>
          <w:szCs w:val="22"/>
        </w:rPr>
        <w:t xml:space="preserve"> would be outdated.</w:t>
      </w:r>
    </w:p>
    <w:p w:rsidR="00254030" w:rsidRDefault="00254030" w:rsidP="003A165E">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254030">
        <w:rPr>
          <w:rFonts w:asciiTheme="minorHAnsi" w:hAnsiTheme="minorHAnsi"/>
          <w:sz w:val="22"/>
          <w:szCs w:val="22"/>
        </w:rPr>
        <w:t>Some other new trends</w:t>
      </w:r>
      <w:r w:rsidR="007D67D0">
        <w:rPr>
          <w:rFonts w:asciiTheme="minorHAnsi" w:hAnsiTheme="minorHAnsi"/>
          <w:sz w:val="22"/>
          <w:szCs w:val="22"/>
        </w:rPr>
        <w:t>, not included in the contribution,</w:t>
      </w:r>
      <w:r w:rsidRPr="00254030">
        <w:rPr>
          <w:rFonts w:asciiTheme="minorHAnsi" w:hAnsiTheme="minorHAnsi"/>
          <w:sz w:val="22"/>
          <w:szCs w:val="22"/>
        </w:rPr>
        <w:t xml:space="preserve"> such as trends in innovation in services and technology were highlighted. </w:t>
      </w:r>
    </w:p>
    <w:p w:rsidR="00550086" w:rsidRPr="00550086" w:rsidRDefault="00550086" w:rsidP="003A165E">
      <w:pPr>
        <w:pStyle w:val="ListParagraph"/>
        <w:numPr>
          <w:ilvl w:val="0"/>
          <w:numId w:val="11"/>
        </w:numPr>
        <w:jc w:val="both"/>
        <w:rPr>
          <w:rFonts w:asciiTheme="minorHAnsi" w:hAnsiTheme="minorHAnsi"/>
          <w:sz w:val="22"/>
          <w:szCs w:val="22"/>
        </w:rPr>
      </w:pPr>
      <w:r w:rsidRPr="00550086">
        <w:rPr>
          <w:rFonts w:asciiTheme="minorHAnsi" w:hAnsiTheme="minorHAnsi"/>
          <w:sz w:val="22"/>
          <w:szCs w:val="22"/>
        </w:rPr>
        <w:t>The linkage between development and the ITRs was questioned by a member.</w:t>
      </w:r>
    </w:p>
    <w:p w:rsidR="00254030" w:rsidRPr="00254030" w:rsidRDefault="00254030" w:rsidP="003A165E">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254030">
        <w:rPr>
          <w:rFonts w:asciiTheme="minorHAnsi" w:hAnsiTheme="minorHAnsi"/>
          <w:sz w:val="22"/>
          <w:szCs w:val="22"/>
        </w:rPr>
        <w:t>Concerning security, there was a divergence in views on whether security should be included in a treaty instrument.</w:t>
      </w:r>
    </w:p>
    <w:p w:rsidR="00514430" w:rsidRDefault="00EE2F2D" w:rsidP="00254030">
      <w:pPr>
        <w:rPr>
          <w:rFonts w:cstheme="majorBidi"/>
          <w:b/>
          <w:spacing w:val="-4"/>
          <w:szCs w:val="24"/>
        </w:rPr>
      </w:pPr>
      <w:r>
        <w:rPr>
          <w:b/>
        </w:rPr>
        <w:t>5</w:t>
      </w:r>
      <w:r w:rsidR="00254030" w:rsidRPr="00254030">
        <w:rPr>
          <w:b/>
        </w:rPr>
        <w:t>.</w:t>
      </w:r>
      <w:r w:rsidR="00254030">
        <w:rPr>
          <w:b/>
        </w:rPr>
        <w:t>2</w:t>
      </w:r>
      <w:r w:rsidR="00254030" w:rsidRPr="00254030">
        <w:rPr>
          <w:b/>
        </w:rPr>
        <w:tab/>
        <w:t xml:space="preserve">Discussion on </w:t>
      </w:r>
      <w:r w:rsidR="00254030" w:rsidRPr="004D7EDA">
        <w:rPr>
          <w:rFonts w:cstheme="majorBidi"/>
          <w:b/>
          <w:spacing w:val="-4"/>
          <w:szCs w:val="24"/>
        </w:rPr>
        <w:t xml:space="preserve">Contribution EG-ITRs </w:t>
      </w:r>
      <w:r w:rsidR="00254030">
        <w:rPr>
          <w:rFonts w:cstheme="majorBidi"/>
          <w:b/>
          <w:spacing w:val="-4"/>
          <w:szCs w:val="24"/>
        </w:rPr>
        <w:t>3</w:t>
      </w:r>
      <w:r w:rsidR="00254030" w:rsidRPr="004D7EDA">
        <w:rPr>
          <w:rFonts w:cstheme="majorBidi"/>
          <w:b/>
          <w:spacing w:val="-4"/>
          <w:szCs w:val="24"/>
        </w:rPr>
        <w:t>/3</w:t>
      </w:r>
      <w:r w:rsidR="00254030" w:rsidRPr="00043720">
        <w:rPr>
          <w:rFonts w:cstheme="majorBidi"/>
          <w:b/>
          <w:spacing w:val="-4"/>
          <w:szCs w:val="24"/>
        </w:rPr>
        <w:t xml:space="preserve"> </w:t>
      </w:r>
      <w:r w:rsidR="00254030" w:rsidRPr="00027968">
        <w:rPr>
          <w:rFonts w:cstheme="majorBidi"/>
          <w:b/>
          <w:spacing w:val="-4"/>
          <w:szCs w:val="24"/>
        </w:rPr>
        <w:t xml:space="preserve">from China Telecommunications Corporation </w:t>
      </w:r>
    </w:p>
    <w:p w:rsidR="00514430" w:rsidRPr="00514430" w:rsidRDefault="00514430" w:rsidP="0092460A">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514430">
        <w:rPr>
          <w:rFonts w:asciiTheme="minorHAnsi" w:hAnsiTheme="minorHAnsi"/>
          <w:sz w:val="22"/>
          <w:szCs w:val="22"/>
        </w:rPr>
        <w:t>Some members indicated that many of the issues raised may fall outside the ToR</w:t>
      </w:r>
      <w:r w:rsidR="007D67D0">
        <w:rPr>
          <w:rFonts w:asciiTheme="minorHAnsi" w:hAnsiTheme="minorHAnsi"/>
          <w:sz w:val="22"/>
          <w:szCs w:val="22"/>
        </w:rPr>
        <w:t>s</w:t>
      </w:r>
      <w:r w:rsidRPr="00514430">
        <w:rPr>
          <w:rFonts w:asciiTheme="minorHAnsi" w:hAnsiTheme="minorHAnsi"/>
          <w:sz w:val="22"/>
          <w:szCs w:val="22"/>
        </w:rPr>
        <w:t xml:space="preserve"> of the </w:t>
      </w:r>
      <w:r w:rsidR="0092460A">
        <w:rPr>
          <w:rFonts w:asciiTheme="minorHAnsi" w:hAnsiTheme="minorHAnsi"/>
          <w:sz w:val="22"/>
          <w:szCs w:val="22"/>
        </w:rPr>
        <w:t>G</w:t>
      </w:r>
      <w:r w:rsidRPr="00514430">
        <w:rPr>
          <w:rFonts w:asciiTheme="minorHAnsi" w:hAnsiTheme="minorHAnsi"/>
          <w:sz w:val="22"/>
          <w:szCs w:val="22"/>
        </w:rPr>
        <w:t xml:space="preserve">roup, and that some issues may fall under domestic regulation, and some outside the purview of the ITRs. </w:t>
      </w:r>
    </w:p>
    <w:p w:rsidR="00C82EC3" w:rsidRDefault="00EE2F2D" w:rsidP="00254030">
      <w:pPr>
        <w:rPr>
          <w:rFonts w:cstheme="majorBidi"/>
          <w:b/>
          <w:spacing w:val="-4"/>
          <w:szCs w:val="24"/>
        </w:rPr>
      </w:pPr>
      <w:r>
        <w:rPr>
          <w:b/>
        </w:rPr>
        <w:t>5</w:t>
      </w:r>
      <w:r w:rsidR="00514430" w:rsidRPr="00254030">
        <w:rPr>
          <w:b/>
        </w:rPr>
        <w:t>.</w:t>
      </w:r>
      <w:r w:rsidR="00FB1CB4">
        <w:rPr>
          <w:b/>
        </w:rPr>
        <w:t>3</w:t>
      </w:r>
      <w:r w:rsidR="00514430" w:rsidRPr="00254030">
        <w:rPr>
          <w:b/>
        </w:rPr>
        <w:tab/>
        <w:t xml:space="preserve">Discussion on </w:t>
      </w:r>
      <w:r w:rsidR="00514430" w:rsidRPr="00654ECB">
        <w:rPr>
          <w:rFonts w:cstheme="majorBidi"/>
          <w:b/>
          <w:spacing w:val="-4"/>
          <w:szCs w:val="24"/>
        </w:rPr>
        <w:t xml:space="preserve">Contribution </w:t>
      </w:r>
      <w:r w:rsidR="00514430" w:rsidRPr="004D7EDA">
        <w:rPr>
          <w:rFonts w:cstheme="majorBidi"/>
          <w:b/>
          <w:spacing w:val="-4"/>
          <w:szCs w:val="24"/>
        </w:rPr>
        <w:t xml:space="preserve">EG-ITRs </w:t>
      </w:r>
      <w:r w:rsidR="00514430">
        <w:rPr>
          <w:rFonts w:cstheme="majorBidi"/>
          <w:b/>
          <w:spacing w:val="-4"/>
          <w:szCs w:val="24"/>
        </w:rPr>
        <w:t>3</w:t>
      </w:r>
      <w:r w:rsidR="00514430" w:rsidRPr="004D7EDA">
        <w:rPr>
          <w:rFonts w:cstheme="majorBidi"/>
          <w:b/>
          <w:spacing w:val="-4"/>
          <w:szCs w:val="24"/>
        </w:rPr>
        <w:t>/4</w:t>
      </w:r>
      <w:r w:rsidR="00514430" w:rsidRPr="00043720">
        <w:rPr>
          <w:rFonts w:cstheme="majorBidi"/>
          <w:b/>
          <w:spacing w:val="-4"/>
          <w:szCs w:val="24"/>
        </w:rPr>
        <w:t xml:space="preserve"> </w:t>
      </w:r>
      <w:r w:rsidR="00514430" w:rsidRPr="00654ECB">
        <w:rPr>
          <w:rFonts w:cstheme="majorBidi"/>
          <w:b/>
          <w:spacing w:val="-4"/>
          <w:szCs w:val="24"/>
        </w:rPr>
        <w:t xml:space="preserve">from </w:t>
      </w:r>
      <w:r w:rsidR="00514430" w:rsidRPr="00027968">
        <w:rPr>
          <w:rFonts w:cstheme="majorBidi"/>
          <w:b/>
          <w:spacing w:val="-4"/>
          <w:szCs w:val="24"/>
        </w:rPr>
        <w:t xml:space="preserve">KDDI </w:t>
      </w:r>
    </w:p>
    <w:p w:rsidR="00C82EC3" w:rsidRPr="00C82EC3" w:rsidRDefault="00C82EC3" w:rsidP="003A165E">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C82EC3">
        <w:rPr>
          <w:rFonts w:asciiTheme="minorHAnsi" w:hAnsiTheme="minorHAnsi"/>
          <w:sz w:val="22"/>
          <w:szCs w:val="22"/>
        </w:rPr>
        <w:t xml:space="preserve">Some members commented that there was </w:t>
      </w:r>
      <w:r w:rsidR="0092460A">
        <w:rPr>
          <w:rFonts w:asciiTheme="minorHAnsi" w:hAnsiTheme="minorHAnsi"/>
          <w:sz w:val="22"/>
          <w:szCs w:val="22"/>
        </w:rPr>
        <w:t>indeed an agreement during WCIT</w:t>
      </w:r>
      <w:r w:rsidRPr="00C82EC3">
        <w:rPr>
          <w:rFonts w:asciiTheme="minorHAnsi" w:hAnsiTheme="minorHAnsi"/>
          <w:sz w:val="22"/>
          <w:szCs w:val="22"/>
        </w:rPr>
        <w:t>-12 that the accounting rates system was not being used</w:t>
      </w:r>
      <w:r w:rsidR="007D67D0">
        <w:rPr>
          <w:rFonts w:asciiTheme="minorHAnsi" w:hAnsiTheme="minorHAnsi"/>
          <w:sz w:val="22"/>
          <w:szCs w:val="22"/>
        </w:rPr>
        <w:t xml:space="preserve"> much even then</w:t>
      </w:r>
      <w:r w:rsidRPr="00C82EC3">
        <w:rPr>
          <w:rFonts w:asciiTheme="minorHAnsi" w:hAnsiTheme="minorHAnsi"/>
          <w:sz w:val="22"/>
          <w:szCs w:val="22"/>
        </w:rPr>
        <w:t xml:space="preserve">, but decided to retain it as it continues to provide a legal basis for any existing transaction using the system. </w:t>
      </w:r>
    </w:p>
    <w:p w:rsidR="00C82EC3" w:rsidRPr="00C82EC3" w:rsidRDefault="00C82EC3" w:rsidP="0092460A">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C82EC3">
        <w:rPr>
          <w:rFonts w:asciiTheme="minorHAnsi" w:hAnsiTheme="minorHAnsi"/>
          <w:sz w:val="22"/>
          <w:szCs w:val="22"/>
        </w:rPr>
        <w:t xml:space="preserve">Some members </w:t>
      </w:r>
      <w:r w:rsidR="007D67D0">
        <w:rPr>
          <w:rFonts w:asciiTheme="minorHAnsi" w:hAnsiTheme="minorHAnsi"/>
          <w:sz w:val="22"/>
          <w:szCs w:val="22"/>
        </w:rPr>
        <w:t>reiterated</w:t>
      </w:r>
      <w:r w:rsidRPr="00C82EC3">
        <w:rPr>
          <w:rFonts w:asciiTheme="minorHAnsi" w:hAnsiTheme="minorHAnsi"/>
          <w:sz w:val="22"/>
          <w:szCs w:val="22"/>
        </w:rPr>
        <w:t xml:space="preserve"> the importance of having a discussion on new trends and their impact on the ITRs. </w:t>
      </w:r>
      <w:r w:rsidR="007D67D0">
        <w:rPr>
          <w:rFonts w:asciiTheme="minorHAnsi" w:hAnsiTheme="minorHAnsi"/>
          <w:sz w:val="22"/>
          <w:szCs w:val="22"/>
        </w:rPr>
        <w:t xml:space="preserve">In this regard, these members </w:t>
      </w:r>
      <w:r w:rsidR="0092460A">
        <w:rPr>
          <w:rFonts w:asciiTheme="minorHAnsi" w:hAnsiTheme="minorHAnsi"/>
          <w:sz w:val="22"/>
          <w:szCs w:val="22"/>
        </w:rPr>
        <w:t>stated</w:t>
      </w:r>
      <w:r w:rsidRPr="00C82EC3">
        <w:rPr>
          <w:rFonts w:asciiTheme="minorHAnsi" w:hAnsiTheme="minorHAnsi"/>
          <w:sz w:val="22"/>
          <w:szCs w:val="22"/>
        </w:rPr>
        <w:t xml:space="preserve"> that developing countries had a need for the ITRs and it was important to consider the views of both developing and developed countries. </w:t>
      </w:r>
    </w:p>
    <w:p w:rsidR="00C82EC3" w:rsidRPr="00C82EC3" w:rsidRDefault="00C82EC3" w:rsidP="0092460A">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C82EC3">
        <w:rPr>
          <w:rFonts w:asciiTheme="minorHAnsi" w:hAnsiTheme="minorHAnsi"/>
          <w:sz w:val="22"/>
          <w:szCs w:val="22"/>
        </w:rPr>
        <w:t xml:space="preserve">Some members </w:t>
      </w:r>
      <w:r w:rsidR="0092460A">
        <w:rPr>
          <w:rFonts w:asciiTheme="minorHAnsi" w:hAnsiTheme="minorHAnsi"/>
          <w:sz w:val="22"/>
          <w:szCs w:val="22"/>
        </w:rPr>
        <w:t>were of the view</w:t>
      </w:r>
      <w:r w:rsidRPr="00C82EC3">
        <w:rPr>
          <w:rFonts w:asciiTheme="minorHAnsi" w:hAnsiTheme="minorHAnsi"/>
          <w:sz w:val="22"/>
          <w:szCs w:val="22"/>
        </w:rPr>
        <w:t xml:space="preserve"> that if some parts of the ITRs are no longer applicable</w:t>
      </w:r>
      <w:r w:rsidR="007D67D0">
        <w:rPr>
          <w:rFonts w:asciiTheme="minorHAnsi" w:hAnsiTheme="minorHAnsi"/>
          <w:sz w:val="22"/>
          <w:szCs w:val="22"/>
        </w:rPr>
        <w:t>, it</w:t>
      </w:r>
      <w:r w:rsidRPr="00C82EC3">
        <w:rPr>
          <w:rFonts w:asciiTheme="minorHAnsi" w:hAnsiTheme="minorHAnsi"/>
          <w:sz w:val="22"/>
          <w:szCs w:val="22"/>
        </w:rPr>
        <w:t xml:space="preserve"> does not mean the ITRs as the whole is not needed. </w:t>
      </w:r>
      <w:r w:rsidR="007D67D0">
        <w:rPr>
          <w:rFonts w:asciiTheme="minorHAnsi" w:hAnsiTheme="minorHAnsi"/>
          <w:sz w:val="22"/>
          <w:szCs w:val="22"/>
        </w:rPr>
        <w:t xml:space="preserve"> They highlighted issues such as r</w:t>
      </w:r>
      <w:r w:rsidRPr="00C82EC3">
        <w:rPr>
          <w:rFonts w:asciiTheme="minorHAnsi" w:hAnsiTheme="minorHAnsi"/>
          <w:sz w:val="22"/>
          <w:szCs w:val="22"/>
        </w:rPr>
        <w:t xml:space="preserve">egulations related to </w:t>
      </w:r>
      <w:r w:rsidR="007D67D0">
        <w:rPr>
          <w:rFonts w:asciiTheme="minorHAnsi" w:hAnsiTheme="minorHAnsi"/>
          <w:sz w:val="22"/>
          <w:szCs w:val="22"/>
        </w:rPr>
        <w:t>s</w:t>
      </w:r>
      <w:r w:rsidRPr="00C82EC3">
        <w:rPr>
          <w:rFonts w:asciiTheme="minorHAnsi" w:hAnsiTheme="minorHAnsi"/>
          <w:sz w:val="22"/>
          <w:szCs w:val="22"/>
        </w:rPr>
        <w:t>ecurity, guarantee of access to telecommunication, especially for people with specific needs, taxation etc, included in the ITRs</w:t>
      </w:r>
      <w:r w:rsidR="007D67D0">
        <w:rPr>
          <w:rFonts w:asciiTheme="minorHAnsi" w:hAnsiTheme="minorHAnsi"/>
          <w:sz w:val="22"/>
          <w:szCs w:val="22"/>
        </w:rPr>
        <w:t xml:space="preserve">, which </w:t>
      </w:r>
      <w:r w:rsidRPr="00C82EC3">
        <w:rPr>
          <w:rFonts w:asciiTheme="minorHAnsi" w:hAnsiTheme="minorHAnsi"/>
          <w:sz w:val="22"/>
          <w:szCs w:val="22"/>
        </w:rPr>
        <w:t>are still the responsibility of Member States.</w:t>
      </w:r>
    </w:p>
    <w:p w:rsidR="00C82EC3" w:rsidRDefault="00C82EC3" w:rsidP="0092460A">
      <w:pPr>
        <w:pStyle w:val="ListParagraph"/>
        <w:numPr>
          <w:ilvl w:val="0"/>
          <w:numId w:val="1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C82EC3">
        <w:rPr>
          <w:rFonts w:asciiTheme="minorHAnsi" w:hAnsiTheme="minorHAnsi"/>
          <w:sz w:val="22"/>
          <w:szCs w:val="22"/>
        </w:rPr>
        <w:t xml:space="preserve">Some members </w:t>
      </w:r>
      <w:r w:rsidR="0092460A">
        <w:rPr>
          <w:rFonts w:asciiTheme="minorHAnsi" w:hAnsiTheme="minorHAnsi"/>
          <w:sz w:val="22"/>
          <w:szCs w:val="22"/>
        </w:rPr>
        <w:t>stated</w:t>
      </w:r>
      <w:r w:rsidRPr="00C82EC3">
        <w:rPr>
          <w:rFonts w:asciiTheme="minorHAnsi" w:hAnsiTheme="minorHAnsi"/>
          <w:sz w:val="22"/>
          <w:szCs w:val="22"/>
        </w:rPr>
        <w:t xml:space="preserve"> that the experience of KDDI was similar to the experience of the operators in their countries. </w:t>
      </w:r>
    </w:p>
    <w:p w:rsidR="00935FD7" w:rsidRDefault="00EE2F2D" w:rsidP="00FB1CB4">
      <w:pPr>
        <w:rPr>
          <w:rFonts w:cstheme="majorBidi"/>
          <w:b/>
          <w:spacing w:val="-4"/>
          <w:szCs w:val="24"/>
        </w:rPr>
      </w:pPr>
      <w:r>
        <w:rPr>
          <w:b/>
        </w:rPr>
        <w:t>5</w:t>
      </w:r>
      <w:r w:rsidR="00FB1CB4" w:rsidRPr="00254030">
        <w:rPr>
          <w:b/>
        </w:rPr>
        <w:t>.</w:t>
      </w:r>
      <w:r w:rsidR="00FB1CB4">
        <w:rPr>
          <w:b/>
        </w:rPr>
        <w:t>4</w:t>
      </w:r>
      <w:r w:rsidR="00FB1CB4" w:rsidRPr="00254030">
        <w:rPr>
          <w:b/>
        </w:rPr>
        <w:tab/>
        <w:t xml:space="preserve">Discussion on </w:t>
      </w:r>
      <w:r w:rsidR="00FB1CB4" w:rsidRPr="004634E0">
        <w:rPr>
          <w:rFonts w:cstheme="majorBidi"/>
          <w:b/>
          <w:spacing w:val="-4"/>
          <w:szCs w:val="24"/>
        </w:rPr>
        <w:t xml:space="preserve">Contribution </w:t>
      </w:r>
      <w:r w:rsidR="00FB1CB4">
        <w:rPr>
          <w:rFonts w:cstheme="majorBidi"/>
          <w:b/>
          <w:spacing w:val="-4"/>
          <w:szCs w:val="24"/>
        </w:rPr>
        <w:t xml:space="preserve">EG-ITRs 3/6 </w:t>
      </w:r>
      <w:r w:rsidR="00FB1CB4" w:rsidRPr="004634E0">
        <w:rPr>
          <w:rFonts w:cstheme="majorBidi"/>
          <w:b/>
          <w:spacing w:val="-4"/>
          <w:szCs w:val="24"/>
        </w:rPr>
        <w:t xml:space="preserve">from </w:t>
      </w:r>
      <w:r w:rsidR="00FB1CB4" w:rsidRPr="00027968">
        <w:rPr>
          <w:rFonts w:cstheme="majorBidi"/>
          <w:b/>
          <w:spacing w:val="-4"/>
          <w:szCs w:val="24"/>
        </w:rPr>
        <w:t xml:space="preserve">Portugal </w:t>
      </w:r>
    </w:p>
    <w:p w:rsidR="00935FD7" w:rsidRDefault="00935FD7" w:rsidP="0092460A">
      <w:pPr>
        <w:pStyle w:val="ListParagraph"/>
        <w:numPr>
          <w:ilvl w:val="0"/>
          <w:numId w:val="12"/>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rPr>
      </w:pPr>
      <w:r w:rsidRPr="00935FD7">
        <w:rPr>
          <w:rFonts w:asciiTheme="minorHAnsi" w:hAnsiTheme="minorHAnsi"/>
          <w:sz w:val="22"/>
          <w:szCs w:val="22"/>
        </w:rPr>
        <w:t xml:space="preserve">A member </w:t>
      </w:r>
      <w:r w:rsidR="0092460A">
        <w:rPr>
          <w:rFonts w:asciiTheme="minorHAnsi" w:hAnsiTheme="minorHAnsi"/>
          <w:sz w:val="22"/>
          <w:szCs w:val="22"/>
        </w:rPr>
        <w:t>stated</w:t>
      </w:r>
      <w:r w:rsidRPr="00935FD7">
        <w:rPr>
          <w:rFonts w:asciiTheme="minorHAnsi" w:hAnsiTheme="minorHAnsi"/>
          <w:sz w:val="22"/>
          <w:szCs w:val="22"/>
        </w:rPr>
        <w:t xml:space="preserve"> that the need or not </w:t>
      </w:r>
      <w:r>
        <w:rPr>
          <w:rFonts w:asciiTheme="minorHAnsi" w:hAnsiTheme="minorHAnsi"/>
          <w:sz w:val="22"/>
          <w:szCs w:val="22"/>
        </w:rPr>
        <w:t>for</w:t>
      </w:r>
      <w:r w:rsidRPr="00935FD7">
        <w:rPr>
          <w:rFonts w:asciiTheme="minorHAnsi" w:hAnsiTheme="minorHAnsi"/>
          <w:sz w:val="22"/>
          <w:szCs w:val="22"/>
        </w:rPr>
        <w:t xml:space="preserve"> a new WCIT is premature as the work of the </w:t>
      </w:r>
      <w:r w:rsidR="0092460A">
        <w:rPr>
          <w:rFonts w:asciiTheme="minorHAnsi" w:hAnsiTheme="minorHAnsi"/>
          <w:sz w:val="22"/>
          <w:szCs w:val="22"/>
        </w:rPr>
        <w:t>G</w:t>
      </w:r>
      <w:r w:rsidRPr="00935FD7">
        <w:rPr>
          <w:rFonts w:asciiTheme="minorHAnsi" w:hAnsiTheme="minorHAnsi"/>
          <w:sz w:val="22"/>
          <w:szCs w:val="22"/>
        </w:rPr>
        <w:t>roup has not concluded, and that such a decision has to be made by PP.</w:t>
      </w:r>
    </w:p>
    <w:p w:rsidR="00935FD7" w:rsidRDefault="00EE2F2D" w:rsidP="00FB1CB4">
      <w:pPr>
        <w:rPr>
          <w:rFonts w:cstheme="majorBidi"/>
          <w:b/>
          <w:spacing w:val="-4"/>
          <w:szCs w:val="24"/>
        </w:rPr>
      </w:pPr>
      <w:r>
        <w:rPr>
          <w:rFonts w:cstheme="majorBidi"/>
          <w:b/>
          <w:spacing w:val="-4"/>
          <w:szCs w:val="24"/>
        </w:rPr>
        <w:t>5</w:t>
      </w:r>
      <w:r w:rsidR="00873FCD">
        <w:rPr>
          <w:rFonts w:cstheme="majorBidi"/>
          <w:b/>
          <w:spacing w:val="-4"/>
          <w:szCs w:val="24"/>
        </w:rPr>
        <w:t>.5</w:t>
      </w:r>
      <w:r w:rsidR="00873FCD">
        <w:rPr>
          <w:rFonts w:cstheme="majorBidi"/>
          <w:b/>
          <w:spacing w:val="-4"/>
          <w:szCs w:val="24"/>
        </w:rPr>
        <w:tab/>
      </w:r>
      <w:r w:rsidR="00873FCD" w:rsidRPr="00254030">
        <w:rPr>
          <w:b/>
        </w:rPr>
        <w:t xml:space="preserve">Discussion on </w:t>
      </w:r>
      <w:r w:rsidR="00873FCD" w:rsidRPr="004634E0">
        <w:rPr>
          <w:rFonts w:cstheme="majorBidi"/>
          <w:b/>
          <w:spacing w:val="-4"/>
          <w:szCs w:val="24"/>
        </w:rPr>
        <w:t xml:space="preserve">Contribution </w:t>
      </w:r>
      <w:r w:rsidR="00873FCD">
        <w:rPr>
          <w:rFonts w:cstheme="majorBidi"/>
          <w:b/>
          <w:spacing w:val="-4"/>
          <w:szCs w:val="24"/>
        </w:rPr>
        <w:t xml:space="preserve">EG-ITRs 3/7 from </w:t>
      </w:r>
      <w:r w:rsidR="00873FCD" w:rsidRPr="00027968">
        <w:rPr>
          <w:rFonts w:cstheme="majorBidi"/>
          <w:b/>
          <w:spacing w:val="-4"/>
          <w:szCs w:val="24"/>
        </w:rPr>
        <w:t>Japan</w:t>
      </w:r>
    </w:p>
    <w:p w:rsidR="00C502C7" w:rsidRPr="00C502C7" w:rsidRDefault="00C502C7" w:rsidP="003A165E">
      <w:pPr>
        <w:pStyle w:val="ListParagraph"/>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C502C7">
        <w:rPr>
          <w:rFonts w:asciiTheme="minorHAnsi" w:hAnsiTheme="minorHAnsi"/>
          <w:sz w:val="22"/>
          <w:szCs w:val="22"/>
        </w:rPr>
        <w:t xml:space="preserve">Some members reiterated the view that that the need or not of a new WCIT is premature as such a decision has to be made by PP. It was also stressed that they are not of the view that the ITRs will impede development of telecommunications, giving the example of radio regulations as an example of regulations aiding growth of telecommunications. </w:t>
      </w:r>
    </w:p>
    <w:p w:rsidR="00C502C7" w:rsidRPr="00C502C7" w:rsidRDefault="00C502C7" w:rsidP="003A165E">
      <w:pPr>
        <w:pStyle w:val="ListParagraph"/>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C502C7">
        <w:rPr>
          <w:rFonts w:asciiTheme="minorHAnsi" w:hAnsiTheme="minorHAnsi"/>
          <w:sz w:val="22"/>
          <w:szCs w:val="22"/>
        </w:rPr>
        <w:t xml:space="preserve">Some </w:t>
      </w:r>
      <w:r w:rsidR="0092460A">
        <w:rPr>
          <w:rFonts w:asciiTheme="minorHAnsi" w:hAnsiTheme="minorHAnsi"/>
          <w:sz w:val="22"/>
          <w:szCs w:val="22"/>
        </w:rPr>
        <w:t xml:space="preserve">members </w:t>
      </w:r>
      <w:r w:rsidRPr="00C502C7">
        <w:rPr>
          <w:rFonts w:asciiTheme="minorHAnsi" w:hAnsiTheme="minorHAnsi"/>
          <w:sz w:val="22"/>
          <w:szCs w:val="22"/>
        </w:rPr>
        <w:t xml:space="preserve">reiterated that concerning inclusion of emerging trends in a treaty instrument, there is a risk that it would be outdated. </w:t>
      </w:r>
    </w:p>
    <w:p w:rsidR="00C502C7" w:rsidRPr="00C502C7" w:rsidRDefault="00C502C7" w:rsidP="003A165E">
      <w:pPr>
        <w:pStyle w:val="ListParagraph"/>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C502C7">
        <w:rPr>
          <w:rFonts w:asciiTheme="minorHAnsi" w:hAnsiTheme="minorHAnsi"/>
          <w:sz w:val="22"/>
          <w:szCs w:val="22"/>
        </w:rPr>
        <w:t>Some members brought up the significant cost of holding a new WCIT, and that it could take attention away from ITU efforts concerning the SDGs.</w:t>
      </w:r>
    </w:p>
    <w:p w:rsidR="00C502C7" w:rsidRPr="00C502C7" w:rsidRDefault="00C502C7" w:rsidP="0092460A">
      <w:pPr>
        <w:pStyle w:val="ListParagraph"/>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C502C7">
        <w:rPr>
          <w:rFonts w:asciiTheme="minorHAnsi" w:hAnsiTheme="minorHAnsi"/>
          <w:sz w:val="22"/>
          <w:szCs w:val="22"/>
        </w:rPr>
        <w:t xml:space="preserve">Some members were of the view that there were many issues </w:t>
      </w:r>
      <w:r w:rsidR="00724D2A">
        <w:rPr>
          <w:rFonts w:asciiTheme="minorHAnsi" w:hAnsiTheme="minorHAnsi"/>
          <w:sz w:val="22"/>
          <w:szCs w:val="22"/>
        </w:rPr>
        <w:t>beyond</w:t>
      </w:r>
      <w:r w:rsidRPr="00C502C7">
        <w:rPr>
          <w:rFonts w:asciiTheme="minorHAnsi" w:hAnsiTheme="minorHAnsi"/>
          <w:sz w:val="22"/>
          <w:szCs w:val="22"/>
        </w:rPr>
        <w:t xml:space="preserve"> commercial agreements that needed to be addressed </w:t>
      </w:r>
      <w:r w:rsidR="0092460A">
        <w:rPr>
          <w:rFonts w:asciiTheme="minorHAnsi" w:hAnsiTheme="minorHAnsi"/>
          <w:sz w:val="22"/>
          <w:szCs w:val="22"/>
        </w:rPr>
        <w:t>at</w:t>
      </w:r>
      <w:r w:rsidRPr="00C502C7">
        <w:rPr>
          <w:rFonts w:asciiTheme="minorHAnsi" w:hAnsiTheme="minorHAnsi"/>
          <w:sz w:val="22"/>
          <w:szCs w:val="22"/>
        </w:rPr>
        <w:t xml:space="preserve"> the international level under a treaty </w:t>
      </w:r>
      <w:r w:rsidR="00741EA9">
        <w:rPr>
          <w:rFonts w:asciiTheme="minorHAnsi" w:hAnsiTheme="minorHAnsi"/>
          <w:sz w:val="22"/>
          <w:szCs w:val="22"/>
        </w:rPr>
        <w:t xml:space="preserve">instrument </w:t>
      </w:r>
      <w:r w:rsidRPr="00C502C7">
        <w:rPr>
          <w:rFonts w:asciiTheme="minorHAnsi" w:hAnsiTheme="minorHAnsi"/>
          <w:sz w:val="22"/>
          <w:szCs w:val="22"/>
        </w:rPr>
        <w:t>such as the ITRs.</w:t>
      </w:r>
    </w:p>
    <w:p w:rsidR="00514430" w:rsidRDefault="00EE2F2D" w:rsidP="0017115C">
      <w:pPr>
        <w:rPr>
          <w:rFonts w:cstheme="majorBidi"/>
          <w:b/>
          <w:spacing w:val="-4"/>
          <w:szCs w:val="24"/>
        </w:rPr>
      </w:pPr>
      <w:r>
        <w:rPr>
          <w:rFonts w:cstheme="majorBidi"/>
          <w:b/>
          <w:spacing w:val="-4"/>
          <w:szCs w:val="24"/>
        </w:rPr>
        <w:t>5</w:t>
      </w:r>
      <w:r w:rsidR="00C502C7">
        <w:rPr>
          <w:rFonts w:cstheme="majorBidi"/>
          <w:b/>
          <w:spacing w:val="-4"/>
          <w:szCs w:val="24"/>
        </w:rPr>
        <w:t>.</w:t>
      </w:r>
      <w:r w:rsidR="0017115C">
        <w:rPr>
          <w:rFonts w:cstheme="majorBidi"/>
          <w:b/>
          <w:spacing w:val="-4"/>
          <w:szCs w:val="24"/>
        </w:rPr>
        <w:t>6</w:t>
      </w:r>
      <w:r w:rsidR="00C502C7">
        <w:rPr>
          <w:rFonts w:cstheme="majorBidi"/>
          <w:b/>
          <w:spacing w:val="-4"/>
          <w:szCs w:val="24"/>
        </w:rPr>
        <w:tab/>
      </w:r>
      <w:r w:rsidR="00C502C7" w:rsidRPr="00254030">
        <w:rPr>
          <w:b/>
        </w:rPr>
        <w:t xml:space="preserve">Discussion on </w:t>
      </w:r>
      <w:r w:rsidR="00C502C7" w:rsidRPr="0013580B">
        <w:rPr>
          <w:rFonts w:cstheme="majorBidi"/>
          <w:b/>
          <w:spacing w:val="-4"/>
          <w:szCs w:val="24"/>
        </w:rPr>
        <w:t xml:space="preserve">Contribution </w:t>
      </w:r>
      <w:r w:rsidR="00C502C7">
        <w:rPr>
          <w:rFonts w:cstheme="majorBidi"/>
          <w:b/>
          <w:spacing w:val="-4"/>
          <w:szCs w:val="24"/>
        </w:rPr>
        <w:t xml:space="preserve">EG-ITRs 3/8 from the </w:t>
      </w:r>
      <w:r w:rsidR="00C502C7" w:rsidRPr="00027968">
        <w:rPr>
          <w:rFonts w:cstheme="majorBidi"/>
          <w:b/>
          <w:spacing w:val="-4"/>
          <w:szCs w:val="24"/>
        </w:rPr>
        <w:t>United States of America</w:t>
      </w:r>
    </w:p>
    <w:p w:rsidR="00C502C7" w:rsidRPr="00C502C7" w:rsidRDefault="00C502C7" w:rsidP="00F77C44">
      <w:pPr>
        <w:pStyle w:val="ListParagraph"/>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color w:val="0000FF"/>
          <w:u w:val="single"/>
        </w:rPr>
      </w:pPr>
      <w:r w:rsidRPr="00C502C7">
        <w:rPr>
          <w:rFonts w:asciiTheme="minorHAnsi" w:hAnsiTheme="minorHAnsi"/>
          <w:sz w:val="22"/>
          <w:szCs w:val="22"/>
        </w:rPr>
        <w:t xml:space="preserve">Some members reiterated the view that that the need or not of a new WCIT is premature as such a decision has to be made by PP, so that aspect of the final report is beyond the remit of this </w:t>
      </w:r>
      <w:r w:rsidR="00F77C44">
        <w:rPr>
          <w:rFonts w:asciiTheme="minorHAnsi" w:hAnsiTheme="minorHAnsi"/>
          <w:sz w:val="22"/>
          <w:szCs w:val="22"/>
        </w:rPr>
        <w:t>G</w:t>
      </w:r>
      <w:r w:rsidRPr="00C502C7">
        <w:rPr>
          <w:rFonts w:asciiTheme="minorHAnsi" w:hAnsiTheme="minorHAnsi"/>
          <w:sz w:val="22"/>
          <w:szCs w:val="22"/>
        </w:rPr>
        <w:t>roup</w:t>
      </w:r>
      <w:r>
        <w:t>.</w:t>
      </w:r>
    </w:p>
    <w:p w:rsidR="00514430" w:rsidRDefault="00EE2F2D" w:rsidP="00237DCE">
      <w:pPr>
        <w:ind w:left="720" w:hanging="720"/>
        <w:rPr>
          <w:rFonts w:cstheme="majorBidi"/>
          <w:b/>
          <w:spacing w:val="-4"/>
          <w:szCs w:val="24"/>
        </w:rPr>
      </w:pPr>
      <w:r>
        <w:rPr>
          <w:rFonts w:cstheme="majorBidi"/>
          <w:b/>
          <w:spacing w:val="-4"/>
          <w:szCs w:val="24"/>
        </w:rPr>
        <w:t>5</w:t>
      </w:r>
      <w:r w:rsidR="00C502C7">
        <w:rPr>
          <w:rFonts w:cstheme="majorBidi"/>
          <w:b/>
          <w:spacing w:val="-4"/>
          <w:szCs w:val="24"/>
        </w:rPr>
        <w:t>.</w:t>
      </w:r>
      <w:r w:rsidR="0017115C">
        <w:rPr>
          <w:rFonts w:cstheme="majorBidi"/>
          <w:b/>
          <w:spacing w:val="-4"/>
          <w:szCs w:val="24"/>
        </w:rPr>
        <w:t>7</w:t>
      </w:r>
      <w:r w:rsidR="00C502C7">
        <w:rPr>
          <w:rFonts w:cstheme="majorBidi"/>
          <w:b/>
          <w:spacing w:val="-4"/>
          <w:szCs w:val="24"/>
        </w:rPr>
        <w:tab/>
      </w:r>
      <w:r w:rsidR="00C502C7" w:rsidRPr="00254030">
        <w:rPr>
          <w:b/>
        </w:rPr>
        <w:t xml:space="preserve">Discussion on </w:t>
      </w:r>
      <w:r w:rsidR="00C502C7" w:rsidRPr="00C30BAD">
        <w:rPr>
          <w:rFonts w:cstheme="majorBidi"/>
          <w:b/>
          <w:spacing w:val="-4"/>
          <w:szCs w:val="24"/>
        </w:rPr>
        <w:t xml:space="preserve">Contribution </w:t>
      </w:r>
      <w:r w:rsidR="00C502C7">
        <w:rPr>
          <w:rFonts w:cstheme="majorBidi"/>
          <w:b/>
          <w:spacing w:val="-4"/>
          <w:szCs w:val="24"/>
        </w:rPr>
        <w:t xml:space="preserve">EG-ITRs 3/9 </w:t>
      </w:r>
      <w:r w:rsidR="00C502C7" w:rsidRPr="00C30BAD">
        <w:rPr>
          <w:rFonts w:cstheme="majorBidi"/>
          <w:b/>
          <w:spacing w:val="-4"/>
          <w:szCs w:val="24"/>
        </w:rPr>
        <w:t xml:space="preserve">from </w:t>
      </w:r>
      <w:r w:rsidR="00C502C7">
        <w:rPr>
          <w:rFonts w:cstheme="majorBidi"/>
          <w:b/>
          <w:spacing w:val="-4"/>
          <w:szCs w:val="24"/>
        </w:rPr>
        <w:t xml:space="preserve">the </w:t>
      </w:r>
      <w:r w:rsidR="00C502C7" w:rsidRPr="00277D19">
        <w:rPr>
          <w:rFonts w:cstheme="majorBidi"/>
          <w:b/>
          <w:spacing w:val="-4"/>
          <w:szCs w:val="24"/>
        </w:rPr>
        <w:t>Russian Federation, Republic of Armenia, Republic of Belarus and Kyrgyz Republic</w:t>
      </w:r>
    </w:p>
    <w:p w:rsidR="005F6A3D" w:rsidRPr="005F6A3D" w:rsidRDefault="005F6A3D" w:rsidP="003A165E">
      <w:pPr>
        <w:pStyle w:val="ListParagraph"/>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5F6A3D">
        <w:rPr>
          <w:rFonts w:asciiTheme="minorHAnsi" w:hAnsiTheme="minorHAnsi"/>
          <w:sz w:val="22"/>
          <w:szCs w:val="22"/>
        </w:rPr>
        <w:t xml:space="preserve">Some </w:t>
      </w:r>
      <w:r w:rsidR="009C6960">
        <w:rPr>
          <w:rFonts w:asciiTheme="minorHAnsi" w:hAnsiTheme="minorHAnsi"/>
          <w:sz w:val="22"/>
          <w:szCs w:val="22"/>
        </w:rPr>
        <w:t>members</w:t>
      </w:r>
      <w:r w:rsidRPr="005F6A3D">
        <w:rPr>
          <w:rFonts w:asciiTheme="minorHAnsi" w:hAnsiTheme="minorHAnsi"/>
          <w:sz w:val="22"/>
          <w:szCs w:val="22"/>
        </w:rPr>
        <w:t xml:space="preserve"> expressed their support for the contribution, including the analysis in the Annex, which lists where the differences between the two versions of the treaties. They also reiterated the importance of having a single text of the ITRs. In this regard, the</w:t>
      </w:r>
      <w:r w:rsidR="009C6960">
        <w:rPr>
          <w:rFonts w:asciiTheme="minorHAnsi" w:hAnsiTheme="minorHAnsi"/>
          <w:sz w:val="22"/>
          <w:szCs w:val="22"/>
        </w:rPr>
        <w:t>se members</w:t>
      </w:r>
      <w:r w:rsidRPr="005F6A3D">
        <w:rPr>
          <w:rFonts w:asciiTheme="minorHAnsi" w:hAnsiTheme="minorHAnsi"/>
          <w:sz w:val="22"/>
          <w:szCs w:val="22"/>
        </w:rPr>
        <w:t xml:space="preserve"> highlighted changes in terminology, </w:t>
      </w:r>
      <w:r w:rsidR="009C6960">
        <w:rPr>
          <w:rFonts w:asciiTheme="minorHAnsi" w:hAnsiTheme="minorHAnsi"/>
          <w:sz w:val="22"/>
          <w:szCs w:val="22"/>
        </w:rPr>
        <w:t xml:space="preserve">and </w:t>
      </w:r>
      <w:r w:rsidRPr="005F6A3D">
        <w:rPr>
          <w:rFonts w:asciiTheme="minorHAnsi" w:hAnsiTheme="minorHAnsi"/>
          <w:sz w:val="22"/>
          <w:szCs w:val="22"/>
        </w:rPr>
        <w:t>provisions such as security, roaming in the 2012 version that don’t exist in the 1988 ITRs.</w:t>
      </w:r>
    </w:p>
    <w:p w:rsidR="005F6A3D" w:rsidRPr="005F6A3D" w:rsidRDefault="005F6A3D" w:rsidP="002679A9">
      <w:pPr>
        <w:pStyle w:val="ListParagraph"/>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5F6A3D">
        <w:rPr>
          <w:rFonts w:asciiTheme="minorHAnsi" w:hAnsiTheme="minorHAnsi"/>
          <w:sz w:val="22"/>
          <w:szCs w:val="22"/>
        </w:rPr>
        <w:t xml:space="preserve">Some </w:t>
      </w:r>
      <w:r w:rsidR="002679A9">
        <w:rPr>
          <w:rFonts w:asciiTheme="minorHAnsi" w:hAnsiTheme="minorHAnsi"/>
          <w:sz w:val="22"/>
          <w:szCs w:val="22"/>
        </w:rPr>
        <w:t>members</w:t>
      </w:r>
      <w:r w:rsidRPr="005F6A3D">
        <w:rPr>
          <w:rFonts w:asciiTheme="minorHAnsi" w:hAnsiTheme="minorHAnsi"/>
          <w:sz w:val="22"/>
          <w:szCs w:val="22"/>
        </w:rPr>
        <w:t xml:space="preserve"> did not agree with the proposal made in the contribution, on including the annex in the contribution as part of the </w:t>
      </w:r>
      <w:r w:rsidR="002679A9">
        <w:rPr>
          <w:rFonts w:asciiTheme="minorHAnsi" w:hAnsiTheme="minorHAnsi"/>
          <w:sz w:val="22"/>
          <w:szCs w:val="22"/>
        </w:rPr>
        <w:t>G</w:t>
      </w:r>
      <w:r w:rsidR="009C6960">
        <w:rPr>
          <w:rFonts w:asciiTheme="minorHAnsi" w:hAnsiTheme="minorHAnsi"/>
          <w:sz w:val="22"/>
          <w:szCs w:val="22"/>
        </w:rPr>
        <w:t xml:space="preserve">roup’s final </w:t>
      </w:r>
      <w:r w:rsidRPr="005F6A3D">
        <w:rPr>
          <w:rFonts w:asciiTheme="minorHAnsi" w:hAnsiTheme="minorHAnsi"/>
          <w:sz w:val="22"/>
          <w:szCs w:val="22"/>
        </w:rPr>
        <w:t xml:space="preserve">report </w:t>
      </w:r>
      <w:r w:rsidR="009C6960">
        <w:rPr>
          <w:rFonts w:asciiTheme="minorHAnsi" w:hAnsiTheme="minorHAnsi"/>
          <w:sz w:val="22"/>
          <w:szCs w:val="22"/>
        </w:rPr>
        <w:t xml:space="preserve">to Council 2018, </w:t>
      </w:r>
      <w:r w:rsidRPr="005F6A3D">
        <w:rPr>
          <w:rFonts w:asciiTheme="minorHAnsi" w:hAnsiTheme="minorHAnsi"/>
          <w:sz w:val="22"/>
          <w:szCs w:val="22"/>
        </w:rPr>
        <w:t>and d</w:t>
      </w:r>
      <w:r w:rsidR="002679A9">
        <w:rPr>
          <w:rFonts w:asciiTheme="minorHAnsi" w:hAnsiTheme="minorHAnsi"/>
          <w:sz w:val="22"/>
          <w:szCs w:val="22"/>
        </w:rPr>
        <w:t>id</w:t>
      </w:r>
      <w:r w:rsidRPr="005F6A3D">
        <w:rPr>
          <w:rFonts w:asciiTheme="minorHAnsi" w:hAnsiTheme="minorHAnsi"/>
          <w:sz w:val="22"/>
          <w:szCs w:val="22"/>
        </w:rPr>
        <w:t xml:space="preserve"> not see any conflict in the existence of two sets of ITRs. They </w:t>
      </w:r>
      <w:r w:rsidR="002679A9">
        <w:rPr>
          <w:rFonts w:asciiTheme="minorHAnsi" w:hAnsiTheme="minorHAnsi"/>
          <w:sz w:val="22"/>
          <w:szCs w:val="22"/>
        </w:rPr>
        <w:t>stated</w:t>
      </w:r>
      <w:r w:rsidRPr="005F6A3D">
        <w:rPr>
          <w:rFonts w:asciiTheme="minorHAnsi" w:hAnsiTheme="minorHAnsi"/>
          <w:sz w:val="22"/>
          <w:szCs w:val="22"/>
        </w:rPr>
        <w:t xml:space="preserve"> that differences between the two versions of the treaty does not inevitably lead to conflict</w:t>
      </w:r>
      <w:r w:rsidR="002679A9">
        <w:rPr>
          <w:rFonts w:asciiTheme="minorHAnsi" w:hAnsiTheme="minorHAnsi"/>
          <w:sz w:val="22"/>
          <w:szCs w:val="22"/>
        </w:rPr>
        <w:t>s</w:t>
      </w:r>
      <w:r w:rsidRPr="005F6A3D">
        <w:rPr>
          <w:rFonts w:asciiTheme="minorHAnsi" w:hAnsiTheme="minorHAnsi"/>
          <w:sz w:val="22"/>
          <w:szCs w:val="22"/>
        </w:rPr>
        <w:t xml:space="preserve"> in their implementation.</w:t>
      </w:r>
    </w:p>
    <w:p w:rsidR="005F6A3D" w:rsidRDefault="005F6A3D" w:rsidP="003A165E">
      <w:pPr>
        <w:pStyle w:val="ListParagraph"/>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5F6A3D">
        <w:rPr>
          <w:rFonts w:asciiTheme="minorHAnsi" w:hAnsiTheme="minorHAnsi"/>
          <w:sz w:val="22"/>
          <w:szCs w:val="22"/>
        </w:rPr>
        <w:t>A discussion ensued on the need to clarify the correlation between "having differences in text in the 1988 and 2012 ITRs" and "Potential conflicts in the implementation of the 2012 ITRs", with a request for clarification by the L</w:t>
      </w:r>
      <w:r w:rsidR="009C6960">
        <w:rPr>
          <w:rFonts w:asciiTheme="minorHAnsi" w:hAnsiTheme="minorHAnsi"/>
          <w:sz w:val="22"/>
          <w:szCs w:val="22"/>
        </w:rPr>
        <w:t>egal Advisor.</w:t>
      </w:r>
    </w:p>
    <w:p w:rsidR="009C6960" w:rsidRPr="003C012E" w:rsidRDefault="009C6960" w:rsidP="009C6960">
      <w:pPr>
        <w:ind w:firstLine="360"/>
        <w:rPr>
          <w:b/>
          <w:bCs/>
          <w:u w:val="single"/>
        </w:rPr>
      </w:pPr>
      <w:r w:rsidRPr="003C012E">
        <w:rPr>
          <w:b/>
          <w:bCs/>
          <w:u w:val="single"/>
        </w:rPr>
        <w:t>Comments of the ITU Legal Advisor</w:t>
      </w:r>
    </w:p>
    <w:p w:rsidR="00CC3AE1" w:rsidRPr="00BF28C8" w:rsidRDefault="00CC3AE1" w:rsidP="00FB5949">
      <w:pPr>
        <w:ind w:left="720"/>
        <w:jc w:val="both"/>
      </w:pPr>
      <w:r w:rsidRPr="00BF28C8">
        <w:t>Up on the request of the Group, the ITU Legal Advis</w:t>
      </w:r>
      <w:r w:rsidR="00A95942">
        <w:t>o</w:t>
      </w:r>
      <w:r w:rsidRPr="00BF28C8">
        <w:t xml:space="preserve">r addressed the issue of conflict of international norms or standards.  He noted that in this context, a conflict does not mean differences between two successive standards. He clarified that when we talk about a conflict in this context we talk about situations that arise as a result of two successive legal rules dealing with the same matter that are contradictory in nature, that are incompatible, and are nevertheless simultaneously applied to a specific concrete situation. Differences between two treaties does not necessarily implies that the treaties are incompatible </w:t>
      </w:r>
      <w:r w:rsidRPr="001D0B2B">
        <w:rPr>
          <w:i/>
        </w:rPr>
        <w:t>per s</w:t>
      </w:r>
      <w:r w:rsidR="00A95942" w:rsidRPr="001D0B2B">
        <w:rPr>
          <w:i/>
        </w:rPr>
        <w:t>e</w:t>
      </w:r>
      <w:r w:rsidRPr="00BF28C8">
        <w:t xml:space="preserve">. </w:t>
      </w:r>
    </w:p>
    <w:p w:rsidR="00CC3AE1" w:rsidRPr="00BF28C8" w:rsidRDefault="00CC3AE1" w:rsidP="00FB5949">
      <w:pPr>
        <w:ind w:left="720"/>
        <w:jc w:val="both"/>
      </w:pPr>
      <w:r w:rsidRPr="00BF28C8">
        <w:t xml:space="preserve">The </w:t>
      </w:r>
      <w:r w:rsidR="00A95942">
        <w:t>L</w:t>
      </w:r>
      <w:r w:rsidRPr="00BF28C8">
        <w:t xml:space="preserve">egal </w:t>
      </w:r>
      <w:r w:rsidR="00A95942">
        <w:t>A</w:t>
      </w:r>
      <w:r w:rsidRPr="00BF28C8">
        <w:t>dvis</w:t>
      </w:r>
      <w:r w:rsidR="00A95942">
        <w:t>o</w:t>
      </w:r>
      <w:r w:rsidRPr="00BF28C8">
        <w:t>r noted that potential contradictions can arise between two successive international standards on the same issue in the same domain, and that is indeed the situation that could be found in this case because the 1988 ITRs and the 2012 ITRs refer to or are applied to the same domain and the same subject matter. Having said that, he emphasized that there are tools that can be used to resolve potential conflicts between two successive treaties in the same domain, and these tools are given to us in particular under Article 30 of the 1969 Vienna Convention on the Law of Treaties.</w:t>
      </w:r>
    </w:p>
    <w:p w:rsidR="00CC3AE1" w:rsidRPr="00BF28C8" w:rsidRDefault="00CC3AE1" w:rsidP="00FB5949">
      <w:pPr>
        <w:ind w:left="720"/>
        <w:jc w:val="both"/>
      </w:pPr>
      <w:r w:rsidRPr="00BF28C8">
        <w:t xml:space="preserve">He then mentioned the different potential scenarios and the potential solutions which are offered by the Vienna Convention. </w:t>
      </w:r>
    </w:p>
    <w:p w:rsidR="00CC3AE1" w:rsidRPr="00BF28C8" w:rsidRDefault="00CC3AE1" w:rsidP="00FB5949">
      <w:pPr>
        <w:pStyle w:val="ListParagraph"/>
        <w:numPr>
          <w:ilvl w:val="0"/>
          <w:numId w:val="19"/>
        </w:numPr>
        <w:tabs>
          <w:tab w:val="clear" w:pos="794"/>
          <w:tab w:val="clear" w:pos="1191"/>
          <w:tab w:val="clear" w:pos="1588"/>
          <w:tab w:val="clear" w:pos="1985"/>
        </w:tabs>
        <w:overflowPunct/>
        <w:autoSpaceDE/>
        <w:autoSpaceDN/>
        <w:adjustRightInd/>
        <w:spacing w:before="0" w:after="160" w:line="252" w:lineRule="auto"/>
        <w:ind w:left="1440" w:hanging="357"/>
        <w:jc w:val="both"/>
        <w:textAlignment w:val="auto"/>
        <w:rPr>
          <w:rFonts w:asciiTheme="minorHAnsi" w:hAnsiTheme="minorHAnsi"/>
          <w:sz w:val="22"/>
          <w:szCs w:val="22"/>
        </w:rPr>
      </w:pPr>
      <w:r w:rsidRPr="00BF28C8">
        <w:rPr>
          <w:rFonts w:asciiTheme="minorHAnsi" w:hAnsiTheme="minorHAnsi"/>
          <w:sz w:val="22"/>
          <w:szCs w:val="22"/>
        </w:rPr>
        <w:t>The first case would be when all parties to the 1988 treaty are also parties to the 2012 treaty. In this case, it is the latter treaty that applies except in such a case that in bilateral relations, Member States believe it is more appropriate to apply the former treaty, but normally it would be the more recent treaty that apply.</w:t>
      </w:r>
    </w:p>
    <w:p w:rsidR="00CC3AE1" w:rsidRPr="00BF28C8" w:rsidRDefault="00CC3AE1" w:rsidP="00FB5949">
      <w:pPr>
        <w:pStyle w:val="ListParagraph"/>
        <w:numPr>
          <w:ilvl w:val="0"/>
          <w:numId w:val="19"/>
        </w:numPr>
        <w:tabs>
          <w:tab w:val="clear" w:pos="794"/>
          <w:tab w:val="clear" w:pos="1191"/>
          <w:tab w:val="clear" w:pos="1588"/>
          <w:tab w:val="clear" w:pos="1985"/>
        </w:tabs>
        <w:overflowPunct/>
        <w:autoSpaceDE/>
        <w:autoSpaceDN/>
        <w:adjustRightInd/>
        <w:spacing w:before="0" w:after="160" w:line="252" w:lineRule="auto"/>
        <w:ind w:left="1440" w:hanging="357"/>
        <w:jc w:val="both"/>
        <w:textAlignment w:val="auto"/>
        <w:rPr>
          <w:rFonts w:asciiTheme="minorHAnsi" w:hAnsiTheme="minorHAnsi"/>
          <w:sz w:val="22"/>
          <w:szCs w:val="22"/>
        </w:rPr>
      </w:pPr>
      <w:r w:rsidRPr="00BF28C8">
        <w:rPr>
          <w:rFonts w:asciiTheme="minorHAnsi" w:hAnsiTheme="minorHAnsi"/>
          <w:sz w:val="22"/>
          <w:szCs w:val="22"/>
        </w:rPr>
        <w:t xml:space="preserve">When parties to the previous treaty are not all parties to the subsequent treaty, as in the current case. In this case, two solutions are available. </w:t>
      </w:r>
    </w:p>
    <w:p w:rsidR="00CC3AE1" w:rsidRPr="00BF28C8" w:rsidRDefault="00CC3AE1" w:rsidP="00FB5949">
      <w:pPr>
        <w:pStyle w:val="ListParagraph"/>
        <w:numPr>
          <w:ilvl w:val="1"/>
          <w:numId w:val="19"/>
        </w:numPr>
        <w:tabs>
          <w:tab w:val="clear" w:pos="794"/>
          <w:tab w:val="clear" w:pos="1191"/>
          <w:tab w:val="clear" w:pos="1588"/>
          <w:tab w:val="clear" w:pos="1985"/>
        </w:tabs>
        <w:overflowPunct/>
        <w:autoSpaceDE/>
        <w:autoSpaceDN/>
        <w:adjustRightInd/>
        <w:spacing w:before="0" w:after="160" w:line="252" w:lineRule="auto"/>
        <w:ind w:left="2160" w:hanging="357"/>
        <w:jc w:val="both"/>
        <w:textAlignment w:val="auto"/>
        <w:rPr>
          <w:rFonts w:asciiTheme="minorHAnsi" w:hAnsiTheme="minorHAnsi"/>
          <w:sz w:val="22"/>
          <w:szCs w:val="22"/>
        </w:rPr>
      </w:pPr>
      <w:r w:rsidRPr="00BF28C8">
        <w:rPr>
          <w:rFonts w:asciiTheme="minorHAnsi" w:hAnsiTheme="minorHAnsi"/>
          <w:sz w:val="22"/>
          <w:szCs w:val="22"/>
        </w:rPr>
        <w:t>In relations between parties to the second treaty, then it is the previous solution under Point 1 that applies.  It is the subsequent treaty that is applied in relations between parties to the two treaties.</w:t>
      </w:r>
    </w:p>
    <w:p w:rsidR="00CC3AE1" w:rsidRPr="00BF28C8" w:rsidRDefault="00CC3AE1" w:rsidP="00FB5949">
      <w:pPr>
        <w:pStyle w:val="ListParagraph"/>
        <w:numPr>
          <w:ilvl w:val="1"/>
          <w:numId w:val="19"/>
        </w:numPr>
        <w:tabs>
          <w:tab w:val="clear" w:pos="794"/>
          <w:tab w:val="clear" w:pos="1191"/>
          <w:tab w:val="clear" w:pos="1588"/>
          <w:tab w:val="clear" w:pos="1985"/>
        </w:tabs>
        <w:overflowPunct/>
        <w:autoSpaceDE/>
        <w:autoSpaceDN/>
        <w:adjustRightInd/>
        <w:spacing w:before="0" w:after="160" w:line="252" w:lineRule="auto"/>
        <w:ind w:left="2160" w:hanging="357"/>
        <w:jc w:val="both"/>
        <w:textAlignment w:val="auto"/>
        <w:rPr>
          <w:rFonts w:asciiTheme="minorHAnsi" w:hAnsiTheme="minorHAnsi"/>
          <w:sz w:val="22"/>
          <w:szCs w:val="22"/>
        </w:rPr>
      </w:pPr>
      <w:r w:rsidRPr="00BF28C8">
        <w:rPr>
          <w:rFonts w:asciiTheme="minorHAnsi" w:hAnsiTheme="minorHAnsi"/>
          <w:sz w:val="22"/>
          <w:szCs w:val="22"/>
        </w:rPr>
        <w:t xml:space="preserve">If one State is party to both and another is only party to one, the treaty to which both states are Parties governs their mutual rights and obligations. </w:t>
      </w:r>
    </w:p>
    <w:p w:rsidR="00CC3AE1" w:rsidRPr="00BF28C8" w:rsidRDefault="00CC3AE1" w:rsidP="00FB5949">
      <w:pPr>
        <w:ind w:left="720"/>
        <w:jc w:val="both"/>
      </w:pPr>
      <w:r w:rsidRPr="00BF28C8">
        <w:t xml:space="preserve">So, even if there could be potential conflicts that may arise between the 1988 ITRs and the 2012 ITRs, we nevertheless have legal solutions within international law that would allow us to solve this potential conflict. </w:t>
      </w:r>
    </w:p>
    <w:p w:rsidR="00C502C7" w:rsidRDefault="00661515" w:rsidP="002679A9">
      <w:pPr>
        <w:rPr>
          <w:rFonts w:cstheme="majorBidi"/>
          <w:b/>
          <w:spacing w:val="-4"/>
          <w:szCs w:val="24"/>
        </w:rPr>
      </w:pPr>
      <w:r>
        <w:rPr>
          <w:rFonts w:cstheme="majorBidi"/>
          <w:b/>
          <w:spacing w:val="-4"/>
          <w:szCs w:val="24"/>
        </w:rPr>
        <w:br/>
      </w:r>
      <w:r w:rsidR="00EE2F2D">
        <w:rPr>
          <w:rFonts w:cstheme="majorBidi"/>
          <w:b/>
          <w:spacing w:val="-4"/>
          <w:szCs w:val="24"/>
        </w:rPr>
        <w:t>5</w:t>
      </w:r>
      <w:r w:rsidR="0017115C">
        <w:rPr>
          <w:rFonts w:cstheme="majorBidi"/>
          <w:b/>
          <w:spacing w:val="-4"/>
          <w:szCs w:val="24"/>
        </w:rPr>
        <w:t>.8</w:t>
      </w:r>
      <w:r w:rsidR="008A7BF6">
        <w:rPr>
          <w:rFonts w:cstheme="majorBidi"/>
          <w:b/>
          <w:spacing w:val="-4"/>
          <w:szCs w:val="24"/>
        </w:rPr>
        <w:tab/>
      </w:r>
      <w:r w:rsidR="009F1C27" w:rsidRPr="00254030">
        <w:rPr>
          <w:b/>
        </w:rPr>
        <w:t xml:space="preserve">Discussion on </w:t>
      </w:r>
      <w:r w:rsidR="008A7BF6" w:rsidRPr="00C30BAD">
        <w:rPr>
          <w:rFonts w:cstheme="majorBidi"/>
          <w:b/>
          <w:spacing w:val="-4"/>
          <w:szCs w:val="24"/>
        </w:rPr>
        <w:t xml:space="preserve">Contribution </w:t>
      </w:r>
      <w:r w:rsidR="002679A9">
        <w:rPr>
          <w:rFonts w:cstheme="majorBidi"/>
          <w:b/>
          <w:spacing w:val="-4"/>
          <w:szCs w:val="24"/>
        </w:rPr>
        <w:t>EG-ITRs 3/10</w:t>
      </w:r>
      <w:r w:rsidR="008A7BF6">
        <w:rPr>
          <w:rFonts w:cstheme="majorBidi"/>
          <w:b/>
          <w:spacing w:val="-4"/>
          <w:szCs w:val="24"/>
        </w:rPr>
        <w:t xml:space="preserve"> </w:t>
      </w:r>
      <w:r w:rsidR="008A7BF6" w:rsidRPr="00C30BAD">
        <w:rPr>
          <w:rFonts w:cstheme="majorBidi"/>
          <w:b/>
          <w:spacing w:val="-4"/>
          <w:szCs w:val="24"/>
        </w:rPr>
        <w:t xml:space="preserve">from </w:t>
      </w:r>
      <w:r w:rsidR="008A7BF6" w:rsidRPr="00277D19">
        <w:rPr>
          <w:rFonts w:cstheme="majorBidi"/>
          <w:b/>
          <w:spacing w:val="-4"/>
          <w:szCs w:val="24"/>
        </w:rPr>
        <w:t>the Republic of Zimbabwe</w:t>
      </w:r>
    </w:p>
    <w:p w:rsidR="008A7BF6" w:rsidRPr="008A7BF6" w:rsidRDefault="008A7BF6" w:rsidP="002679A9">
      <w:pPr>
        <w:pStyle w:val="ListParagraph"/>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Pr>
          <w:rFonts w:asciiTheme="minorHAnsi" w:hAnsiTheme="minorHAnsi"/>
          <w:sz w:val="22"/>
          <w:szCs w:val="22"/>
        </w:rPr>
        <w:t>Several</w:t>
      </w:r>
      <w:r w:rsidRPr="008A7BF6">
        <w:rPr>
          <w:rFonts w:asciiTheme="minorHAnsi" w:hAnsiTheme="minorHAnsi"/>
          <w:sz w:val="22"/>
          <w:szCs w:val="22"/>
        </w:rPr>
        <w:t xml:space="preserve"> members supported the proposals contained in the contribution </w:t>
      </w:r>
      <w:r w:rsidR="002679A9">
        <w:rPr>
          <w:rFonts w:asciiTheme="minorHAnsi" w:hAnsiTheme="minorHAnsi"/>
          <w:sz w:val="22"/>
          <w:szCs w:val="22"/>
        </w:rPr>
        <w:t>including the recommendation made</w:t>
      </w:r>
      <w:r w:rsidRPr="008A7BF6">
        <w:rPr>
          <w:rFonts w:asciiTheme="minorHAnsi" w:hAnsiTheme="minorHAnsi"/>
          <w:sz w:val="22"/>
          <w:szCs w:val="22"/>
        </w:rPr>
        <w:t>.</w:t>
      </w:r>
    </w:p>
    <w:p w:rsidR="008A7BF6" w:rsidRDefault="00D231E2" w:rsidP="006E3639">
      <w:pPr>
        <w:pStyle w:val="ListParagraph"/>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Pr>
          <w:rFonts w:asciiTheme="minorHAnsi" w:hAnsiTheme="minorHAnsi"/>
          <w:sz w:val="22"/>
          <w:szCs w:val="22"/>
        </w:rPr>
        <w:t>Some m</w:t>
      </w:r>
      <w:r w:rsidR="008A7BF6" w:rsidRPr="008A7BF6">
        <w:rPr>
          <w:rFonts w:asciiTheme="minorHAnsi" w:hAnsiTheme="minorHAnsi"/>
          <w:sz w:val="22"/>
          <w:szCs w:val="22"/>
        </w:rPr>
        <w:t>embers were of the view that the aspect of Security should be further developed, with some other</w:t>
      </w:r>
      <w:r>
        <w:rPr>
          <w:rFonts w:asciiTheme="minorHAnsi" w:hAnsiTheme="minorHAnsi"/>
          <w:sz w:val="22"/>
          <w:szCs w:val="22"/>
        </w:rPr>
        <w:t xml:space="preserve"> m</w:t>
      </w:r>
      <w:r w:rsidR="008A7BF6" w:rsidRPr="008A7BF6">
        <w:rPr>
          <w:rFonts w:asciiTheme="minorHAnsi" w:hAnsiTheme="minorHAnsi"/>
          <w:sz w:val="22"/>
          <w:szCs w:val="22"/>
        </w:rPr>
        <w:t xml:space="preserve">embers of the view that while there is general agreement on the importance of security, there is disagreement on the need to use the framework of the </w:t>
      </w:r>
      <w:r w:rsidR="00F6002A">
        <w:rPr>
          <w:rFonts w:asciiTheme="minorHAnsi" w:hAnsiTheme="minorHAnsi"/>
          <w:sz w:val="22"/>
          <w:szCs w:val="22"/>
        </w:rPr>
        <w:t>ITRs to develop a treaty on s</w:t>
      </w:r>
      <w:r w:rsidR="008A7BF6" w:rsidRPr="008A7BF6">
        <w:rPr>
          <w:rFonts w:asciiTheme="minorHAnsi" w:hAnsiTheme="minorHAnsi"/>
          <w:sz w:val="22"/>
          <w:szCs w:val="22"/>
        </w:rPr>
        <w:t xml:space="preserve">ecurity. </w:t>
      </w:r>
    </w:p>
    <w:p w:rsidR="00F95214" w:rsidRDefault="00EE2F2D" w:rsidP="003A165E">
      <w:pPr>
        <w:jc w:val="both"/>
        <w:rPr>
          <w:b/>
          <w:bCs/>
        </w:rPr>
      </w:pPr>
      <w:r>
        <w:rPr>
          <w:b/>
          <w:bCs/>
        </w:rPr>
        <w:t>6</w:t>
      </w:r>
      <w:r w:rsidR="00F95214" w:rsidRPr="00F95214">
        <w:rPr>
          <w:b/>
          <w:bCs/>
        </w:rPr>
        <w:tab/>
        <w:t>Comments on th</w:t>
      </w:r>
      <w:r w:rsidR="00F95214">
        <w:rPr>
          <w:b/>
          <w:bCs/>
        </w:rPr>
        <w:t>e draft final report to Council</w:t>
      </w:r>
    </w:p>
    <w:p w:rsidR="00F95214" w:rsidRPr="00F95214" w:rsidRDefault="00F95214" w:rsidP="003A165E">
      <w:pPr>
        <w:pStyle w:val="ListParagraph"/>
        <w:numPr>
          <w:ilvl w:val="0"/>
          <w:numId w:val="16"/>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F95214">
        <w:rPr>
          <w:rFonts w:asciiTheme="minorHAnsi" w:hAnsiTheme="minorHAnsi"/>
          <w:sz w:val="22"/>
          <w:szCs w:val="22"/>
        </w:rPr>
        <w:t xml:space="preserve">A compilation document was presented to the Group containing edits, comments and new text proposals submitted by </w:t>
      </w:r>
      <w:r>
        <w:rPr>
          <w:rFonts w:asciiTheme="minorHAnsi" w:hAnsiTheme="minorHAnsi"/>
          <w:sz w:val="22"/>
          <w:szCs w:val="22"/>
        </w:rPr>
        <w:t>m</w:t>
      </w:r>
      <w:r w:rsidRPr="00F95214">
        <w:rPr>
          <w:rFonts w:asciiTheme="minorHAnsi" w:hAnsiTheme="minorHAnsi"/>
          <w:sz w:val="22"/>
          <w:szCs w:val="22"/>
        </w:rPr>
        <w:t>ember</w:t>
      </w:r>
      <w:r w:rsidR="00D47FEE">
        <w:rPr>
          <w:rFonts w:asciiTheme="minorHAnsi" w:hAnsiTheme="minorHAnsi"/>
          <w:sz w:val="22"/>
          <w:szCs w:val="22"/>
        </w:rPr>
        <w:t>s</w:t>
      </w:r>
      <w:r w:rsidRPr="00F95214">
        <w:rPr>
          <w:rFonts w:asciiTheme="minorHAnsi" w:hAnsiTheme="minorHAnsi"/>
          <w:sz w:val="22"/>
          <w:szCs w:val="22"/>
        </w:rPr>
        <w:t xml:space="preserve"> on </w:t>
      </w:r>
      <w:hyperlink r:id="rId8" w:history="1">
        <w:r w:rsidRPr="00F95214">
          <w:rPr>
            <w:rFonts w:asciiTheme="minorHAnsi" w:hAnsiTheme="minorHAnsi"/>
            <w:sz w:val="22"/>
            <w:szCs w:val="22"/>
          </w:rPr>
          <w:t xml:space="preserve">Draft </w:t>
        </w:r>
        <w:r w:rsidR="00D47FEE">
          <w:rPr>
            <w:rFonts w:asciiTheme="minorHAnsi" w:hAnsiTheme="minorHAnsi"/>
            <w:sz w:val="22"/>
            <w:szCs w:val="22"/>
          </w:rPr>
          <w:t>1.0 of the Final Report of the Expert Group to Council 2018</w:t>
        </w:r>
      </w:hyperlink>
      <w:r w:rsidRPr="00F95214">
        <w:rPr>
          <w:rFonts w:asciiTheme="minorHAnsi" w:hAnsiTheme="minorHAnsi"/>
          <w:sz w:val="22"/>
          <w:szCs w:val="22"/>
        </w:rPr>
        <w:t xml:space="preserve">. </w:t>
      </w:r>
    </w:p>
    <w:p w:rsidR="00D47FEE" w:rsidRDefault="00F95214" w:rsidP="00942C45">
      <w:pPr>
        <w:pStyle w:val="ListParagraph"/>
        <w:numPr>
          <w:ilvl w:val="0"/>
          <w:numId w:val="16"/>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F95214">
        <w:rPr>
          <w:rFonts w:asciiTheme="minorHAnsi" w:hAnsiTheme="minorHAnsi"/>
          <w:sz w:val="22"/>
          <w:szCs w:val="22"/>
        </w:rPr>
        <w:t xml:space="preserve">Some </w:t>
      </w:r>
      <w:r>
        <w:rPr>
          <w:rFonts w:asciiTheme="minorHAnsi" w:hAnsiTheme="minorHAnsi"/>
          <w:sz w:val="22"/>
          <w:szCs w:val="22"/>
        </w:rPr>
        <w:t>members</w:t>
      </w:r>
      <w:r w:rsidRPr="00F95214">
        <w:rPr>
          <w:rFonts w:asciiTheme="minorHAnsi" w:hAnsiTheme="minorHAnsi"/>
          <w:sz w:val="22"/>
          <w:szCs w:val="22"/>
        </w:rPr>
        <w:t xml:space="preserve"> requested further clarifications on the distinction between contributions submitted to the Group’s </w:t>
      </w:r>
      <w:r w:rsidR="00942C45">
        <w:rPr>
          <w:rFonts w:asciiTheme="minorHAnsi" w:hAnsiTheme="minorHAnsi"/>
          <w:sz w:val="22"/>
          <w:szCs w:val="22"/>
        </w:rPr>
        <w:t>third</w:t>
      </w:r>
      <w:r w:rsidRPr="00F95214">
        <w:rPr>
          <w:rFonts w:asciiTheme="minorHAnsi" w:hAnsiTheme="minorHAnsi"/>
          <w:sz w:val="22"/>
          <w:szCs w:val="22"/>
        </w:rPr>
        <w:t xml:space="preserve"> meeting and comments submitted on the Draft Report 1.0</w:t>
      </w:r>
      <w:r w:rsidR="00942C45">
        <w:rPr>
          <w:rFonts w:asciiTheme="minorHAnsi" w:hAnsiTheme="minorHAnsi"/>
          <w:sz w:val="22"/>
          <w:szCs w:val="22"/>
        </w:rPr>
        <w:t>,</w:t>
      </w:r>
      <w:r w:rsidRPr="00F95214">
        <w:rPr>
          <w:rFonts w:asciiTheme="minorHAnsi" w:hAnsiTheme="minorHAnsi"/>
          <w:sz w:val="22"/>
          <w:szCs w:val="22"/>
        </w:rPr>
        <w:t xml:space="preserve"> and how these would be treated during the discussion of the Report.  </w:t>
      </w:r>
    </w:p>
    <w:p w:rsidR="00D47FEE" w:rsidRDefault="00F95214" w:rsidP="003A165E">
      <w:pPr>
        <w:pStyle w:val="ListParagraph"/>
        <w:numPr>
          <w:ilvl w:val="0"/>
          <w:numId w:val="16"/>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D47FEE">
        <w:rPr>
          <w:rFonts w:asciiTheme="minorHAnsi" w:hAnsiTheme="minorHAnsi"/>
          <w:sz w:val="22"/>
          <w:szCs w:val="22"/>
        </w:rPr>
        <w:t>The Chairman clarified the process, using the plan agreed at the second meeting of the group as reference, while reiterating the importance of maintain trac</w:t>
      </w:r>
      <w:r w:rsidR="00E327CB">
        <w:rPr>
          <w:rFonts w:asciiTheme="minorHAnsi" w:hAnsiTheme="minorHAnsi"/>
          <w:sz w:val="22"/>
          <w:szCs w:val="22"/>
        </w:rPr>
        <w:t>e</w:t>
      </w:r>
      <w:r w:rsidRPr="00D47FEE">
        <w:rPr>
          <w:rFonts w:asciiTheme="minorHAnsi" w:hAnsiTheme="minorHAnsi"/>
          <w:sz w:val="22"/>
          <w:szCs w:val="22"/>
        </w:rPr>
        <w:t xml:space="preserve">ability of the </w:t>
      </w:r>
      <w:r w:rsidR="00DC5FA5">
        <w:rPr>
          <w:rFonts w:asciiTheme="minorHAnsi" w:hAnsiTheme="minorHAnsi"/>
          <w:sz w:val="22"/>
          <w:szCs w:val="22"/>
        </w:rPr>
        <w:t>inputs received.</w:t>
      </w:r>
    </w:p>
    <w:p w:rsidR="00D47FEE" w:rsidRDefault="00D47FEE" w:rsidP="003A165E">
      <w:pPr>
        <w:pStyle w:val="ListParagraph"/>
        <w:numPr>
          <w:ilvl w:val="0"/>
          <w:numId w:val="16"/>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sidRPr="00D47FEE">
        <w:rPr>
          <w:rFonts w:asciiTheme="minorHAnsi" w:hAnsiTheme="minorHAnsi"/>
          <w:sz w:val="22"/>
          <w:szCs w:val="22"/>
        </w:rPr>
        <w:t>The Chairman noted that</w:t>
      </w:r>
      <w:r>
        <w:rPr>
          <w:rFonts w:asciiTheme="minorHAnsi" w:hAnsiTheme="minorHAnsi"/>
          <w:sz w:val="22"/>
          <w:szCs w:val="22"/>
        </w:rPr>
        <w:t xml:space="preserve"> he would collect various views on the Draft 1.0, and then work with the vice chairs and secretariat to produce a Draft 2.0 by February 15, </w:t>
      </w:r>
      <w:r w:rsidRPr="00D47FEE">
        <w:rPr>
          <w:rFonts w:asciiTheme="minorHAnsi" w:hAnsiTheme="minorHAnsi"/>
          <w:sz w:val="22"/>
          <w:szCs w:val="22"/>
        </w:rPr>
        <w:t xml:space="preserve">as per </w:t>
      </w:r>
      <w:r>
        <w:rPr>
          <w:rFonts w:asciiTheme="minorHAnsi" w:hAnsiTheme="minorHAnsi"/>
          <w:sz w:val="22"/>
          <w:szCs w:val="22"/>
        </w:rPr>
        <w:t>the agreed plan.</w:t>
      </w:r>
      <w:r w:rsidR="00DC5FA5">
        <w:rPr>
          <w:rFonts w:asciiTheme="minorHAnsi" w:hAnsiTheme="minorHAnsi"/>
          <w:sz w:val="22"/>
          <w:szCs w:val="22"/>
        </w:rPr>
        <w:t xml:space="preserve"> </w:t>
      </w:r>
    </w:p>
    <w:p w:rsidR="00DC5FA5" w:rsidRDefault="00D47FEE" w:rsidP="003A165E">
      <w:pPr>
        <w:pStyle w:val="ListParagraph"/>
        <w:numPr>
          <w:ilvl w:val="0"/>
          <w:numId w:val="16"/>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Pr>
          <w:rFonts w:asciiTheme="minorHAnsi" w:hAnsiTheme="minorHAnsi"/>
          <w:sz w:val="22"/>
          <w:szCs w:val="22"/>
        </w:rPr>
        <w:t xml:space="preserve">The Group went through the </w:t>
      </w:r>
      <w:r w:rsidRPr="00D47FEE">
        <w:rPr>
          <w:rFonts w:asciiTheme="minorHAnsi" w:hAnsiTheme="minorHAnsi"/>
          <w:sz w:val="22"/>
          <w:szCs w:val="22"/>
        </w:rPr>
        <w:t>Draft 1.0</w:t>
      </w:r>
      <w:r>
        <w:rPr>
          <w:rFonts w:asciiTheme="minorHAnsi" w:hAnsiTheme="minorHAnsi"/>
          <w:sz w:val="22"/>
          <w:szCs w:val="22"/>
        </w:rPr>
        <w:t xml:space="preserve"> section by section</w:t>
      </w:r>
      <w:r w:rsidR="00DC5FA5">
        <w:rPr>
          <w:rFonts w:asciiTheme="minorHAnsi" w:hAnsiTheme="minorHAnsi"/>
          <w:sz w:val="22"/>
          <w:szCs w:val="22"/>
        </w:rPr>
        <w:t>. The Chairman invited those who had submitted comments on the report to present their comments to the Group. E</w:t>
      </w:r>
      <w:r>
        <w:rPr>
          <w:rFonts w:asciiTheme="minorHAnsi" w:hAnsiTheme="minorHAnsi"/>
          <w:sz w:val="22"/>
          <w:szCs w:val="22"/>
        </w:rPr>
        <w:t xml:space="preserve">ach section </w:t>
      </w:r>
      <w:r w:rsidR="00DC5FA5">
        <w:rPr>
          <w:rFonts w:asciiTheme="minorHAnsi" w:hAnsiTheme="minorHAnsi"/>
          <w:sz w:val="22"/>
          <w:szCs w:val="22"/>
        </w:rPr>
        <w:t>as well as the comments receive were then discussed in detail</w:t>
      </w:r>
      <w:r>
        <w:rPr>
          <w:rFonts w:asciiTheme="minorHAnsi" w:hAnsiTheme="minorHAnsi"/>
          <w:sz w:val="22"/>
          <w:szCs w:val="22"/>
        </w:rPr>
        <w:t>.</w:t>
      </w:r>
      <w:r w:rsidR="00DC5FA5">
        <w:rPr>
          <w:rFonts w:asciiTheme="minorHAnsi" w:hAnsiTheme="minorHAnsi"/>
          <w:sz w:val="22"/>
          <w:szCs w:val="22"/>
        </w:rPr>
        <w:t xml:space="preserve"> </w:t>
      </w:r>
    </w:p>
    <w:p w:rsidR="00D47FEE" w:rsidRPr="00F95214" w:rsidRDefault="00DC5FA5" w:rsidP="00E47694">
      <w:pPr>
        <w:pStyle w:val="ListParagraph"/>
        <w:numPr>
          <w:ilvl w:val="0"/>
          <w:numId w:val="16"/>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sz w:val="22"/>
          <w:szCs w:val="22"/>
        </w:rPr>
      </w:pPr>
      <w:r>
        <w:rPr>
          <w:rFonts w:asciiTheme="minorHAnsi" w:hAnsiTheme="minorHAnsi"/>
          <w:sz w:val="22"/>
          <w:szCs w:val="22"/>
        </w:rPr>
        <w:t xml:space="preserve">The Chairman and the members of the Group agreed on the need to strive for maintaining a balance while </w:t>
      </w:r>
      <w:r w:rsidR="00E4749F">
        <w:rPr>
          <w:rFonts w:asciiTheme="minorHAnsi" w:hAnsiTheme="minorHAnsi"/>
          <w:sz w:val="22"/>
          <w:szCs w:val="22"/>
        </w:rPr>
        <w:t>succinctly</w:t>
      </w:r>
      <w:r w:rsidR="002775E9">
        <w:rPr>
          <w:rFonts w:asciiTheme="minorHAnsi" w:hAnsiTheme="minorHAnsi"/>
          <w:sz w:val="22"/>
          <w:szCs w:val="22"/>
        </w:rPr>
        <w:t xml:space="preserve"> </w:t>
      </w:r>
      <w:r w:rsidR="00E4749F">
        <w:rPr>
          <w:rFonts w:asciiTheme="minorHAnsi" w:hAnsiTheme="minorHAnsi"/>
          <w:sz w:val="22"/>
          <w:szCs w:val="22"/>
        </w:rPr>
        <w:t>include</w:t>
      </w:r>
      <w:r>
        <w:rPr>
          <w:rFonts w:asciiTheme="minorHAnsi" w:hAnsiTheme="minorHAnsi"/>
          <w:sz w:val="22"/>
          <w:szCs w:val="22"/>
        </w:rPr>
        <w:t xml:space="preserve"> the various views in the Final Report</w:t>
      </w:r>
      <w:r w:rsidR="00E47694">
        <w:rPr>
          <w:rFonts w:asciiTheme="minorHAnsi" w:hAnsiTheme="minorHAnsi"/>
          <w:sz w:val="22"/>
          <w:szCs w:val="22"/>
        </w:rPr>
        <w:t xml:space="preserve"> to Council 2018</w:t>
      </w:r>
      <w:r>
        <w:rPr>
          <w:rFonts w:asciiTheme="minorHAnsi" w:hAnsiTheme="minorHAnsi"/>
          <w:sz w:val="22"/>
          <w:szCs w:val="22"/>
        </w:rPr>
        <w:t>.</w:t>
      </w:r>
    </w:p>
    <w:p w:rsidR="0091063C" w:rsidRDefault="00EE2F2D" w:rsidP="0091063C">
      <w:pPr>
        <w:snapToGrid w:val="0"/>
        <w:spacing w:before="360" w:after="120"/>
        <w:jc w:val="both"/>
        <w:rPr>
          <w:rFonts w:cstheme="majorBidi"/>
          <w:b/>
          <w:szCs w:val="24"/>
        </w:rPr>
      </w:pPr>
      <w:r>
        <w:rPr>
          <w:rFonts w:cstheme="majorBidi"/>
          <w:b/>
          <w:szCs w:val="24"/>
        </w:rPr>
        <w:t>7</w:t>
      </w:r>
      <w:r w:rsidR="003B3322" w:rsidRPr="00043720">
        <w:rPr>
          <w:rFonts w:cstheme="majorBidi"/>
          <w:b/>
          <w:szCs w:val="24"/>
        </w:rPr>
        <w:tab/>
        <w:t>Actions to be taken</w:t>
      </w:r>
    </w:p>
    <w:p w:rsidR="003B3322" w:rsidRPr="00D05B26" w:rsidRDefault="003B6FD8" w:rsidP="00F95214">
      <w:pPr>
        <w:pStyle w:val="ListParagraph"/>
        <w:numPr>
          <w:ilvl w:val="0"/>
          <w:numId w:val="15"/>
        </w:numPr>
        <w:snapToGrid w:val="0"/>
        <w:spacing w:before="360" w:after="120"/>
        <w:rPr>
          <w:rFonts w:asciiTheme="minorHAnsi" w:hAnsiTheme="minorHAnsi" w:cstheme="majorBidi"/>
          <w:bCs/>
          <w:sz w:val="22"/>
          <w:szCs w:val="22"/>
        </w:rPr>
      </w:pPr>
      <w:r w:rsidRPr="00ED2F68">
        <w:rPr>
          <w:rFonts w:asciiTheme="minorHAnsi" w:hAnsiTheme="minorHAnsi" w:cstheme="majorBidi"/>
          <w:bCs/>
          <w:sz w:val="22"/>
          <w:szCs w:val="22"/>
        </w:rPr>
        <w:t xml:space="preserve">The group </w:t>
      </w:r>
      <w:r w:rsidR="00560241">
        <w:rPr>
          <w:rFonts w:asciiTheme="minorHAnsi" w:hAnsiTheme="minorHAnsi" w:cstheme="majorBidi"/>
          <w:bCs/>
          <w:sz w:val="22"/>
          <w:szCs w:val="22"/>
        </w:rPr>
        <w:t>will</w:t>
      </w:r>
      <w:r w:rsidRPr="00ED2F68">
        <w:rPr>
          <w:rFonts w:asciiTheme="minorHAnsi" w:hAnsiTheme="minorHAnsi" w:cstheme="majorBidi"/>
          <w:bCs/>
          <w:sz w:val="22"/>
          <w:szCs w:val="22"/>
        </w:rPr>
        <w:t xml:space="preserve"> </w:t>
      </w:r>
      <w:r w:rsidR="00D05B26">
        <w:rPr>
          <w:rFonts w:asciiTheme="minorHAnsi" w:hAnsiTheme="minorHAnsi" w:cstheme="majorBidi"/>
          <w:bCs/>
          <w:sz w:val="22"/>
          <w:szCs w:val="22"/>
        </w:rPr>
        <w:t>continue</w:t>
      </w:r>
      <w:r w:rsidRPr="00ED2F68">
        <w:rPr>
          <w:rFonts w:asciiTheme="minorHAnsi" w:hAnsiTheme="minorHAnsi" w:cstheme="majorBidi"/>
          <w:bCs/>
          <w:sz w:val="22"/>
          <w:szCs w:val="22"/>
        </w:rPr>
        <w:t xml:space="preserve"> with its work as per the steps listed in </w:t>
      </w:r>
      <w:r w:rsidR="00D05B26">
        <w:rPr>
          <w:rFonts w:asciiTheme="minorHAnsi" w:hAnsiTheme="minorHAnsi" w:cstheme="majorBidi"/>
          <w:bCs/>
          <w:sz w:val="22"/>
          <w:szCs w:val="22"/>
        </w:rPr>
        <w:t xml:space="preserve">the </w:t>
      </w:r>
      <w:r w:rsidR="0052022F" w:rsidRPr="00ED2F68">
        <w:rPr>
          <w:rFonts w:asciiTheme="minorHAnsi" w:hAnsiTheme="minorHAnsi" w:cstheme="majorBidi"/>
          <w:bCs/>
          <w:sz w:val="22"/>
          <w:szCs w:val="22"/>
        </w:rPr>
        <w:t>T</w:t>
      </w:r>
      <w:r w:rsidRPr="00ED2F68">
        <w:rPr>
          <w:rFonts w:asciiTheme="minorHAnsi" w:hAnsiTheme="minorHAnsi" w:cstheme="majorBidi"/>
          <w:bCs/>
          <w:sz w:val="22"/>
          <w:szCs w:val="22"/>
        </w:rPr>
        <w:t>able</w:t>
      </w:r>
      <w:r w:rsidR="00D05B26">
        <w:rPr>
          <w:rFonts w:asciiTheme="minorHAnsi" w:hAnsiTheme="minorHAnsi" w:cstheme="majorBidi"/>
          <w:bCs/>
          <w:sz w:val="22"/>
          <w:szCs w:val="22"/>
        </w:rPr>
        <w:t xml:space="preserve"> on page</w:t>
      </w:r>
      <w:r w:rsidRPr="00D05B26">
        <w:rPr>
          <w:rFonts w:asciiTheme="minorHAnsi" w:hAnsiTheme="minorHAnsi" w:cstheme="majorBidi"/>
          <w:bCs/>
          <w:sz w:val="22"/>
          <w:szCs w:val="22"/>
        </w:rPr>
        <w:t xml:space="preserve"> </w:t>
      </w:r>
      <w:hyperlink r:id="rId9" w:history="1">
        <w:r w:rsidR="00D05B26" w:rsidRPr="00D05B26">
          <w:rPr>
            <w:rStyle w:val="Hyperlink"/>
            <w:rFonts w:asciiTheme="minorHAnsi" w:hAnsiTheme="minorHAnsi" w:cstheme="majorBidi"/>
            <w:bCs/>
            <w:sz w:val="22"/>
            <w:szCs w:val="22"/>
          </w:rPr>
          <w:t>https://www.itu.int/en/council/eg-itrs/Pages/report.aspx</w:t>
        </w:r>
      </w:hyperlink>
      <w:r w:rsidR="00D05B26">
        <w:rPr>
          <w:rFonts w:asciiTheme="minorHAnsi" w:hAnsiTheme="minorHAnsi" w:cstheme="majorBidi"/>
          <w:bCs/>
          <w:sz w:val="22"/>
          <w:szCs w:val="22"/>
        </w:rPr>
        <w:t xml:space="preserve">, </w:t>
      </w:r>
      <w:r w:rsidR="005D5386">
        <w:rPr>
          <w:rFonts w:asciiTheme="minorHAnsi" w:hAnsiTheme="minorHAnsi" w:cstheme="majorBidi"/>
          <w:bCs/>
          <w:sz w:val="22"/>
          <w:szCs w:val="22"/>
        </w:rPr>
        <w:t>in accordance with</w:t>
      </w:r>
      <w:r w:rsidR="00D05B26">
        <w:rPr>
          <w:rFonts w:asciiTheme="minorHAnsi" w:hAnsiTheme="minorHAnsi" w:cstheme="majorBidi"/>
          <w:bCs/>
          <w:sz w:val="22"/>
          <w:szCs w:val="22"/>
        </w:rPr>
        <w:t xml:space="preserve"> the plan agreed at the second meeting of the Group</w:t>
      </w:r>
      <w:r w:rsidRPr="00D05B26">
        <w:rPr>
          <w:rFonts w:asciiTheme="minorHAnsi" w:hAnsiTheme="minorHAnsi" w:cstheme="majorBidi"/>
          <w:bCs/>
          <w:sz w:val="22"/>
          <w:szCs w:val="22"/>
        </w:rPr>
        <w:t>.</w:t>
      </w:r>
      <w:r w:rsidR="00D05B26" w:rsidRPr="00D05B26">
        <w:rPr>
          <w:rFonts w:asciiTheme="minorHAnsi" w:hAnsiTheme="minorHAnsi" w:cstheme="majorBidi"/>
          <w:bCs/>
          <w:sz w:val="22"/>
          <w:szCs w:val="22"/>
        </w:rPr>
        <w:t xml:space="preserve"> </w:t>
      </w:r>
    </w:p>
    <w:p w:rsidR="003B3322" w:rsidRPr="00043720" w:rsidRDefault="00EE2F2D" w:rsidP="003B3322">
      <w:pPr>
        <w:snapToGrid w:val="0"/>
        <w:spacing w:before="360" w:after="120"/>
        <w:jc w:val="both"/>
        <w:rPr>
          <w:rFonts w:cstheme="majorBidi"/>
          <w:b/>
          <w:szCs w:val="24"/>
        </w:rPr>
      </w:pPr>
      <w:r>
        <w:rPr>
          <w:rFonts w:cstheme="majorBidi"/>
          <w:b/>
          <w:szCs w:val="24"/>
        </w:rPr>
        <w:t>8</w:t>
      </w:r>
      <w:r w:rsidR="003B3322" w:rsidRPr="00043720">
        <w:rPr>
          <w:rFonts w:cstheme="majorBidi"/>
          <w:b/>
          <w:szCs w:val="24"/>
        </w:rPr>
        <w:tab/>
        <w:t>Closing of the Meeting</w:t>
      </w:r>
    </w:p>
    <w:p w:rsidR="003B3322" w:rsidRPr="00043720" w:rsidRDefault="003B3322" w:rsidP="003B3322">
      <w:pPr>
        <w:snapToGrid w:val="0"/>
        <w:spacing w:after="120"/>
        <w:jc w:val="both"/>
        <w:rPr>
          <w:rFonts w:cstheme="majorBidi"/>
          <w:b/>
          <w:szCs w:val="24"/>
        </w:rPr>
      </w:pPr>
      <w:r w:rsidRPr="00043720">
        <w:rPr>
          <w:rFonts w:cstheme="majorBidi"/>
          <w:szCs w:val="24"/>
        </w:rPr>
        <w:t>In closing, the Chairman thanked all the ITU Member States and Sector Members who made contributions and participated in the work of the Expert Group</w:t>
      </w:r>
      <w:r w:rsidR="00FC6A46">
        <w:rPr>
          <w:rFonts w:cstheme="majorBidi"/>
          <w:szCs w:val="24"/>
        </w:rPr>
        <w:t xml:space="preserve"> (including those who participated remotely)</w:t>
      </w:r>
      <w:r w:rsidRPr="00043720">
        <w:rPr>
          <w:rFonts w:cstheme="majorBidi"/>
          <w:szCs w:val="24"/>
        </w:rPr>
        <w:t>, the Vice-Chairmen, and ITU Elected Officials and the Secretariat for their efficient assistance during the meeting.</w:t>
      </w:r>
      <w:r w:rsidR="00F172C5">
        <w:rPr>
          <w:rFonts w:cstheme="majorBidi"/>
          <w:szCs w:val="24"/>
        </w:rPr>
        <w:t xml:space="preserve"> </w:t>
      </w:r>
    </w:p>
    <w:p w:rsidR="003B3322" w:rsidRPr="00043720" w:rsidRDefault="003B3322" w:rsidP="003B3322">
      <w:pPr>
        <w:snapToGrid w:val="0"/>
        <w:spacing w:after="120"/>
        <w:jc w:val="both"/>
        <w:rPr>
          <w:rFonts w:cstheme="majorBidi"/>
          <w:b/>
          <w:szCs w:val="24"/>
        </w:rPr>
      </w:pPr>
      <w:r w:rsidRPr="00043720">
        <w:rPr>
          <w:rFonts w:cstheme="majorBidi"/>
          <w:szCs w:val="24"/>
        </w:rPr>
        <w:t>The Group thanked the Chairman</w:t>
      </w:r>
      <w:r w:rsidR="006953C2">
        <w:rPr>
          <w:rFonts w:cstheme="majorBidi"/>
          <w:szCs w:val="24"/>
        </w:rPr>
        <w:t>, Vice</w:t>
      </w:r>
      <w:r w:rsidR="00074262">
        <w:rPr>
          <w:rFonts w:cstheme="majorBidi"/>
          <w:szCs w:val="24"/>
        </w:rPr>
        <w:t>-</w:t>
      </w:r>
      <w:r w:rsidR="006953C2">
        <w:rPr>
          <w:rFonts w:cstheme="majorBidi"/>
          <w:szCs w:val="24"/>
        </w:rPr>
        <w:t>Chairmen</w:t>
      </w:r>
      <w:r w:rsidRPr="00043720">
        <w:rPr>
          <w:rFonts w:cstheme="majorBidi"/>
          <w:szCs w:val="24"/>
        </w:rPr>
        <w:t xml:space="preserve"> and Secretariat for their effective organization and management of the Group.</w:t>
      </w:r>
      <w:r w:rsidR="00FC6A46">
        <w:rPr>
          <w:rFonts w:cstheme="majorBidi"/>
          <w:szCs w:val="24"/>
        </w:rPr>
        <w:t xml:space="preserve"> The Group </w:t>
      </w:r>
      <w:r w:rsidR="00247754">
        <w:rPr>
          <w:rFonts w:cstheme="majorBidi"/>
          <w:szCs w:val="24"/>
        </w:rPr>
        <w:t xml:space="preserve">also </w:t>
      </w:r>
      <w:r w:rsidR="00FC6A46">
        <w:rPr>
          <w:rFonts w:cstheme="majorBidi"/>
          <w:szCs w:val="24"/>
        </w:rPr>
        <w:t>thanked the interpreters and the remote moderator.</w:t>
      </w:r>
    </w:p>
    <w:p w:rsidR="003B6FD8" w:rsidRPr="00A803E4" w:rsidRDefault="003B3322" w:rsidP="00A803E4">
      <w:pPr>
        <w:snapToGrid w:val="0"/>
        <w:spacing w:before="360" w:after="120"/>
        <w:jc w:val="both"/>
        <w:rPr>
          <w:rFonts w:cstheme="majorBidi"/>
          <w:b/>
          <w:szCs w:val="24"/>
          <w:lang w:val="es-ES_tradnl"/>
        </w:rPr>
      </w:pPr>
      <w:r w:rsidRPr="00043720">
        <w:rPr>
          <w:rFonts w:cstheme="majorBidi"/>
          <w:b/>
          <w:szCs w:val="24"/>
          <w:lang w:val="es-ES_tradnl"/>
        </w:rPr>
        <w:t>Chairman: M</w:t>
      </w:r>
      <w:bookmarkStart w:id="1" w:name="_GoBack"/>
      <w:bookmarkEnd w:id="1"/>
      <w:r w:rsidRPr="00043720">
        <w:rPr>
          <w:rFonts w:cstheme="majorBidi"/>
          <w:b/>
          <w:szCs w:val="24"/>
          <w:lang w:val="es-ES_tradnl"/>
        </w:rPr>
        <w:t>r Fernando Borjón (Mexico)</w:t>
      </w:r>
    </w:p>
    <w:sectPr w:rsidR="003B6FD8" w:rsidRPr="00A803E4" w:rsidSect="008B485E">
      <w:headerReference w:type="default" r:id="rId1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C1" w:rsidRDefault="005152C1" w:rsidP="008B485E">
      <w:pPr>
        <w:spacing w:after="0" w:line="240" w:lineRule="auto"/>
      </w:pPr>
      <w:r>
        <w:separator/>
      </w:r>
    </w:p>
  </w:endnote>
  <w:endnote w:type="continuationSeparator" w:id="0">
    <w:p w:rsidR="005152C1" w:rsidRDefault="005152C1" w:rsidP="008B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C1" w:rsidRDefault="005152C1" w:rsidP="008B485E">
      <w:pPr>
        <w:spacing w:after="0" w:line="240" w:lineRule="auto"/>
      </w:pPr>
      <w:r>
        <w:separator/>
      </w:r>
    </w:p>
  </w:footnote>
  <w:footnote w:type="continuationSeparator" w:id="0">
    <w:p w:rsidR="005152C1" w:rsidRDefault="005152C1" w:rsidP="008B4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66" w:rsidRDefault="00823366" w:rsidP="008B485E">
    <w:pPr>
      <w:pStyle w:val="Header"/>
      <w:jc w:val="center"/>
    </w:pPr>
    <w:r>
      <w:fldChar w:fldCharType="begin"/>
    </w:r>
    <w:r>
      <w:instrText xml:space="preserve"> PAGE   \* MERGEFORMAT </w:instrText>
    </w:r>
    <w:r>
      <w:fldChar w:fldCharType="separate"/>
    </w:r>
    <w:r w:rsidR="00237DCE">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966"/>
    <w:multiLevelType w:val="hybridMultilevel"/>
    <w:tmpl w:val="38B4ADBC"/>
    <w:lvl w:ilvl="0" w:tplc="D92E6EFE">
      <w:numFmt w:val="bullet"/>
      <w:lvlText w:val="-"/>
      <w:lvlJc w:val="left"/>
      <w:pPr>
        <w:ind w:left="1080" w:hanging="360"/>
      </w:pPr>
      <w:rPr>
        <w:rFonts w:ascii="Calibri" w:eastAsia="SimSu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6312535"/>
    <w:multiLevelType w:val="hybridMultilevel"/>
    <w:tmpl w:val="6E7283C8"/>
    <w:lvl w:ilvl="0" w:tplc="F52AF7A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A75C77"/>
    <w:multiLevelType w:val="hybridMultilevel"/>
    <w:tmpl w:val="282C6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3F80DFF"/>
    <w:multiLevelType w:val="multilevel"/>
    <w:tmpl w:val="68E44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37E6D"/>
    <w:multiLevelType w:val="hybridMultilevel"/>
    <w:tmpl w:val="F3E4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E2D72"/>
    <w:multiLevelType w:val="hybridMultilevel"/>
    <w:tmpl w:val="C2C0B542"/>
    <w:lvl w:ilvl="0" w:tplc="00B0BED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AAA40C1"/>
    <w:multiLevelType w:val="hybridMultilevel"/>
    <w:tmpl w:val="890A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10" w15:restartNumberingAfterBreak="0">
    <w:nsid w:val="436777AE"/>
    <w:multiLevelType w:val="hybridMultilevel"/>
    <w:tmpl w:val="38240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9E1C84"/>
    <w:multiLevelType w:val="hybridMultilevel"/>
    <w:tmpl w:val="FDA6914C"/>
    <w:lvl w:ilvl="0" w:tplc="ED404D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871AA"/>
    <w:multiLevelType w:val="hybridMultilevel"/>
    <w:tmpl w:val="FF32D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1E0BD2"/>
    <w:multiLevelType w:val="hybridMultilevel"/>
    <w:tmpl w:val="6ECA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21822"/>
    <w:multiLevelType w:val="hybridMultilevel"/>
    <w:tmpl w:val="B6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43A1B"/>
    <w:multiLevelType w:val="hybridMultilevel"/>
    <w:tmpl w:val="99B6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A21BF"/>
    <w:multiLevelType w:val="hybridMultilevel"/>
    <w:tmpl w:val="70388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9"/>
  </w:num>
  <w:num w:numId="4">
    <w:abstractNumId w:val="0"/>
  </w:num>
  <w:num w:numId="5">
    <w:abstractNumId w:val="0"/>
  </w:num>
  <w:num w:numId="6">
    <w:abstractNumId w:val="16"/>
  </w:num>
  <w:num w:numId="7">
    <w:abstractNumId w:val="2"/>
  </w:num>
  <w:num w:numId="8">
    <w:abstractNumId w:val="5"/>
  </w:num>
  <w:num w:numId="9">
    <w:abstractNumId w:val="4"/>
  </w:num>
  <w:num w:numId="10">
    <w:abstractNumId w:val="13"/>
  </w:num>
  <w:num w:numId="11">
    <w:abstractNumId w:val="8"/>
  </w:num>
  <w:num w:numId="12">
    <w:abstractNumId w:val="11"/>
  </w:num>
  <w:num w:numId="13">
    <w:abstractNumId w:val="14"/>
  </w:num>
  <w:num w:numId="14">
    <w:abstractNumId w:val="1"/>
  </w:num>
  <w:num w:numId="15">
    <w:abstractNumId w:val="15"/>
  </w:num>
  <w:num w:numId="16">
    <w:abstractNumId w:val="6"/>
  </w:num>
  <w:num w:numId="17">
    <w:abstractNumId w:val="10"/>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69"/>
    <w:rsid w:val="00001698"/>
    <w:rsid w:val="000027F1"/>
    <w:rsid w:val="00006E03"/>
    <w:rsid w:val="00012C0F"/>
    <w:rsid w:val="00015710"/>
    <w:rsid w:val="000204D0"/>
    <w:rsid w:val="00023584"/>
    <w:rsid w:val="00027968"/>
    <w:rsid w:val="000301A7"/>
    <w:rsid w:val="00042CA1"/>
    <w:rsid w:val="00045FF9"/>
    <w:rsid w:val="000544D9"/>
    <w:rsid w:val="00054958"/>
    <w:rsid w:val="00060CEC"/>
    <w:rsid w:val="00073799"/>
    <w:rsid w:val="00074262"/>
    <w:rsid w:val="0007552F"/>
    <w:rsid w:val="000759F6"/>
    <w:rsid w:val="00086662"/>
    <w:rsid w:val="00097B1F"/>
    <w:rsid w:val="000A0605"/>
    <w:rsid w:val="000A22CF"/>
    <w:rsid w:val="000A2562"/>
    <w:rsid w:val="000B1A86"/>
    <w:rsid w:val="000B4144"/>
    <w:rsid w:val="000B4BE2"/>
    <w:rsid w:val="000B4D92"/>
    <w:rsid w:val="000C58EB"/>
    <w:rsid w:val="000E2711"/>
    <w:rsid w:val="000E5ABA"/>
    <w:rsid w:val="000E5FA0"/>
    <w:rsid w:val="000E63CD"/>
    <w:rsid w:val="000F230B"/>
    <w:rsid w:val="000F3294"/>
    <w:rsid w:val="000F4ED1"/>
    <w:rsid w:val="00102023"/>
    <w:rsid w:val="001032B6"/>
    <w:rsid w:val="00103703"/>
    <w:rsid w:val="00104195"/>
    <w:rsid w:val="001048F3"/>
    <w:rsid w:val="00110A10"/>
    <w:rsid w:val="00114552"/>
    <w:rsid w:val="00115AE1"/>
    <w:rsid w:val="00125408"/>
    <w:rsid w:val="0013390F"/>
    <w:rsid w:val="0013580B"/>
    <w:rsid w:val="00136CF2"/>
    <w:rsid w:val="00141290"/>
    <w:rsid w:val="00142DBD"/>
    <w:rsid w:val="00153183"/>
    <w:rsid w:val="00164E99"/>
    <w:rsid w:val="0017115C"/>
    <w:rsid w:val="00177E24"/>
    <w:rsid w:val="00193B59"/>
    <w:rsid w:val="001B04F2"/>
    <w:rsid w:val="001B1546"/>
    <w:rsid w:val="001C0499"/>
    <w:rsid w:val="001C1297"/>
    <w:rsid w:val="001C25DC"/>
    <w:rsid w:val="001D0B2B"/>
    <w:rsid w:val="001D575F"/>
    <w:rsid w:val="001E0F68"/>
    <w:rsid w:val="001E3984"/>
    <w:rsid w:val="001E5F42"/>
    <w:rsid w:val="001F33AB"/>
    <w:rsid w:val="001F51D8"/>
    <w:rsid w:val="002042DD"/>
    <w:rsid w:val="002052DC"/>
    <w:rsid w:val="00210C9E"/>
    <w:rsid w:val="00215BAA"/>
    <w:rsid w:val="0022325A"/>
    <w:rsid w:val="00223B46"/>
    <w:rsid w:val="0023019F"/>
    <w:rsid w:val="00230CBA"/>
    <w:rsid w:val="00234CA5"/>
    <w:rsid w:val="00237DCE"/>
    <w:rsid w:val="00243CDE"/>
    <w:rsid w:val="00247754"/>
    <w:rsid w:val="00254030"/>
    <w:rsid w:val="00261C30"/>
    <w:rsid w:val="00265580"/>
    <w:rsid w:val="002679A9"/>
    <w:rsid w:val="002775E9"/>
    <w:rsid w:val="00277D19"/>
    <w:rsid w:val="002806D6"/>
    <w:rsid w:val="00280E7B"/>
    <w:rsid w:val="00286EF4"/>
    <w:rsid w:val="002A1718"/>
    <w:rsid w:val="002A185E"/>
    <w:rsid w:val="002A6258"/>
    <w:rsid w:val="002A7F41"/>
    <w:rsid w:val="002B5896"/>
    <w:rsid w:val="002D2EA2"/>
    <w:rsid w:val="002F7E62"/>
    <w:rsid w:val="00300FAF"/>
    <w:rsid w:val="0031014E"/>
    <w:rsid w:val="0031111A"/>
    <w:rsid w:val="00311E9D"/>
    <w:rsid w:val="00312EE6"/>
    <w:rsid w:val="00315BEA"/>
    <w:rsid w:val="00316FCF"/>
    <w:rsid w:val="003212E7"/>
    <w:rsid w:val="00340F7C"/>
    <w:rsid w:val="0034303E"/>
    <w:rsid w:val="003502FC"/>
    <w:rsid w:val="00353C35"/>
    <w:rsid w:val="003568D0"/>
    <w:rsid w:val="0036565A"/>
    <w:rsid w:val="00366FD4"/>
    <w:rsid w:val="00371414"/>
    <w:rsid w:val="00390D21"/>
    <w:rsid w:val="00393DFE"/>
    <w:rsid w:val="003A165E"/>
    <w:rsid w:val="003A7B47"/>
    <w:rsid w:val="003B3322"/>
    <w:rsid w:val="003B381C"/>
    <w:rsid w:val="003B6FD8"/>
    <w:rsid w:val="003C012E"/>
    <w:rsid w:val="003C1A75"/>
    <w:rsid w:val="003C2A4C"/>
    <w:rsid w:val="003D06D3"/>
    <w:rsid w:val="003D17A5"/>
    <w:rsid w:val="003D4DE5"/>
    <w:rsid w:val="003E0711"/>
    <w:rsid w:val="003E075B"/>
    <w:rsid w:val="003E1242"/>
    <w:rsid w:val="003F3503"/>
    <w:rsid w:val="00421D98"/>
    <w:rsid w:val="00424B2E"/>
    <w:rsid w:val="004252EC"/>
    <w:rsid w:val="004255D8"/>
    <w:rsid w:val="00425F4B"/>
    <w:rsid w:val="00426019"/>
    <w:rsid w:val="004269A4"/>
    <w:rsid w:val="00427670"/>
    <w:rsid w:val="00433CC8"/>
    <w:rsid w:val="00450EDB"/>
    <w:rsid w:val="004521FD"/>
    <w:rsid w:val="004634E0"/>
    <w:rsid w:val="00465379"/>
    <w:rsid w:val="004655D4"/>
    <w:rsid w:val="0047369C"/>
    <w:rsid w:val="0047711F"/>
    <w:rsid w:val="00482E53"/>
    <w:rsid w:val="004842F3"/>
    <w:rsid w:val="0048500D"/>
    <w:rsid w:val="004A2C78"/>
    <w:rsid w:val="004A3A56"/>
    <w:rsid w:val="004B1B00"/>
    <w:rsid w:val="004B6DC3"/>
    <w:rsid w:val="004C142A"/>
    <w:rsid w:val="004C4B8A"/>
    <w:rsid w:val="004C540A"/>
    <w:rsid w:val="004D1CC6"/>
    <w:rsid w:val="004D514F"/>
    <w:rsid w:val="004D7491"/>
    <w:rsid w:val="004D7EDA"/>
    <w:rsid w:val="004E0509"/>
    <w:rsid w:val="004E2FC1"/>
    <w:rsid w:val="004F3198"/>
    <w:rsid w:val="004F5F59"/>
    <w:rsid w:val="005105E4"/>
    <w:rsid w:val="00514430"/>
    <w:rsid w:val="005152C1"/>
    <w:rsid w:val="00515D1C"/>
    <w:rsid w:val="0052022F"/>
    <w:rsid w:val="00525414"/>
    <w:rsid w:val="00532211"/>
    <w:rsid w:val="00533C3E"/>
    <w:rsid w:val="00534849"/>
    <w:rsid w:val="005408C0"/>
    <w:rsid w:val="00542B26"/>
    <w:rsid w:val="0054763D"/>
    <w:rsid w:val="00550086"/>
    <w:rsid w:val="0055263C"/>
    <w:rsid w:val="005529A2"/>
    <w:rsid w:val="00553F28"/>
    <w:rsid w:val="00555ED4"/>
    <w:rsid w:val="00560241"/>
    <w:rsid w:val="00572E5B"/>
    <w:rsid w:val="00583161"/>
    <w:rsid w:val="005A13CD"/>
    <w:rsid w:val="005A56F9"/>
    <w:rsid w:val="005B77E8"/>
    <w:rsid w:val="005C0B53"/>
    <w:rsid w:val="005C264F"/>
    <w:rsid w:val="005C693B"/>
    <w:rsid w:val="005D02E2"/>
    <w:rsid w:val="005D2D07"/>
    <w:rsid w:val="005D5386"/>
    <w:rsid w:val="005D723F"/>
    <w:rsid w:val="005E77CF"/>
    <w:rsid w:val="005F0544"/>
    <w:rsid w:val="005F3B6F"/>
    <w:rsid w:val="005F6457"/>
    <w:rsid w:val="005F6A3D"/>
    <w:rsid w:val="005F760B"/>
    <w:rsid w:val="006064D0"/>
    <w:rsid w:val="0061421E"/>
    <w:rsid w:val="00614585"/>
    <w:rsid w:val="0061519E"/>
    <w:rsid w:val="006158BE"/>
    <w:rsid w:val="00617C10"/>
    <w:rsid w:val="00627F3F"/>
    <w:rsid w:val="00630164"/>
    <w:rsid w:val="006540F6"/>
    <w:rsid w:val="00654ECB"/>
    <w:rsid w:val="00661515"/>
    <w:rsid w:val="006666FA"/>
    <w:rsid w:val="0067148B"/>
    <w:rsid w:val="006733CA"/>
    <w:rsid w:val="00676203"/>
    <w:rsid w:val="00683C5F"/>
    <w:rsid w:val="006862A2"/>
    <w:rsid w:val="00690434"/>
    <w:rsid w:val="00693F43"/>
    <w:rsid w:val="006953C2"/>
    <w:rsid w:val="0069556D"/>
    <w:rsid w:val="006A1BD4"/>
    <w:rsid w:val="006A2CB7"/>
    <w:rsid w:val="006A655A"/>
    <w:rsid w:val="006C2A7F"/>
    <w:rsid w:val="006D0D4C"/>
    <w:rsid w:val="006D3D77"/>
    <w:rsid w:val="006E3639"/>
    <w:rsid w:val="006E7DE8"/>
    <w:rsid w:val="006E7F60"/>
    <w:rsid w:val="006F03C0"/>
    <w:rsid w:val="006F3AA0"/>
    <w:rsid w:val="006F3B0D"/>
    <w:rsid w:val="006F706F"/>
    <w:rsid w:val="006F791E"/>
    <w:rsid w:val="006F799F"/>
    <w:rsid w:val="006F7C9C"/>
    <w:rsid w:val="00706F2A"/>
    <w:rsid w:val="00711969"/>
    <w:rsid w:val="007152D9"/>
    <w:rsid w:val="00715808"/>
    <w:rsid w:val="00724D2A"/>
    <w:rsid w:val="00726ED7"/>
    <w:rsid w:val="00737E38"/>
    <w:rsid w:val="00741EA9"/>
    <w:rsid w:val="00745391"/>
    <w:rsid w:val="00762A2B"/>
    <w:rsid w:val="00766714"/>
    <w:rsid w:val="007712AA"/>
    <w:rsid w:val="00771463"/>
    <w:rsid w:val="00772983"/>
    <w:rsid w:val="00785DFF"/>
    <w:rsid w:val="00790473"/>
    <w:rsid w:val="007974DD"/>
    <w:rsid w:val="007A189B"/>
    <w:rsid w:val="007A28B1"/>
    <w:rsid w:val="007A48FF"/>
    <w:rsid w:val="007A6F4E"/>
    <w:rsid w:val="007A7332"/>
    <w:rsid w:val="007B3F2A"/>
    <w:rsid w:val="007B565B"/>
    <w:rsid w:val="007C2E73"/>
    <w:rsid w:val="007D67D0"/>
    <w:rsid w:val="007E5AF3"/>
    <w:rsid w:val="00803455"/>
    <w:rsid w:val="0080647D"/>
    <w:rsid w:val="008117E0"/>
    <w:rsid w:val="0081665C"/>
    <w:rsid w:val="00817E2A"/>
    <w:rsid w:val="00822535"/>
    <w:rsid w:val="00823366"/>
    <w:rsid w:val="0082493B"/>
    <w:rsid w:val="008312F4"/>
    <w:rsid w:val="00831D82"/>
    <w:rsid w:val="008326BD"/>
    <w:rsid w:val="00836991"/>
    <w:rsid w:val="00840440"/>
    <w:rsid w:val="00845E58"/>
    <w:rsid w:val="00852885"/>
    <w:rsid w:val="008574CE"/>
    <w:rsid w:val="008614E1"/>
    <w:rsid w:val="00861EB6"/>
    <w:rsid w:val="008645E2"/>
    <w:rsid w:val="00873FCD"/>
    <w:rsid w:val="00877A83"/>
    <w:rsid w:val="00880DF8"/>
    <w:rsid w:val="0088167C"/>
    <w:rsid w:val="008835EC"/>
    <w:rsid w:val="008876C8"/>
    <w:rsid w:val="008A3350"/>
    <w:rsid w:val="008A7BF6"/>
    <w:rsid w:val="008B485E"/>
    <w:rsid w:val="008D1D3C"/>
    <w:rsid w:val="008D2EC9"/>
    <w:rsid w:val="008D3BFC"/>
    <w:rsid w:val="008D3D21"/>
    <w:rsid w:val="008D4B25"/>
    <w:rsid w:val="008E05D9"/>
    <w:rsid w:val="008E24F9"/>
    <w:rsid w:val="009033E1"/>
    <w:rsid w:val="00903CDE"/>
    <w:rsid w:val="009103CC"/>
    <w:rsid w:val="0091063C"/>
    <w:rsid w:val="00914BB4"/>
    <w:rsid w:val="0092453E"/>
    <w:rsid w:val="0092460A"/>
    <w:rsid w:val="009314B7"/>
    <w:rsid w:val="00935FD7"/>
    <w:rsid w:val="00942C45"/>
    <w:rsid w:val="009433A7"/>
    <w:rsid w:val="009570E5"/>
    <w:rsid w:val="009616CF"/>
    <w:rsid w:val="00965821"/>
    <w:rsid w:val="0096593E"/>
    <w:rsid w:val="00967D54"/>
    <w:rsid w:val="00970201"/>
    <w:rsid w:val="009751AE"/>
    <w:rsid w:val="009A00DD"/>
    <w:rsid w:val="009B2088"/>
    <w:rsid w:val="009C6960"/>
    <w:rsid w:val="009D4985"/>
    <w:rsid w:val="009D4D92"/>
    <w:rsid w:val="009E280B"/>
    <w:rsid w:val="009E6DD2"/>
    <w:rsid w:val="009F1C27"/>
    <w:rsid w:val="009F3A78"/>
    <w:rsid w:val="009F5F08"/>
    <w:rsid w:val="00A06BB7"/>
    <w:rsid w:val="00A12832"/>
    <w:rsid w:val="00A1522A"/>
    <w:rsid w:val="00A210A1"/>
    <w:rsid w:val="00A2291D"/>
    <w:rsid w:val="00A22C32"/>
    <w:rsid w:val="00A4025A"/>
    <w:rsid w:val="00A43E33"/>
    <w:rsid w:val="00A46D3A"/>
    <w:rsid w:val="00A50422"/>
    <w:rsid w:val="00A517B5"/>
    <w:rsid w:val="00A56336"/>
    <w:rsid w:val="00A56916"/>
    <w:rsid w:val="00A61F04"/>
    <w:rsid w:val="00A65743"/>
    <w:rsid w:val="00A65A95"/>
    <w:rsid w:val="00A722E5"/>
    <w:rsid w:val="00A75FF7"/>
    <w:rsid w:val="00A803E4"/>
    <w:rsid w:val="00A86213"/>
    <w:rsid w:val="00A92B44"/>
    <w:rsid w:val="00A95942"/>
    <w:rsid w:val="00AA337B"/>
    <w:rsid w:val="00AA4BC9"/>
    <w:rsid w:val="00AA5A69"/>
    <w:rsid w:val="00AB0512"/>
    <w:rsid w:val="00AB09C0"/>
    <w:rsid w:val="00AB2C06"/>
    <w:rsid w:val="00AB3BC1"/>
    <w:rsid w:val="00AB3C4F"/>
    <w:rsid w:val="00AC7266"/>
    <w:rsid w:val="00AD4014"/>
    <w:rsid w:val="00AD5658"/>
    <w:rsid w:val="00AD7401"/>
    <w:rsid w:val="00AD7CF1"/>
    <w:rsid w:val="00AE48EC"/>
    <w:rsid w:val="00AE55D6"/>
    <w:rsid w:val="00AF3B58"/>
    <w:rsid w:val="00B310B5"/>
    <w:rsid w:val="00B332F2"/>
    <w:rsid w:val="00B40FC4"/>
    <w:rsid w:val="00B456FA"/>
    <w:rsid w:val="00B4747C"/>
    <w:rsid w:val="00B54DCD"/>
    <w:rsid w:val="00B5769A"/>
    <w:rsid w:val="00B60017"/>
    <w:rsid w:val="00B63F88"/>
    <w:rsid w:val="00B63FC5"/>
    <w:rsid w:val="00B7283C"/>
    <w:rsid w:val="00B751C0"/>
    <w:rsid w:val="00B770B6"/>
    <w:rsid w:val="00B94A7B"/>
    <w:rsid w:val="00B97811"/>
    <w:rsid w:val="00BA1AAB"/>
    <w:rsid w:val="00BB4C87"/>
    <w:rsid w:val="00BB5655"/>
    <w:rsid w:val="00BB6D8C"/>
    <w:rsid w:val="00BC496D"/>
    <w:rsid w:val="00BD324C"/>
    <w:rsid w:val="00BD3963"/>
    <w:rsid w:val="00BD57CD"/>
    <w:rsid w:val="00BE24CC"/>
    <w:rsid w:val="00BF28C8"/>
    <w:rsid w:val="00BF4A27"/>
    <w:rsid w:val="00C03750"/>
    <w:rsid w:val="00C15E2B"/>
    <w:rsid w:val="00C1659C"/>
    <w:rsid w:val="00C207A8"/>
    <w:rsid w:val="00C30BAD"/>
    <w:rsid w:val="00C37E08"/>
    <w:rsid w:val="00C42379"/>
    <w:rsid w:val="00C44679"/>
    <w:rsid w:val="00C462DA"/>
    <w:rsid w:val="00C502C7"/>
    <w:rsid w:val="00C543BA"/>
    <w:rsid w:val="00C57012"/>
    <w:rsid w:val="00C62BA2"/>
    <w:rsid w:val="00C65AFC"/>
    <w:rsid w:val="00C70B13"/>
    <w:rsid w:val="00C71D82"/>
    <w:rsid w:val="00C7385B"/>
    <w:rsid w:val="00C82EC3"/>
    <w:rsid w:val="00C836F5"/>
    <w:rsid w:val="00C90B8C"/>
    <w:rsid w:val="00C917A4"/>
    <w:rsid w:val="00C926D6"/>
    <w:rsid w:val="00C930D6"/>
    <w:rsid w:val="00CA3AD7"/>
    <w:rsid w:val="00CA3DCF"/>
    <w:rsid w:val="00CB2A7D"/>
    <w:rsid w:val="00CC143C"/>
    <w:rsid w:val="00CC3AE1"/>
    <w:rsid w:val="00CC7471"/>
    <w:rsid w:val="00CD0ABA"/>
    <w:rsid w:val="00CD2CC0"/>
    <w:rsid w:val="00CD5A07"/>
    <w:rsid w:val="00CD6444"/>
    <w:rsid w:val="00CD702F"/>
    <w:rsid w:val="00CE317F"/>
    <w:rsid w:val="00CE4CC4"/>
    <w:rsid w:val="00CF07B7"/>
    <w:rsid w:val="00D01F62"/>
    <w:rsid w:val="00D03302"/>
    <w:rsid w:val="00D03A2B"/>
    <w:rsid w:val="00D05B26"/>
    <w:rsid w:val="00D10583"/>
    <w:rsid w:val="00D15A7A"/>
    <w:rsid w:val="00D2130F"/>
    <w:rsid w:val="00D216A0"/>
    <w:rsid w:val="00D218B3"/>
    <w:rsid w:val="00D22ABC"/>
    <w:rsid w:val="00D231E2"/>
    <w:rsid w:val="00D23FD1"/>
    <w:rsid w:val="00D30AEA"/>
    <w:rsid w:val="00D3450E"/>
    <w:rsid w:val="00D475A4"/>
    <w:rsid w:val="00D47FEE"/>
    <w:rsid w:val="00D50FAC"/>
    <w:rsid w:val="00D5509F"/>
    <w:rsid w:val="00D64AF1"/>
    <w:rsid w:val="00D7104D"/>
    <w:rsid w:val="00D805C4"/>
    <w:rsid w:val="00D8099A"/>
    <w:rsid w:val="00D9271D"/>
    <w:rsid w:val="00D94C33"/>
    <w:rsid w:val="00D9547C"/>
    <w:rsid w:val="00DA0B72"/>
    <w:rsid w:val="00DA3DCE"/>
    <w:rsid w:val="00DA4B71"/>
    <w:rsid w:val="00DB45D8"/>
    <w:rsid w:val="00DB73ED"/>
    <w:rsid w:val="00DC0FBE"/>
    <w:rsid w:val="00DC344E"/>
    <w:rsid w:val="00DC5FA5"/>
    <w:rsid w:val="00DD21D1"/>
    <w:rsid w:val="00DE7549"/>
    <w:rsid w:val="00E153F0"/>
    <w:rsid w:val="00E17980"/>
    <w:rsid w:val="00E25F2D"/>
    <w:rsid w:val="00E279E1"/>
    <w:rsid w:val="00E30B2E"/>
    <w:rsid w:val="00E327CB"/>
    <w:rsid w:val="00E32E01"/>
    <w:rsid w:val="00E47077"/>
    <w:rsid w:val="00E4749F"/>
    <w:rsid w:val="00E47694"/>
    <w:rsid w:val="00E53BFE"/>
    <w:rsid w:val="00E61A85"/>
    <w:rsid w:val="00E671EB"/>
    <w:rsid w:val="00E852EF"/>
    <w:rsid w:val="00E9239A"/>
    <w:rsid w:val="00E95D72"/>
    <w:rsid w:val="00EA4489"/>
    <w:rsid w:val="00EC57A3"/>
    <w:rsid w:val="00ED2E87"/>
    <w:rsid w:val="00ED2F68"/>
    <w:rsid w:val="00ED3662"/>
    <w:rsid w:val="00EE1E95"/>
    <w:rsid w:val="00EE28A4"/>
    <w:rsid w:val="00EE2F2D"/>
    <w:rsid w:val="00EE2F58"/>
    <w:rsid w:val="00EF5C0D"/>
    <w:rsid w:val="00F13309"/>
    <w:rsid w:val="00F13C83"/>
    <w:rsid w:val="00F172C5"/>
    <w:rsid w:val="00F21350"/>
    <w:rsid w:val="00F23924"/>
    <w:rsid w:val="00F261AB"/>
    <w:rsid w:val="00F27787"/>
    <w:rsid w:val="00F41950"/>
    <w:rsid w:val="00F44D6E"/>
    <w:rsid w:val="00F465CD"/>
    <w:rsid w:val="00F53149"/>
    <w:rsid w:val="00F5669D"/>
    <w:rsid w:val="00F6002A"/>
    <w:rsid w:val="00F603DC"/>
    <w:rsid w:val="00F629F5"/>
    <w:rsid w:val="00F64B40"/>
    <w:rsid w:val="00F7190B"/>
    <w:rsid w:val="00F7278E"/>
    <w:rsid w:val="00F77C44"/>
    <w:rsid w:val="00F85B44"/>
    <w:rsid w:val="00F91C39"/>
    <w:rsid w:val="00F95214"/>
    <w:rsid w:val="00F96736"/>
    <w:rsid w:val="00FA34B0"/>
    <w:rsid w:val="00FB1019"/>
    <w:rsid w:val="00FB1CB4"/>
    <w:rsid w:val="00FB5949"/>
    <w:rsid w:val="00FC3003"/>
    <w:rsid w:val="00FC6A46"/>
    <w:rsid w:val="00FD01D1"/>
    <w:rsid w:val="00FE198F"/>
    <w:rsid w:val="00FE3CB1"/>
    <w:rsid w:val="00FF52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BD48D-469F-41EB-AD16-0F53FC6A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DCF"/>
    <w:pPr>
      <w:tabs>
        <w:tab w:val="left" w:pos="794"/>
        <w:tab w:val="left" w:pos="1191"/>
        <w:tab w:val="left" w:pos="1588"/>
        <w:tab w:val="left" w:pos="1985"/>
      </w:tabs>
      <w:overflowPunct w:val="0"/>
      <w:autoSpaceDE w:val="0"/>
      <w:autoSpaceDN w:val="0"/>
      <w:adjustRightInd w:val="0"/>
      <w:spacing w:before="120" w:after="0" w:line="240" w:lineRule="auto"/>
      <w:ind w:left="720"/>
      <w:contextualSpacing/>
      <w:textAlignment w:val="baseline"/>
    </w:pPr>
    <w:rPr>
      <w:rFonts w:ascii="Times New Roman" w:eastAsia="Times New Roman" w:hAnsi="Times New Roman" w:cs="Times New Roman"/>
      <w:sz w:val="24"/>
      <w:szCs w:val="20"/>
      <w:lang w:val="en-GB" w:eastAsia="en-US"/>
    </w:rPr>
  </w:style>
  <w:style w:type="paragraph" w:customStyle="1" w:styleId="Title1">
    <w:name w:val="Title 1"/>
    <w:basedOn w:val="Normal"/>
    <w:next w:val="Normal"/>
    <w:rsid w:val="00054958"/>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eastAsia="en-US"/>
    </w:rPr>
  </w:style>
  <w:style w:type="character" w:styleId="Hyperlink">
    <w:name w:val="Hyperlink"/>
    <w:rsid w:val="000027F1"/>
    <w:rPr>
      <w:color w:val="0000FF"/>
      <w:u w:val="single"/>
    </w:rPr>
  </w:style>
  <w:style w:type="paragraph" w:styleId="PlainText">
    <w:name w:val="Plain Text"/>
    <w:basedOn w:val="Normal"/>
    <w:link w:val="PlainTextChar"/>
    <w:uiPriority w:val="99"/>
    <w:semiHidden/>
    <w:unhideWhenUsed/>
    <w:rsid w:val="00104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04195"/>
    <w:rPr>
      <w:rFonts w:ascii="Calibri" w:hAnsi="Calibri"/>
      <w:szCs w:val="21"/>
    </w:rPr>
  </w:style>
  <w:style w:type="paragraph" w:styleId="BalloonText">
    <w:name w:val="Balloon Text"/>
    <w:basedOn w:val="Normal"/>
    <w:link w:val="BalloonTextChar"/>
    <w:uiPriority w:val="99"/>
    <w:semiHidden/>
    <w:unhideWhenUsed/>
    <w:rsid w:val="002A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258"/>
    <w:rPr>
      <w:rFonts w:ascii="Segoe UI" w:hAnsi="Segoe UI" w:cs="Segoe UI"/>
      <w:sz w:val="18"/>
      <w:szCs w:val="18"/>
    </w:rPr>
  </w:style>
  <w:style w:type="paragraph" w:styleId="Header">
    <w:name w:val="header"/>
    <w:basedOn w:val="Normal"/>
    <w:link w:val="HeaderChar"/>
    <w:uiPriority w:val="99"/>
    <w:unhideWhenUsed/>
    <w:rsid w:val="008B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85E"/>
  </w:style>
  <w:style w:type="paragraph" w:styleId="Footer">
    <w:name w:val="footer"/>
    <w:basedOn w:val="Normal"/>
    <w:link w:val="FooterChar"/>
    <w:uiPriority w:val="99"/>
    <w:unhideWhenUsed/>
    <w:rsid w:val="008B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85E"/>
  </w:style>
  <w:style w:type="character" w:styleId="CommentReference">
    <w:name w:val="annotation reference"/>
    <w:basedOn w:val="DefaultParagraphFont"/>
    <w:uiPriority w:val="99"/>
    <w:semiHidden/>
    <w:unhideWhenUsed/>
    <w:rsid w:val="00CB2A7D"/>
    <w:rPr>
      <w:sz w:val="16"/>
      <w:szCs w:val="16"/>
    </w:rPr>
  </w:style>
  <w:style w:type="paragraph" w:styleId="CommentText">
    <w:name w:val="annotation text"/>
    <w:basedOn w:val="Normal"/>
    <w:link w:val="CommentTextChar"/>
    <w:uiPriority w:val="99"/>
    <w:semiHidden/>
    <w:unhideWhenUsed/>
    <w:rsid w:val="00CB2A7D"/>
    <w:pPr>
      <w:spacing w:line="240" w:lineRule="auto"/>
    </w:pPr>
    <w:rPr>
      <w:sz w:val="20"/>
      <w:szCs w:val="20"/>
    </w:rPr>
  </w:style>
  <w:style w:type="character" w:customStyle="1" w:styleId="CommentTextChar">
    <w:name w:val="Comment Text Char"/>
    <w:basedOn w:val="DefaultParagraphFont"/>
    <w:link w:val="CommentText"/>
    <w:uiPriority w:val="99"/>
    <w:semiHidden/>
    <w:rsid w:val="00CB2A7D"/>
    <w:rPr>
      <w:sz w:val="20"/>
      <w:szCs w:val="20"/>
    </w:rPr>
  </w:style>
  <w:style w:type="paragraph" w:styleId="CommentSubject">
    <w:name w:val="annotation subject"/>
    <w:basedOn w:val="CommentText"/>
    <w:next w:val="CommentText"/>
    <w:link w:val="CommentSubjectChar"/>
    <w:uiPriority w:val="99"/>
    <w:semiHidden/>
    <w:unhideWhenUsed/>
    <w:rsid w:val="00CB2A7D"/>
    <w:rPr>
      <w:b/>
      <w:bCs/>
    </w:rPr>
  </w:style>
  <w:style w:type="character" w:customStyle="1" w:styleId="CommentSubjectChar">
    <w:name w:val="Comment Subject Char"/>
    <w:basedOn w:val="CommentTextChar"/>
    <w:link w:val="CommentSubject"/>
    <w:uiPriority w:val="99"/>
    <w:semiHidden/>
    <w:rsid w:val="00CB2A7D"/>
    <w:rPr>
      <w:b/>
      <w:bCs/>
      <w:sz w:val="20"/>
      <w:szCs w:val="20"/>
    </w:rPr>
  </w:style>
  <w:style w:type="character" w:styleId="FollowedHyperlink">
    <w:name w:val="FollowedHyperlink"/>
    <w:basedOn w:val="DefaultParagraphFont"/>
    <w:uiPriority w:val="99"/>
    <w:semiHidden/>
    <w:unhideWhenUsed/>
    <w:rsid w:val="00E474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02094">
      <w:bodyDiv w:val="1"/>
      <w:marLeft w:val="0"/>
      <w:marRight w:val="0"/>
      <w:marTop w:val="0"/>
      <w:marBottom w:val="0"/>
      <w:divBdr>
        <w:top w:val="none" w:sz="0" w:space="0" w:color="auto"/>
        <w:left w:val="none" w:sz="0" w:space="0" w:color="auto"/>
        <w:bottom w:val="none" w:sz="0" w:space="0" w:color="auto"/>
        <w:right w:val="none" w:sz="0" w:space="0" w:color="auto"/>
      </w:divBdr>
    </w:div>
    <w:div w:id="583074297">
      <w:bodyDiv w:val="1"/>
      <w:marLeft w:val="0"/>
      <w:marRight w:val="0"/>
      <w:marTop w:val="0"/>
      <w:marBottom w:val="0"/>
      <w:divBdr>
        <w:top w:val="none" w:sz="0" w:space="0" w:color="auto"/>
        <w:left w:val="none" w:sz="0" w:space="0" w:color="auto"/>
        <w:bottom w:val="none" w:sz="0" w:space="0" w:color="auto"/>
        <w:right w:val="none" w:sz="0" w:space="0" w:color="auto"/>
      </w:divBdr>
    </w:div>
    <w:div w:id="1315647388">
      <w:bodyDiv w:val="1"/>
      <w:marLeft w:val="0"/>
      <w:marRight w:val="0"/>
      <w:marTop w:val="0"/>
      <w:marBottom w:val="0"/>
      <w:divBdr>
        <w:top w:val="none" w:sz="0" w:space="0" w:color="auto"/>
        <w:left w:val="none" w:sz="0" w:space="0" w:color="auto"/>
        <w:bottom w:val="none" w:sz="0" w:space="0" w:color="auto"/>
        <w:right w:val="none" w:sz="0" w:space="0" w:color="auto"/>
      </w:divBdr>
    </w:div>
    <w:div w:id="1395085617">
      <w:bodyDiv w:val="1"/>
      <w:marLeft w:val="0"/>
      <w:marRight w:val="0"/>
      <w:marTop w:val="0"/>
      <w:marBottom w:val="0"/>
      <w:divBdr>
        <w:top w:val="none" w:sz="0" w:space="0" w:color="auto"/>
        <w:left w:val="none" w:sz="0" w:space="0" w:color="auto"/>
        <w:bottom w:val="none" w:sz="0" w:space="0" w:color="auto"/>
        <w:right w:val="none" w:sz="0" w:space="0" w:color="auto"/>
      </w:divBdr>
    </w:div>
    <w:div w:id="1405182634">
      <w:bodyDiv w:val="1"/>
      <w:marLeft w:val="0"/>
      <w:marRight w:val="0"/>
      <w:marTop w:val="0"/>
      <w:marBottom w:val="0"/>
      <w:divBdr>
        <w:top w:val="none" w:sz="0" w:space="0" w:color="auto"/>
        <w:left w:val="none" w:sz="0" w:space="0" w:color="auto"/>
        <w:bottom w:val="none" w:sz="0" w:space="0" w:color="auto"/>
        <w:right w:val="none" w:sz="0" w:space="0" w:color="auto"/>
      </w:divBdr>
    </w:div>
    <w:div w:id="1801654101">
      <w:bodyDiv w:val="1"/>
      <w:marLeft w:val="0"/>
      <w:marRight w:val="0"/>
      <w:marTop w:val="0"/>
      <w:marBottom w:val="0"/>
      <w:divBdr>
        <w:top w:val="none" w:sz="0" w:space="0" w:color="auto"/>
        <w:left w:val="none" w:sz="0" w:space="0" w:color="auto"/>
        <w:bottom w:val="none" w:sz="0" w:space="0" w:color="auto"/>
        <w:right w:val="none" w:sz="0" w:space="0" w:color="auto"/>
      </w:divBdr>
    </w:div>
    <w:div w:id="1935476267">
      <w:bodyDiv w:val="1"/>
      <w:marLeft w:val="0"/>
      <w:marRight w:val="0"/>
      <w:marTop w:val="0"/>
      <w:marBottom w:val="0"/>
      <w:divBdr>
        <w:top w:val="none" w:sz="0" w:space="0" w:color="auto"/>
        <w:left w:val="none" w:sz="0" w:space="0" w:color="auto"/>
        <w:bottom w:val="none" w:sz="0" w:space="0" w:color="auto"/>
        <w:right w:val="none" w:sz="0" w:space="0" w:color="auto"/>
      </w:divBdr>
    </w:div>
    <w:div w:id="20111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EGITRREP-C-0001/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council/eg-itrs/Pages/repo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3559</Words>
  <Characters>20291</Characters>
  <Application>Microsoft Office Word</Application>
  <DocSecurity>4</DocSecurity>
  <Lines>169</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Final report of the EG-ITRs</vt:lpstr>
      <vt:lpstr>Final report of the EG-ITRs</vt:lpstr>
    </vt:vector>
  </TitlesOfParts>
  <Company>ITU</Company>
  <LinksUpToDate>false</LinksUpToDate>
  <CharactersWithSpaces>23803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EG-ITRs</dc:title>
  <dc:subject>Meeting document</dc:subject>
  <dc:creator>Brouard, Ricarda</dc:creator>
  <cp:keywords>EG-ITRs</cp:keywords>
  <dc:description/>
  <cp:lastModifiedBy>Janin</cp:lastModifiedBy>
  <cp:revision>2</cp:revision>
  <dcterms:created xsi:type="dcterms:W3CDTF">2018-01-19T11:37:00Z</dcterms:created>
  <dcterms:modified xsi:type="dcterms:W3CDTF">2018-01-19T11:37:00Z</dcterms:modified>
</cp:coreProperties>
</file>