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E572E4">
        <w:trPr>
          <w:cantSplit/>
        </w:trPr>
        <w:tc>
          <w:tcPr>
            <w:tcW w:w="6912" w:type="dxa"/>
          </w:tcPr>
          <w:p w:rsidR="00520F36" w:rsidRPr="00E572E4" w:rsidRDefault="00D837AA" w:rsidP="00AA5154">
            <w:pPr>
              <w:spacing w:before="240" w:line="276" w:lineRule="auto"/>
            </w:pPr>
            <w:r w:rsidRPr="00E572E4">
              <w:rPr>
                <w:rFonts w:eastAsia="Calibri" w:cs="Calibri"/>
                <w:b/>
                <w:bCs/>
                <w:color w:val="000000"/>
                <w:position w:val="6"/>
                <w:sz w:val="30"/>
                <w:szCs w:val="30"/>
              </w:rPr>
              <w:t>Groupe d'experts sur le Règlement des télécommunications internationales (EG</w:t>
            </w:r>
            <w:r w:rsidRPr="00E572E4">
              <w:rPr>
                <w:rFonts w:eastAsia="Calibri" w:cs="Calibri"/>
                <w:b/>
                <w:bCs/>
                <w:color w:val="000000"/>
                <w:position w:val="6"/>
                <w:sz w:val="30"/>
                <w:szCs w:val="30"/>
              </w:rPr>
              <w:noBreakHyphen/>
              <w:t>RTI)</w:t>
            </w:r>
          </w:p>
        </w:tc>
        <w:tc>
          <w:tcPr>
            <w:tcW w:w="3261" w:type="dxa"/>
          </w:tcPr>
          <w:p w:rsidR="00520F36" w:rsidRPr="00E572E4" w:rsidRDefault="00520F36" w:rsidP="00AA5154">
            <w:pPr>
              <w:spacing w:before="0" w:line="276" w:lineRule="auto"/>
              <w:jc w:val="right"/>
            </w:pPr>
            <w:bookmarkStart w:id="0" w:name="ditulogo"/>
            <w:bookmarkEnd w:id="0"/>
            <w:r w:rsidRPr="00E572E4">
              <w:rPr>
                <w:rFonts w:cstheme="minorHAnsi"/>
                <w:b/>
                <w:bCs/>
                <w:noProof/>
                <w:lang w:val="fr-CH"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E572E4" w:rsidTr="00EF41DD">
        <w:trPr>
          <w:cantSplit/>
          <w:trHeight w:val="20"/>
        </w:trPr>
        <w:tc>
          <w:tcPr>
            <w:tcW w:w="6912" w:type="dxa"/>
            <w:tcBorders>
              <w:bottom w:val="single" w:sz="12" w:space="0" w:color="auto"/>
            </w:tcBorders>
            <w:vAlign w:val="center"/>
          </w:tcPr>
          <w:p w:rsidR="00520F36" w:rsidRPr="00E572E4" w:rsidRDefault="00201533" w:rsidP="00AA5154">
            <w:pPr>
              <w:spacing w:before="0" w:line="276" w:lineRule="auto"/>
              <w:rPr>
                <w:b/>
                <w:bCs/>
                <w:szCs w:val="24"/>
              </w:rPr>
            </w:pPr>
            <w:r w:rsidRPr="00E572E4">
              <w:rPr>
                <w:b/>
                <w:bCs/>
                <w:szCs w:val="24"/>
              </w:rPr>
              <w:t>Troisième</w:t>
            </w:r>
            <w:r w:rsidR="00D837AA" w:rsidRPr="00E572E4">
              <w:rPr>
                <w:b/>
                <w:bCs/>
                <w:szCs w:val="24"/>
              </w:rPr>
              <w:t xml:space="preserve"> réunion –</w:t>
            </w:r>
            <w:r w:rsidR="00F06D00" w:rsidRPr="00E572E4">
              <w:rPr>
                <w:b/>
                <w:bCs/>
                <w:szCs w:val="24"/>
              </w:rPr>
              <w:t xml:space="preserve"> </w:t>
            </w:r>
            <w:r w:rsidR="009B3BDE" w:rsidRPr="00E572E4">
              <w:rPr>
                <w:b/>
                <w:bCs/>
                <w:szCs w:val="24"/>
              </w:rPr>
              <w:t>Genève</w:t>
            </w:r>
            <w:r w:rsidR="00D837AA" w:rsidRPr="00E572E4">
              <w:rPr>
                <w:b/>
                <w:bCs/>
                <w:szCs w:val="24"/>
              </w:rPr>
              <w:t xml:space="preserve">, </w:t>
            </w:r>
            <w:r w:rsidRPr="00E572E4">
              <w:rPr>
                <w:b/>
                <w:bCs/>
                <w:szCs w:val="24"/>
              </w:rPr>
              <w:t>17-19 janvier</w:t>
            </w:r>
            <w:r w:rsidR="00D837AA" w:rsidRPr="00E572E4">
              <w:rPr>
                <w:b/>
                <w:bCs/>
                <w:szCs w:val="24"/>
              </w:rPr>
              <w:t xml:space="preserve"> 201</w:t>
            </w:r>
            <w:r w:rsidRPr="00E572E4">
              <w:rPr>
                <w:b/>
                <w:bCs/>
                <w:szCs w:val="24"/>
              </w:rPr>
              <w:t>8</w:t>
            </w:r>
          </w:p>
        </w:tc>
        <w:tc>
          <w:tcPr>
            <w:tcW w:w="3261" w:type="dxa"/>
            <w:tcBorders>
              <w:bottom w:val="single" w:sz="12" w:space="0" w:color="auto"/>
            </w:tcBorders>
          </w:tcPr>
          <w:p w:rsidR="00520F36" w:rsidRPr="00E572E4" w:rsidRDefault="00520F36" w:rsidP="00AA5154">
            <w:pPr>
              <w:spacing w:before="0" w:line="276" w:lineRule="auto"/>
              <w:rPr>
                <w:b/>
                <w:bCs/>
              </w:rPr>
            </w:pPr>
          </w:p>
        </w:tc>
      </w:tr>
      <w:tr w:rsidR="00520F36" w:rsidRPr="00E572E4">
        <w:trPr>
          <w:cantSplit/>
          <w:trHeight w:val="20"/>
        </w:trPr>
        <w:tc>
          <w:tcPr>
            <w:tcW w:w="6912" w:type="dxa"/>
            <w:tcBorders>
              <w:top w:val="single" w:sz="12" w:space="0" w:color="auto"/>
            </w:tcBorders>
          </w:tcPr>
          <w:p w:rsidR="00520F36" w:rsidRPr="00E572E4" w:rsidRDefault="00520F36" w:rsidP="00AA5154">
            <w:pPr>
              <w:spacing w:before="0" w:line="276" w:lineRule="auto"/>
              <w:rPr>
                <w:smallCaps/>
                <w:sz w:val="22"/>
              </w:rPr>
            </w:pPr>
          </w:p>
        </w:tc>
        <w:tc>
          <w:tcPr>
            <w:tcW w:w="3261" w:type="dxa"/>
            <w:tcBorders>
              <w:top w:val="single" w:sz="12" w:space="0" w:color="auto"/>
            </w:tcBorders>
          </w:tcPr>
          <w:p w:rsidR="00520F36" w:rsidRPr="00E572E4" w:rsidRDefault="00520F36" w:rsidP="00AA5154">
            <w:pPr>
              <w:spacing w:before="0" w:line="276" w:lineRule="auto"/>
              <w:rPr>
                <w:b/>
                <w:bCs/>
              </w:rPr>
            </w:pPr>
          </w:p>
        </w:tc>
      </w:tr>
      <w:tr w:rsidR="00520F36" w:rsidRPr="00E572E4">
        <w:trPr>
          <w:cantSplit/>
          <w:trHeight w:val="20"/>
        </w:trPr>
        <w:tc>
          <w:tcPr>
            <w:tcW w:w="6912" w:type="dxa"/>
            <w:vMerge w:val="restart"/>
          </w:tcPr>
          <w:p w:rsidR="00520F36" w:rsidRPr="00E572E4" w:rsidRDefault="00520F36" w:rsidP="00AA5154">
            <w:pPr>
              <w:spacing w:before="0" w:line="276" w:lineRule="auto"/>
              <w:rPr>
                <w:rFonts w:cs="Times"/>
                <w:b/>
                <w:bCs/>
                <w:szCs w:val="24"/>
              </w:rPr>
            </w:pPr>
            <w:bookmarkStart w:id="1" w:name="dnum" w:colFirst="1" w:colLast="1"/>
            <w:bookmarkStart w:id="2" w:name="dmeeting" w:colFirst="0" w:colLast="0"/>
          </w:p>
        </w:tc>
        <w:tc>
          <w:tcPr>
            <w:tcW w:w="3261" w:type="dxa"/>
          </w:tcPr>
          <w:p w:rsidR="00520F36" w:rsidRPr="00E572E4" w:rsidRDefault="00520F36" w:rsidP="00AA5154">
            <w:pPr>
              <w:spacing w:before="0" w:line="276" w:lineRule="auto"/>
              <w:rPr>
                <w:b/>
                <w:bCs/>
              </w:rPr>
            </w:pPr>
            <w:r w:rsidRPr="00E572E4">
              <w:rPr>
                <w:b/>
                <w:bCs/>
              </w:rPr>
              <w:t xml:space="preserve">Document </w:t>
            </w:r>
            <w:r w:rsidR="00D837AA" w:rsidRPr="00E572E4">
              <w:rPr>
                <w:b/>
              </w:rPr>
              <w:t>EG-ITRs</w:t>
            </w:r>
            <w:r w:rsidR="00F06D00" w:rsidRPr="00E572E4">
              <w:rPr>
                <w:b/>
              </w:rPr>
              <w:t>-</w:t>
            </w:r>
            <w:r w:rsidR="00201533" w:rsidRPr="00E572E4">
              <w:rPr>
                <w:b/>
              </w:rPr>
              <w:t>3</w:t>
            </w:r>
            <w:r w:rsidR="00D837AA" w:rsidRPr="00E572E4">
              <w:rPr>
                <w:b/>
              </w:rPr>
              <w:t>/</w:t>
            </w:r>
            <w:r w:rsidR="002A0D07" w:rsidRPr="00E572E4">
              <w:rPr>
                <w:b/>
              </w:rPr>
              <w:t>10</w:t>
            </w:r>
            <w:r w:rsidR="00D837AA" w:rsidRPr="00E572E4">
              <w:rPr>
                <w:b/>
              </w:rPr>
              <w:t>-F</w:t>
            </w:r>
          </w:p>
        </w:tc>
      </w:tr>
      <w:tr w:rsidR="00520F36" w:rsidRPr="00E572E4">
        <w:trPr>
          <w:cantSplit/>
          <w:trHeight w:val="20"/>
        </w:trPr>
        <w:tc>
          <w:tcPr>
            <w:tcW w:w="6912" w:type="dxa"/>
            <w:vMerge/>
          </w:tcPr>
          <w:p w:rsidR="00520F36" w:rsidRPr="00E572E4" w:rsidRDefault="00520F36" w:rsidP="00AA5154">
            <w:pPr>
              <w:shd w:val="solid" w:color="FFFFFF" w:fill="FFFFFF"/>
              <w:spacing w:before="180" w:line="276" w:lineRule="auto"/>
              <w:rPr>
                <w:smallCaps/>
              </w:rPr>
            </w:pPr>
            <w:bookmarkStart w:id="3" w:name="ddate" w:colFirst="1" w:colLast="1"/>
            <w:bookmarkEnd w:id="1"/>
            <w:bookmarkEnd w:id="2"/>
          </w:p>
        </w:tc>
        <w:tc>
          <w:tcPr>
            <w:tcW w:w="3261" w:type="dxa"/>
          </w:tcPr>
          <w:p w:rsidR="00520F36" w:rsidRPr="00E572E4" w:rsidRDefault="002A0D07" w:rsidP="00AA5154">
            <w:pPr>
              <w:spacing w:before="0" w:line="276" w:lineRule="auto"/>
              <w:rPr>
                <w:b/>
                <w:bCs/>
              </w:rPr>
            </w:pPr>
            <w:r w:rsidRPr="00E572E4">
              <w:rPr>
                <w:b/>
                <w:bCs/>
              </w:rPr>
              <w:t>3 janvier 2018</w:t>
            </w:r>
          </w:p>
        </w:tc>
      </w:tr>
      <w:tr w:rsidR="00520F36" w:rsidRPr="00E572E4">
        <w:trPr>
          <w:cantSplit/>
          <w:trHeight w:val="20"/>
        </w:trPr>
        <w:tc>
          <w:tcPr>
            <w:tcW w:w="6912" w:type="dxa"/>
            <w:vMerge/>
          </w:tcPr>
          <w:p w:rsidR="00520F36" w:rsidRPr="00E572E4" w:rsidRDefault="00520F36" w:rsidP="00AA5154">
            <w:pPr>
              <w:shd w:val="solid" w:color="FFFFFF" w:fill="FFFFFF"/>
              <w:spacing w:before="180" w:line="276" w:lineRule="auto"/>
              <w:rPr>
                <w:smallCaps/>
              </w:rPr>
            </w:pPr>
            <w:bookmarkStart w:id="4" w:name="dorlang" w:colFirst="1" w:colLast="1"/>
            <w:bookmarkEnd w:id="3"/>
          </w:p>
        </w:tc>
        <w:tc>
          <w:tcPr>
            <w:tcW w:w="3261" w:type="dxa"/>
          </w:tcPr>
          <w:p w:rsidR="00520F36" w:rsidRPr="00E572E4" w:rsidRDefault="00520F36" w:rsidP="00AA5154">
            <w:pPr>
              <w:spacing w:before="0" w:line="276" w:lineRule="auto"/>
              <w:rPr>
                <w:b/>
                <w:bCs/>
              </w:rPr>
            </w:pPr>
            <w:r w:rsidRPr="00E572E4">
              <w:rPr>
                <w:b/>
                <w:bCs/>
              </w:rPr>
              <w:t>Original: anglais</w:t>
            </w:r>
          </w:p>
        </w:tc>
      </w:tr>
      <w:tr w:rsidR="00520F36" w:rsidRPr="00E572E4">
        <w:trPr>
          <w:cantSplit/>
        </w:trPr>
        <w:tc>
          <w:tcPr>
            <w:tcW w:w="10173" w:type="dxa"/>
            <w:gridSpan w:val="2"/>
          </w:tcPr>
          <w:p w:rsidR="00520F36" w:rsidRPr="00E572E4" w:rsidRDefault="004A31B9" w:rsidP="00AA5154">
            <w:pPr>
              <w:pStyle w:val="Source"/>
              <w:spacing w:line="276" w:lineRule="auto"/>
            </w:pPr>
            <w:bookmarkStart w:id="5" w:name="lt_pId008"/>
            <w:bookmarkStart w:id="6" w:name="dsource" w:colFirst="0" w:colLast="0"/>
            <w:bookmarkEnd w:id="4"/>
            <w:r w:rsidRPr="00E572E4">
              <w:rPr>
                <w:rFonts w:asciiTheme="minorHAnsi" w:hAnsiTheme="minorHAnsi"/>
                <w:szCs w:val="32"/>
              </w:rPr>
              <w:t>République du Zimbabwe</w:t>
            </w:r>
            <w:bookmarkEnd w:id="5"/>
          </w:p>
        </w:tc>
      </w:tr>
      <w:tr w:rsidR="00520F36" w:rsidRPr="00E572E4">
        <w:trPr>
          <w:cantSplit/>
        </w:trPr>
        <w:tc>
          <w:tcPr>
            <w:tcW w:w="10173" w:type="dxa"/>
            <w:gridSpan w:val="2"/>
          </w:tcPr>
          <w:p w:rsidR="00520F36" w:rsidRPr="00E572E4" w:rsidRDefault="004A31B9" w:rsidP="00AA5154">
            <w:pPr>
              <w:pStyle w:val="Title1"/>
              <w:spacing w:line="276" w:lineRule="auto"/>
            </w:pPr>
            <w:bookmarkStart w:id="7" w:name="dtitle1" w:colFirst="0" w:colLast="0"/>
            <w:bookmarkEnd w:id="6"/>
            <w:r w:rsidRPr="00E572E4">
              <w:rPr>
                <w:bCs/>
                <w:szCs w:val="32"/>
              </w:rPr>
              <w:t xml:space="preserve">Examen et révision du règlement des télécommunications </w:t>
            </w:r>
            <w:r w:rsidRPr="00E572E4">
              <w:rPr>
                <w:bCs/>
                <w:szCs w:val="32"/>
              </w:rPr>
              <w:br/>
              <w:t>internationales (RTI)</w:t>
            </w:r>
          </w:p>
        </w:tc>
      </w:tr>
    </w:tbl>
    <w:bookmarkEnd w:id="7"/>
    <w:p w:rsidR="004A31B9" w:rsidRPr="00E572E4" w:rsidRDefault="004A31B9" w:rsidP="004A31B9">
      <w:pPr>
        <w:pStyle w:val="Heading1"/>
      </w:pPr>
      <w:r w:rsidRPr="00E572E4">
        <w:t>1</w:t>
      </w:r>
      <w:r w:rsidRPr="00E572E4">
        <w:tab/>
        <w:t>Introduction</w:t>
      </w:r>
    </w:p>
    <w:p w:rsidR="004A31B9" w:rsidRPr="00E572E4" w:rsidRDefault="004A31B9" w:rsidP="006C60C0">
      <w:r w:rsidRPr="00E572E4">
        <w:t>La présente contribution traite du Règlement des télécommunications internationales (RTI) compte tenu du mandat du Groupe d'experts sur le RTI (EG-RTI). A cette fin, on y trouvera une analyse succincte de l'applicabilité du RTI dans ses versions de 1988 et 2012</w:t>
      </w:r>
      <w:r w:rsidR="006C60C0" w:rsidRPr="00E572E4">
        <w:t>,</w:t>
      </w:r>
      <w:r w:rsidRPr="00E572E4">
        <w:t xml:space="preserve"> dans un environnement des télécommunications internationales en évolution rapide, compte tenu des nouvelles technologies, des nouveaux services et des obligations juridiques actuelles aux niveaux multilatéral et international ainsi que des modifications apportées au champ d'application des régimes réglementaires nationaux. Cette contribution porte également sur les questions relatives à la mise en oeuvre du RTI dans sa version de 2012 et des Résolutions de la CMTI-12</w:t>
      </w:r>
      <w:r w:rsidR="006C60C0" w:rsidRPr="00E572E4">
        <w:t>,</w:t>
      </w:r>
      <w:r w:rsidRPr="00E572E4">
        <w:t xml:space="preserve"> ainsi que des problèmes relatifs aux éventuelles incompatibilités entre les deux traités.</w:t>
      </w:r>
    </w:p>
    <w:p w:rsidR="004A31B9" w:rsidRPr="00E572E4" w:rsidRDefault="004A31B9" w:rsidP="006C60C0">
      <w:pPr>
        <w:pStyle w:val="Heading1"/>
      </w:pPr>
      <w:r w:rsidRPr="00E572E4">
        <w:t>2</w:t>
      </w:r>
      <w:r w:rsidRPr="00E572E4">
        <w:tab/>
        <w:t xml:space="preserve">Différences </w:t>
      </w:r>
      <w:bookmarkStart w:id="8" w:name="_GoBack"/>
      <w:bookmarkEnd w:id="8"/>
      <w:r w:rsidRPr="00E572E4">
        <w:t xml:space="preserve">entre les traités et applicabilité </w:t>
      </w:r>
      <w:r w:rsidR="006C60C0" w:rsidRPr="00E572E4">
        <w:t xml:space="preserve">de ces traités </w:t>
      </w:r>
      <w:r w:rsidRPr="00E572E4">
        <w:t xml:space="preserve">dans un environnement des télécommunications internationales en évolution rapide, compte tenu des techniques, des services et des obligations juridiques actuelles aux niveaux multilatéral et international, ainsi que des modifications apportées au champ d'application des régimes réglementaires nationaux </w:t>
      </w:r>
    </w:p>
    <w:p w:rsidR="004A31B9" w:rsidRPr="00E572E4" w:rsidRDefault="004A31B9" w:rsidP="006C60C0">
      <w:pPr>
        <w:spacing w:after="240"/>
      </w:pPr>
      <w:r w:rsidRPr="00E572E4">
        <w:t xml:space="preserve">Les différences entre les RTI ont été examinées. Hormis </w:t>
      </w:r>
      <w:r w:rsidR="006C60C0" w:rsidRPr="00E572E4">
        <w:t>de légères</w:t>
      </w:r>
      <w:r w:rsidRPr="00E572E4">
        <w:t xml:space="preserve"> différences ou </w:t>
      </w:r>
      <w:r w:rsidR="00E572E4">
        <w:t xml:space="preserve">les différences </w:t>
      </w:r>
      <w:r w:rsidRPr="00E572E4">
        <w:t xml:space="preserve">de pure forme résultant </w:t>
      </w:r>
      <w:r w:rsidR="006C60C0" w:rsidRPr="00E572E4">
        <w:t>de</w:t>
      </w:r>
      <w:r w:rsidRPr="00E572E4">
        <w:t xml:space="preserve"> changement</w:t>
      </w:r>
      <w:r w:rsidR="006C60C0" w:rsidRPr="00E572E4">
        <w:t>s</w:t>
      </w:r>
      <w:r w:rsidRPr="00E572E4">
        <w:t xml:space="preserve"> de terminologie à l'UIT et de l'évolution technologiq</w:t>
      </w:r>
      <w:r w:rsidR="006C60C0" w:rsidRPr="00E572E4">
        <w:t>ue, les principales différences sont</w:t>
      </w:r>
      <w:r w:rsidRPr="00E572E4">
        <w:t xml:space="preserve"> présentées dans le tableau</w:t>
      </w:r>
      <w:r w:rsidR="006C60C0" w:rsidRPr="00E572E4">
        <w:t xml:space="preserve"> ci-dessous</w:t>
      </w:r>
      <w:r w:rsidRPr="00E572E4">
        <w:t>:</w:t>
      </w:r>
    </w:p>
    <w:tbl>
      <w:tblPr>
        <w:tblStyle w:val="TableGrid"/>
        <w:tblW w:w="0" w:type="auto"/>
        <w:tblLook w:val="04A0" w:firstRow="1" w:lastRow="0" w:firstColumn="1" w:lastColumn="0" w:noHBand="0" w:noVBand="1"/>
      </w:tblPr>
      <w:tblGrid>
        <w:gridCol w:w="2263"/>
        <w:gridCol w:w="3686"/>
        <w:gridCol w:w="3680"/>
      </w:tblGrid>
      <w:tr w:rsidR="004A31B9" w:rsidRPr="00E572E4" w:rsidTr="00C86D9A">
        <w:tc>
          <w:tcPr>
            <w:tcW w:w="2263" w:type="dxa"/>
          </w:tcPr>
          <w:p w:rsidR="004A31B9" w:rsidRPr="00E572E4" w:rsidRDefault="004A31B9" w:rsidP="0023216D">
            <w:pPr>
              <w:pStyle w:val="Tablehead"/>
              <w:keepNext/>
              <w:keepLines/>
            </w:pPr>
          </w:p>
        </w:tc>
        <w:tc>
          <w:tcPr>
            <w:tcW w:w="3686" w:type="dxa"/>
          </w:tcPr>
          <w:p w:rsidR="004A31B9" w:rsidRPr="00E572E4" w:rsidRDefault="004A31B9" w:rsidP="0023216D">
            <w:pPr>
              <w:pStyle w:val="Tablehead"/>
              <w:keepNext/>
              <w:keepLines/>
            </w:pPr>
            <w:r w:rsidRPr="00E572E4">
              <w:t>Traité de 1988</w:t>
            </w:r>
          </w:p>
        </w:tc>
        <w:tc>
          <w:tcPr>
            <w:tcW w:w="3680" w:type="dxa"/>
          </w:tcPr>
          <w:p w:rsidR="004A31B9" w:rsidRPr="00E572E4" w:rsidRDefault="004A31B9" w:rsidP="0023216D">
            <w:pPr>
              <w:pStyle w:val="Tablehead"/>
              <w:keepNext/>
              <w:keepLines/>
            </w:pPr>
            <w:r w:rsidRPr="00E572E4">
              <w:t>Traité de 2012</w:t>
            </w:r>
          </w:p>
        </w:tc>
      </w:tr>
      <w:tr w:rsidR="004A31B9" w:rsidRPr="00E572E4" w:rsidTr="00C86D9A">
        <w:tc>
          <w:tcPr>
            <w:tcW w:w="2263" w:type="dxa"/>
          </w:tcPr>
          <w:p w:rsidR="004A31B9" w:rsidRPr="00E572E4" w:rsidRDefault="004A31B9" w:rsidP="0023216D">
            <w:pPr>
              <w:pStyle w:val="Tabletext"/>
              <w:keepNext/>
              <w:keepLines/>
            </w:pPr>
            <w:r w:rsidRPr="00E572E4">
              <w:t>Reconnaissance des droits de l'homme</w:t>
            </w:r>
          </w:p>
        </w:tc>
        <w:tc>
          <w:tcPr>
            <w:tcW w:w="3686" w:type="dxa"/>
          </w:tcPr>
          <w:p w:rsidR="004A31B9" w:rsidRPr="00E572E4" w:rsidRDefault="004A31B9" w:rsidP="0023216D">
            <w:pPr>
              <w:pStyle w:val="Tabletext"/>
              <w:keepNext/>
              <w:keepLines/>
            </w:pPr>
            <w:r w:rsidRPr="00E572E4">
              <w:t>Il n'est pas fait mention des droits de l'homme ou du droit des Etats Membres d'accéder aux services internationaux de télécommunication.</w:t>
            </w:r>
          </w:p>
        </w:tc>
        <w:tc>
          <w:tcPr>
            <w:tcW w:w="3680" w:type="dxa"/>
          </w:tcPr>
          <w:p w:rsidR="004A31B9" w:rsidRPr="00E572E4" w:rsidRDefault="004A31B9" w:rsidP="0023216D">
            <w:pPr>
              <w:pStyle w:val="Tabletext"/>
              <w:keepNext/>
              <w:keepLines/>
            </w:pPr>
            <w:r w:rsidRPr="00E572E4">
              <w:t>Les Etats Membres réaffirment leur engagement à appliquer le Règlement de manière à défendre les droits de l'homme</w:t>
            </w:r>
            <w:r w:rsidR="004F4881" w:rsidRPr="00E572E4">
              <w:t>.</w:t>
            </w:r>
            <w:r w:rsidRPr="00E572E4">
              <w:t xml:space="preserve"> En outre, le </w:t>
            </w:r>
            <w:r w:rsidR="00C86D9A" w:rsidRPr="00E572E4">
              <w:t>"</w:t>
            </w:r>
            <w:r w:rsidRPr="00E572E4">
              <w:t>droit des E</w:t>
            </w:r>
            <w:r w:rsidR="00C86D9A" w:rsidRPr="00E572E4">
              <w:t xml:space="preserve">tats Membres </w:t>
            </w:r>
            <w:r w:rsidRPr="00E572E4">
              <w:t>d'accéder aux télécommunications internationales</w:t>
            </w:r>
            <w:r w:rsidR="00C86D9A" w:rsidRPr="00E572E4">
              <w:t>"</w:t>
            </w:r>
            <w:r w:rsidRPr="00E572E4">
              <w:t xml:space="preserve"> e</w:t>
            </w:r>
            <w:r w:rsidR="00C86D9A" w:rsidRPr="00E572E4">
              <w:t>s</w:t>
            </w:r>
            <w:r w:rsidRPr="00E572E4">
              <w:t>t reconnu.</w:t>
            </w:r>
          </w:p>
        </w:tc>
      </w:tr>
      <w:tr w:rsidR="004A31B9" w:rsidRPr="00E572E4" w:rsidTr="00C86D9A">
        <w:tc>
          <w:tcPr>
            <w:tcW w:w="2263" w:type="dxa"/>
          </w:tcPr>
          <w:p w:rsidR="004A31B9" w:rsidRPr="00E572E4" w:rsidRDefault="004A31B9" w:rsidP="0023216D">
            <w:pPr>
              <w:pStyle w:val="Tabletext"/>
              <w:keepNext/>
              <w:keepLines/>
            </w:pPr>
            <w:r w:rsidRPr="00E572E4">
              <w:t>Référence à la Constitution de l'UIT</w:t>
            </w:r>
          </w:p>
        </w:tc>
        <w:tc>
          <w:tcPr>
            <w:tcW w:w="3686" w:type="dxa"/>
          </w:tcPr>
          <w:p w:rsidR="004A31B9" w:rsidRPr="00E572E4" w:rsidRDefault="0023216D" w:rsidP="0023216D">
            <w:pPr>
              <w:pStyle w:val="Tabletext"/>
              <w:keepNext/>
              <w:keepLines/>
            </w:pPr>
            <w:r w:rsidRPr="00E572E4">
              <w:t>Fait</w:t>
            </w:r>
            <w:r w:rsidR="004A31B9" w:rsidRPr="00E572E4">
              <w:t xml:space="preserve"> uniquement </w:t>
            </w:r>
            <w:r w:rsidRPr="00E572E4">
              <w:t xml:space="preserve">état de </w:t>
            </w:r>
            <w:r w:rsidR="004A31B9" w:rsidRPr="00E572E4">
              <w:t>la Convention de l'UIT en tant que document que vient compléter le RTI</w:t>
            </w:r>
            <w:r w:rsidRPr="00E572E4">
              <w:t>.</w:t>
            </w:r>
          </w:p>
        </w:tc>
        <w:tc>
          <w:tcPr>
            <w:tcW w:w="3680" w:type="dxa"/>
          </w:tcPr>
          <w:p w:rsidR="004A31B9" w:rsidRPr="00E572E4" w:rsidRDefault="004A31B9" w:rsidP="0023216D">
            <w:pPr>
              <w:pStyle w:val="Tabletext"/>
              <w:keepNext/>
              <w:keepLines/>
            </w:pPr>
            <w:r w:rsidRPr="00E572E4">
              <w:t>Ajoute la Constitution de l'</w:t>
            </w:r>
            <w:r w:rsidR="0023216D" w:rsidRPr="00E572E4">
              <w:t>U</w:t>
            </w:r>
            <w:r w:rsidRPr="00E572E4">
              <w:t>nion internationale des télécommunications au nombre des documents que vient compléter le RTI</w:t>
            </w:r>
            <w:r w:rsidR="0023216D" w:rsidRPr="00E572E4">
              <w:t>.</w:t>
            </w:r>
          </w:p>
        </w:tc>
      </w:tr>
      <w:tr w:rsidR="004A31B9" w:rsidRPr="00E572E4" w:rsidTr="00C86D9A">
        <w:tc>
          <w:tcPr>
            <w:tcW w:w="2263" w:type="dxa"/>
          </w:tcPr>
          <w:p w:rsidR="004A31B9" w:rsidRPr="00E572E4" w:rsidRDefault="004A31B9" w:rsidP="006C60C0">
            <w:pPr>
              <w:pStyle w:val="Tabletext"/>
            </w:pPr>
            <w:r w:rsidRPr="00E572E4">
              <w:t>Contenu</w:t>
            </w:r>
          </w:p>
        </w:tc>
        <w:tc>
          <w:tcPr>
            <w:tcW w:w="3686" w:type="dxa"/>
          </w:tcPr>
          <w:p w:rsidR="004A31B9" w:rsidRPr="00E572E4" w:rsidRDefault="004A31B9" w:rsidP="006C60C0">
            <w:pPr>
              <w:pStyle w:val="Tabletext"/>
            </w:pPr>
            <w:r w:rsidRPr="00E572E4">
              <w:t>Il n'est pas fait mention du contenu des communications</w:t>
            </w:r>
            <w:r w:rsidR="0023216D" w:rsidRPr="00E572E4">
              <w:t>.</w:t>
            </w:r>
          </w:p>
        </w:tc>
        <w:tc>
          <w:tcPr>
            <w:tcW w:w="3680" w:type="dxa"/>
          </w:tcPr>
          <w:p w:rsidR="004A31B9" w:rsidRPr="00E572E4" w:rsidRDefault="004A31B9" w:rsidP="006C60C0">
            <w:pPr>
              <w:pStyle w:val="Tabletext"/>
            </w:pPr>
            <w:r w:rsidRPr="00E572E4">
              <w:t>Il est expressément indiqué que le RTI ne traite pas des questions de contenu</w:t>
            </w:r>
            <w:r w:rsidR="0023216D" w:rsidRPr="00E572E4">
              <w:t>.</w:t>
            </w:r>
          </w:p>
        </w:tc>
      </w:tr>
      <w:tr w:rsidR="004A31B9" w:rsidRPr="00E572E4" w:rsidTr="00C86D9A">
        <w:tc>
          <w:tcPr>
            <w:tcW w:w="2263" w:type="dxa"/>
          </w:tcPr>
          <w:p w:rsidR="004A31B9" w:rsidRPr="00E572E4" w:rsidRDefault="004A31B9" w:rsidP="0023216D">
            <w:pPr>
              <w:pStyle w:val="Tabletext"/>
            </w:pPr>
            <w:r w:rsidRPr="00E572E4">
              <w:t>Transfert de responsabilité des Etats Membres aux exploitations</w:t>
            </w:r>
          </w:p>
        </w:tc>
        <w:tc>
          <w:tcPr>
            <w:tcW w:w="3686" w:type="dxa"/>
          </w:tcPr>
          <w:p w:rsidR="004A31B9" w:rsidRPr="00E572E4" w:rsidRDefault="004A31B9" w:rsidP="0023216D">
            <w:pPr>
              <w:pStyle w:val="Tabletext"/>
            </w:pPr>
            <w:r w:rsidRPr="00E572E4">
              <w:t xml:space="preserve">Il était indiqué que la fourniture de services et la plupart des obligations relevaient de la responsabilité des administrations. Ainsi, les Etats Membres étaient </w:t>
            </w:r>
            <w:r w:rsidR="008733BA">
              <w:t>chargé</w:t>
            </w:r>
            <w:r w:rsidR="0023216D" w:rsidRPr="00E572E4">
              <w:t>s de déterminer les</w:t>
            </w:r>
            <w:r w:rsidRPr="00E572E4">
              <w:t xml:space="preserve"> voies d'acheminement internationales</w:t>
            </w:r>
            <w:r w:rsidR="0023216D" w:rsidRPr="00E572E4">
              <w:t xml:space="preserve"> à utiliser</w:t>
            </w:r>
            <w:r w:rsidRPr="00E572E4">
              <w:t xml:space="preserve">, </w:t>
            </w:r>
            <w:r w:rsidR="0023216D" w:rsidRPr="00E572E4">
              <w:t>de maintenir</w:t>
            </w:r>
            <w:r w:rsidRPr="00E572E4">
              <w:t xml:space="preserve"> la qualité de service et de fourni</w:t>
            </w:r>
            <w:r w:rsidR="0023216D" w:rsidRPr="00E572E4">
              <w:t>r</w:t>
            </w:r>
            <w:r w:rsidRPr="00E572E4">
              <w:t xml:space="preserve"> d</w:t>
            </w:r>
            <w:r w:rsidR="0023216D" w:rsidRPr="00E572E4">
              <w:t xml:space="preserve">es </w:t>
            </w:r>
            <w:r w:rsidRPr="00E572E4">
              <w:t>informations au Secrétaire général de l'UIT</w:t>
            </w:r>
            <w:r w:rsidR="0023216D" w:rsidRPr="00E572E4">
              <w:t>.</w:t>
            </w:r>
          </w:p>
        </w:tc>
        <w:tc>
          <w:tcPr>
            <w:tcW w:w="3680" w:type="dxa"/>
          </w:tcPr>
          <w:p w:rsidR="004A31B9" w:rsidRPr="00E572E4" w:rsidRDefault="004A31B9" w:rsidP="0023216D">
            <w:pPr>
              <w:pStyle w:val="Tabletext"/>
            </w:pPr>
            <w:r w:rsidRPr="00E572E4">
              <w:t xml:space="preserve">La fourniture effective de services et la plupart des responsabilités liées aux réseaux relèvent </w:t>
            </w:r>
            <w:r w:rsidR="0023216D" w:rsidRPr="00E572E4">
              <w:t>à présent</w:t>
            </w:r>
            <w:r w:rsidRPr="00E572E4">
              <w:t xml:space="preserve"> principalement de la responsabilité des exploitations autorisées, et non pas des Adminis</w:t>
            </w:r>
            <w:r w:rsidR="0023216D" w:rsidRPr="00E572E4">
              <w:t>trations, désormais dénommées "</w:t>
            </w:r>
            <w:r w:rsidRPr="00E572E4">
              <w:t>Etats Membres</w:t>
            </w:r>
            <w:r w:rsidR="0023216D" w:rsidRPr="00E572E4">
              <w:t>"</w:t>
            </w:r>
            <w:r w:rsidR="004F4881" w:rsidRPr="00E572E4">
              <w:t>.</w:t>
            </w:r>
            <w:r w:rsidRPr="00E572E4">
              <w:t xml:space="preserve"> En outre, les exploitations peuvent à présent fournir des informations directement au Secrétaire général de l'UIT</w:t>
            </w:r>
            <w:r w:rsidR="0023216D" w:rsidRPr="00E572E4">
              <w:t>.</w:t>
            </w:r>
          </w:p>
        </w:tc>
      </w:tr>
      <w:tr w:rsidR="004A31B9" w:rsidRPr="00E572E4" w:rsidTr="00C86D9A">
        <w:tc>
          <w:tcPr>
            <w:tcW w:w="2263" w:type="dxa"/>
          </w:tcPr>
          <w:p w:rsidR="004A31B9" w:rsidRPr="00E572E4" w:rsidRDefault="004A31B9" w:rsidP="006C60C0">
            <w:pPr>
              <w:pStyle w:val="Tabletext"/>
            </w:pPr>
            <w:r w:rsidRPr="00E572E4">
              <w:t>Caractère exécutoire des obligations incombant aux Etats Membres</w:t>
            </w:r>
          </w:p>
        </w:tc>
        <w:tc>
          <w:tcPr>
            <w:tcW w:w="3686" w:type="dxa"/>
          </w:tcPr>
          <w:p w:rsidR="004A31B9" w:rsidRPr="00E572E4" w:rsidRDefault="004A31B9" w:rsidP="006C60C0">
            <w:pPr>
              <w:pStyle w:val="Tabletext"/>
            </w:pPr>
            <w:r w:rsidRPr="00E572E4">
              <w:t>Les obligations incombant aux Etats Membres étaient énoncées en des termes contraignants, ce qui les rendait facilement applicables. Ainsi, les Etats Membres devaient assurer une coopération dans le cadre du Règlement et maintenir la qualité de service</w:t>
            </w:r>
            <w:r w:rsidR="00991F64" w:rsidRPr="00E572E4">
              <w:t>.</w:t>
            </w:r>
          </w:p>
        </w:tc>
        <w:tc>
          <w:tcPr>
            <w:tcW w:w="3680" w:type="dxa"/>
          </w:tcPr>
          <w:p w:rsidR="004A31B9" w:rsidRPr="00E572E4" w:rsidRDefault="004A31B9" w:rsidP="00991F64">
            <w:pPr>
              <w:pStyle w:val="Tabletext"/>
            </w:pPr>
            <w:r w:rsidRPr="00E572E4">
              <w:t>Les Etats Membres doivent uniquement s'efforcer de s'acquitter de leurs obligations ou promouvoir l'adoption de mesures. Du fait de l'emploi du ter</w:t>
            </w:r>
            <w:r w:rsidR="00991F64" w:rsidRPr="00E572E4">
              <w:t>me "</w:t>
            </w:r>
            <w:r w:rsidRPr="00E572E4">
              <w:t>s'</w:t>
            </w:r>
            <w:r w:rsidR="00991F64" w:rsidRPr="00E572E4">
              <w:t>efforc</w:t>
            </w:r>
            <w:r w:rsidRPr="00E572E4">
              <w:t>er</w:t>
            </w:r>
            <w:r w:rsidR="00991F64" w:rsidRPr="00E572E4">
              <w:t>"</w:t>
            </w:r>
            <w:r w:rsidRPr="00E572E4">
              <w:t xml:space="preserve">, </w:t>
            </w:r>
            <w:r w:rsidR="00991F64" w:rsidRPr="00E572E4">
              <w:t>qui veut dire "</w:t>
            </w:r>
            <w:r w:rsidRPr="00E572E4">
              <w:t>essayer</w:t>
            </w:r>
            <w:r w:rsidR="00991F64" w:rsidRPr="00E572E4">
              <w:t>"</w:t>
            </w:r>
            <w:r w:rsidRPr="00E572E4">
              <w:t>, il est assurément plus difficile de faire respecter ces obligations</w:t>
            </w:r>
            <w:r w:rsidR="00991F64" w:rsidRPr="00E572E4">
              <w:t>.</w:t>
            </w:r>
          </w:p>
        </w:tc>
      </w:tr>
      <w:tr w:rsidR="004A31B9" w:rsidRPr="00E572E4" w:rsidTr="00C86D9A">
        <w:tc>
          <w:tcPr>
            <w:tcW w:w="2263" w:type="dxa"/>
          </w:tcPr>
          <w:p w:rsidR="004A31B9" w:rsidRPr="00E572E4" w:rsidRDefault="004A31B9" w:rsidP="006C60C0">
            <w:pPr>
              <w:pStyle w:val="Tabletext"/>
            </w:pPr>
            <w:r w:rsidRPr="00E572E4">
              <w:t>Efficacité énergétique/déchets d'équipements électriques et électroniques</w:t>
            </w:r>
          </w:p>
        </w:tc>
        <w:tc>
          <w:tcPr>
            <w:tcW w:w="3686" w:type="dxa"/>
          </w:tcPr>
          <w:p w:rsidR="004A31B9" w:rsidRPr="00E572E4" w:rsidRDefault="004A31B9" w:rsidP="006C60C0">
            <w:pPr>
              <w:pStyle w:val="Tabletext"/>
            </w:pPr>
            <w:r w:rsidRPr="00E572E4">
              <w:t>Ne faisaient l'objet d'aucune disposition</w:t>
            </w:r>
            <w:r w:rsidR="004F4881" w:rsidRPr="00E572E4">
              <w:t>.</w:t>
            </w:r>
            <w:r w:rsidRPr="00E572E4">
              <w:t xml:space="preserve"> A l'époque, les pénuries d'énergie ne posaient pas de problème.</w:t>
            </w:r>
          </w:p>
        </w:tc>
        <w:tc>
          <w:tcPr>
            <w:tcW w:w="3680" w:type="dxa"/>
          </w:tcPr>
          <w:p w:rsidR="004A31B9" w:rsidRPr="00E572E4" w:rsidRDefault="004A31B9" w:rsidP="006C60C0">
            <w:pPr>
              <w:pStyle w:val="Tabletext"/>
            </w:pPr>
            <w:r w:rsidRPr="00E572E4">
              <w:t>Les Etats Membres doivent adopter d</w:t>
            </w:r>
            <w:r w:rsidR="00991F64" w:rsidRPr="00E572E4">
              <w:t>e bonn</w:t>
            </w:r>
            <w:r w:rsidRPr="00E572E4">
              <w:t>es pratiques en matière d'efficacité énergétique/de déchets d'équipements électriques et électroniques</w:t>
            </w:r>
            <w:r w:rsidR="00991F64" w:rsidRPr="00E572E4">
              <w:t>.</w:t>
            </w:r>
          </w:p>
        </w:tc>
      </w:tr>
      <w:tr w:rsidR="004A31B9" w:rsidRPr="00E572E4" w:rsidTr="00C86D9A">
        <w:tc>
          <w:tcPr>
            <w:tcW w:w="2263" w:type="dxa"/>
          </w:tcPr>
          <w:p w:rsidR="004A31B9" w:rsidRPr="00E572E4" w:rsidRDefault="004A31B9" w:rsidP="006C60C0">
            <w:pPr>
              <w:pStyle w:val="Tabletext"/>
            </w:pPr>
          </w:p>
        </w:tc>
        <w:tc>
          <w:tcPr>
            <w:tcW w:w="3686" w:type="dxa"/>
          </w:tcPr>
          <w:p w:rsidR="004A31B9" w:rsidRPr="00E572E4" w:rsidRDefault="004A31B9" w:rsidP="006C60C0">
            <w:pPr>
              <w:pStyle w:val="Tabletext"/>
            </w:pPr>
            <w:r w:rsidRPr="00E572E4">
              <w:t>Pas de disposition</w:t>
            </w:r>
            <w:r w:rsidR="00991F64" w:rsidRPr="00E572E4">
              <w:t>s.</w:t>
            </w:r>
          </w:p>
        </w:tc>
        <w:tc>
          <w:tcPr>
            <w:tcW w:w="3680" w:type="dxa"/>
          </w:tcPr>
          <w:p w:rsidR="004A31B9" w:rsidRPr="00E572E4" w:rsidRDefault="004A31B9" w:rsidP="006C60C0">
            <w:pPr>
              <w:pStyle w:val="Tabletext"/>
            </w:pPr>
            <w:r w:rsidRPr="00E572E4">
              <w:t>Les Etats Membres doivent encourager l'accès des personnes handicapées aux services internationaux de télécommunication</w:t>
            </w:r>
            <w:r w:rsidR="00991F64" w:rsidRPr="00E572E4">
              <w:t>.</w:t>
            </w:r>
          </w:p>
        </w:tc>
      </w:tr>
      <w:tr w:rsidR="004A31B9" w:rsidRPr="00E572E4" w:rsidTr="00C86D9A">
        <w:tc>
          <w:tcPr>
            <w:tcW w:w="2263" w:type="dxa"/>
          </w:tcPr>
          <w:p w:rsidR="004A31B9" w:rsidRPr="00E572E4" w:rsidRDefault="004A31B9" w:rsidP="006C60C0">
            <w:pPr>
              <w:pStyle w:val="Tabletext"/>
            </w:pPr>
            <w:r w:rsidRPr="00E572E4">
              <w:t>Sécurité</w:t>
            </w:r>
          </w:p>
        </w:tc>
        <w:tc>
          <w:tcPr>
            <w:tcW w:w="3686" w:type="dxa"/>
          </w:tcPr>
          <w:p w:rsidR="004A31B9" w:rsidRPr="00E572E4" w:rsidRDefault="004A31B9" w:rsidP="006C60C0">
            <w:pPr>
              <w:pStyle w:val="Tabletext"/>
            </w:pPr>
            <w:r w:rsidRPr="00E572E4">
              <w:t>Ne contient aucune disposition sur la sécurité</w:t>
            </w:r>
            <w:r w:rsidR="00991F64" w:rsidRPr="00E572E4">
              <w:t>.</w:t>
            </w:r>
          </w:p>
        </w:tc>
        <w:tc>
          <w:tcPr>
            <w:tcW w:w="3680" w:type="dxa"/>
          </w:tcPr>
          <w:p w:rsidR="004A31B9" w:rsidRPr="00E572E4" w:rsidRDefault="004A31B9" w:rsidP="006C60C0">
            <w:pPr>
              <w:pStyle w:val="Tabletext"/>
            </w:pPr>
            <w:r w:rsidRPr="00E572E4">
              <w:t>Les Etats Membres ont été chargés d'assurer la sécurité et la robustesse des réseaux</w:t>
            </w:r>
            <w:r w:rsidR="00991F64" w:rsidRPr="00E572E4">
              <w:t>.</w:t>
            </w:r>
          </w:p>
        </w:tc>
      </w:tr>
      <w:tr w:rsidR="004A31B9" w:rsidRPr="00E572E4" w:rsidTr="00C86D9A">
        <w:tc>
          <w:tcPr>
            <w:tcW w:w="2263" w:type="dxa"/>
          </w:tcPr>
          <w:p w:rsidR="004A31B9" w:rsidRPr="00E572E4" w:rsidRDefault="004A31B9" w:rsidP="006C60C0">
            <w:pPr>
              <w:pStyle w:val="Tabletext"/>
            </w:pPr>
            <w:r w:rsidRPr="00E572E4">
              <w:lastRenderedPageBreak/>
              <w:t>Communications électroniques non sollicitées envoyées en masse</w:t>
            </w:r>
          </w:p>
        </w:tc>
        <w:tc>
          <w:tcPr>
            <w:tcW w:w="3686" w:type="dxa"/>
          </w:tcPr>
          <w:p w:rsidR="004A31B9" w:rsidRPr="00E572E4" w:rsidRDefault="004A31B9" w:rsidP="006C60C0">
            <w:pPr>
              <w:pStyle w:val="Tabletext"/>
            </w:pPr>
            <w:r w:rsidRPr="00E572E4">
              <w:t>Ne contient aucune disposition sur les communications électroniques non sollicitées envoyées en masse, étant donné que ce problème n'existait pas en 1988</w:t>
            </w:r>
            <w:r w:rsidR="00991F64" w:rsidRPr="00E572E4">
              <w:t>.</w:t>
            </w:r>
          </w:p>
        </w:tc>
        <w:tc>
          <w:tcPr>
            <w:tcW w:w="3680" w:type="dxa"/>
          </w:tcPr>
          <w:p w:rsidR="004A31B9" w:rsidRPr="00E572E4" w:rsidRDefault="004A31B9" w:rsidP="006C60C0">
            <w:pPr>
              <w:pStyle w:val="Tabletext"/>
            </w:pPr>
            <w:r w:rsidRPr="00E572E4">
              <w:t>Les Etats Membres ont été chargés de prendre des mesures visant à empêcher la transmission de communications électroniques non sollicitées envoyées en masse</w:t>
            </w:r>
            <w:r w:rsidR="00991F64" w:rsidRPr="00E572E4">
              <w:t>.</w:t>
            </w:r>
          </w:p>
        </w:tc>
      </w:tr>
      <w:tr w:rsidR="004A31B9" w:rsidRPr="00E572E4" w:rsidTr="00C86D9A">
        <w:tc>
          <w:tcPr>
            <w:tcW w:w="2263" w:type="dxa"/>
          </w:tcPr>
          <w:p w:rsidR="004A31B9" w:rsidRPr="00E572E4" w:rsidRDefault="004A31B9" w:rsidP="006C60C0">
            <w:pPr>
              <w:pStyle w:val="Tabletext"/>
            </w:pPr>
          </w:p>
        </w:tc>
        <w:tc>
          <w:tcPr>
            <w:tcW w:w="3686" w:type="dxa"/>
          </w:tcPr>
          <w:p w:rsidR="004A31B9" w:rsidRPr="00E572E4" w:rsidRDefault="004A31B9" w:rsidP="00991F64">
            <w:pPr>
              <w:pStyle w:val="Tabletext"/>
            </w:pPr>
            <w:r w:rsidRPr="00E572E4">
              <w:t xml:space="preserve">Ne contient aucune disposition </w:t>
            </w:r>
            <w:r w:rsidR="00991F64" w:rsidRPr="00E572E4">
              <w:t>en la matière</w:t>
            </w:r>
            <w:r w:rsidRPr="00E572E4">
              <w:t>, étant donné que ce problème n'existait pas en 1988</w:t>
            </w:r>
            <w:r w:rsidR="00991F64" w:rsidRPr="00E572E4">
              <w:t>.</w:t>
            </w:r>
          </w:p>
        </w:tc>
        <w:tc>
          <w:tcPr>
            <w:tcW w:w="3680" w:type="dxa"/>
          </w:tcPr>
          <w:p w:rsidR="004A31B9" w:rsidRPr="00E572E4" w:rsidRDefault="004A31B9" w:rsidP="006C60C0">
            <w:pPr>
              <w:pStyle w:val="Tabletext"/>
            </w:pPr>
            <w:r w:rsidRPr="00E572E4">
              <w:t>Les Etats Membres ont été chargés de traiter les questions relatives à l'itinérance et d'éviter l'itinérance par inadvertance.</w:t>
            </w:r>
          </w:p>
        </w:tc>
      </w:tr>
      <w:tr w:rsidR="004A31B9" w:rsidRPr="00E572E4" w:rsidTr="00C86D9A">
        <w:tc>
          <w:tcPr>
            <w:tcW w:w="2263" w:type="dxa"/>
          </w:tcPr>
          <w:p w:rsidR="004A31B9" w:rsidRPr="00E572E4" w:rsidRDefault="004A31B9" w:rsidP="006C60C0">
            <w:pPr>
              <w:pStyle w:val="Tabletext"/>
            </w:pPr>
          </w:p>
        </w:tc>
        <w:tc>
          <w:tcPr>
            <w:tcW w:w="3686" w:type="dxa"/>
          </w:tcPr>
          <w:p w:rsidR="004A31B9" w:rsidRPr="00E572E4" w:rsidRDefault="004A31B9" w:rsidP="006C60C0">
            <w:pPr>
              <w:pStyle w:val="Tabletext"/>
            </w:pPr>
            <w:r w:rsidRPr="00E572E4">
              <w:t>Ne contient aucune disposition sur les ressources de numérotage</w:t>
            </w:r>
            <w:r w:rsidR="00991F64" w:rsidRPr="00E572E4">
              <w:t>.</w:t>
            </w:r>
          </w:p>
        </w:tc>
        <w:tc>
          <w:tcPr>
            <w:tcW w:w="3680" w:type="dxa"/>
          </w:tcPr>
          <w:p w:rsidR="004A31B9" w:rsidRPr="00E572E4" w:rsidRDefault="004A31B9" w:rsidP="006C60C0">
            <w:pPr>
              <w:pStyle w:val="Tabletext"/>
            </w:pPr>
            <w:r w:rsidRPr="00E572E4">
              <w:t>Les Etats Membres ont été chargés de gérer l'utilisation des ressources de numérotage et de mettre en place de</w:t>
            </w:r>
            <w:r w:rsidR="00991F64" w:rsidRPr="00E572E4">
              <w:t>s</w:t>
            </w:r>
            <w:r w:rsidRPr="00E572E4">
              <w:t xml:space="preserve"> points d'échange de trafic régionaux, afin d'améliorer la qualité, la connectivité et la résilience</w:t>
            </w:r>
            <w:r w:rsidR="00991F64" w:rsidRPr="00E572E4">
              <w:t>.</w:t>
            </w:r>
          </w:p>
        </w:tc>
      </w:tr>
    </w:tbl>
    <w:p w:rsidR="004A31B9" w:rsidRPr="00E572E4" w:rsidRDefault="004A31B9" w:rsidP="005E4E00">
      <w:pPr>
        <w:spacing w:before="240"/>
      </w:pPr>
      <w:r w:rsidRPr="00E572E4">
        <w:t>Il ressort clairement du tableau ci-dessus que:</w:t>
      </w:r>
    </w:p>
    <w:p w:rsidR="004A31B9" w:rsidRPr="00E572E4" w:rsidRDefault="00866B08" w:rsidP="00866B08">
      <w:pPr>
        <w:pStyle w:val="enumlev1"/>
      </w:pPr>
      <w:r w:rsidRPr="00E572E4">
        <w:t>•</w:t>
      </w:r>
      <w:r w:rsidRPr="00E572E4">
        <w:tab/>
        <w:t>C</w:t>
      </w:r>
      <w:r w:rsidR="004A31B9" w:rsidRPr="00E572E4">
        <w:t xml:space="preserve">ertains des pouvoirs qu'exerçaient </w:t>
      </w:r>
      <w:r w:rsidR="00FB483A" w:rsidRPr="00E572E4">
        <w:t>précédemment</w:t>
      </w:r>
      <w:r w:rsidR="004A31B9" w:rsidRPr="00E572E4">
        <w:t xml:space="preserve"> les Etats Membres ont été atténués par le traité de 2012 et qu'une partie des responsabilités ont été confiées aux exploitations. Cela complique l'application du Règlement, dans la mesure où certaines exploitations ne doivent pas directement rendre compte aux Etats membres de l'UIT ou à l'UIT elle-même: tel est le ca</w:t>
      </w:r>
      <w:r w:rsidRPr="00E572E4">
        <w:t xml:space="preserve">s par exemple des entreprises </w:t>
      </w:r>
      <w:r w:rsidR="004A31B9" w:rsidRPr="00E572E4">
        <w:t xml:space="preserve">privées </w:t>
      </w:r>
      <w:r w:rsidRPr="00E572E4">
        <w:t>qui ne sont pas contrôlées par l</w:t>
      </w:r>
      <w:r w:rsidR="004A31B9" w:rsidRPr="00E572E4">
        <w:t>es E</w:t>
      </w:r>
      <w:r w:rsidRPr="00E572E4">
        <w:t>tats M</w:t>
      </w:r>
      <w:r w:rsidR="004A31B9" w:rsidRPr="00E572E4">
        <w:t>embres</w:t>
      </w:r>
      <w:r w:rsidRPr="00E572E4">
        <w:t>.</w:t>
      </w:r>
    </w:p>
    <w:p w:rsidR="004A31B9" w:rsidRPr="00E572E4" w:rsidRDefault="004A31B9" w:rsidP="00B57A2A">
      <w:pPr>
        <w:pStyle w:val="enumlev1"/>
      </w:pPr>
      <w:r w:rsidRPr="00E572E4">
        <w:t>•</w:t>
      </w:r>
      <w:r w:rsidRPr="00E572E4">
        <w:tab/>
      </w:r>
      <w:r w:rsidR="00866B08" w:rsidRPr="00E572E4">
        <w:t>L</w:t>
      </w:r>
      <w:r w:rsidRPr="00E572E4">
        <w:t xml:space="preserve">e RTI dans sa version de 1988 indiquait clairement les mesures devant être prises par les Etats Membres, </w:t>
      </w:r>
      <w:r w:rsidR="00B57A2A" w:rsidRPr="00E572E4">
        <w:t xml:space="preserve">alors que </w:t>
      </w:r>
      <w:r w:rsidRPr="00E572E4">
        <w:t xml:space="preserve">le RTI dans sa version de 2012 confie moins de responsabilités aux Etats Membres, puisque dans la plupart des articles, les obligations imposées aux Etats Membres sont précédées </w:t>
      </w:r>
      <w:r w:rsidR="00B57A2A" w:rsidRPr="00E572E4">
        <w:t>par les termes "</w:t>
      </w:r>
      <w:r w:rsidRPr="00E572E4">
        <w:t>s'efforce de</w:t>
      </w:r>
      <w:r w:rsidR="00B57A2A" w:rsidRPr="00E572E4">
        <w:t>".</w:t>
      </w:r>
      <w:r w:rsidRPr="00E572E4">
        <w:t xml:space="preserve"> </w:t>
      </w:r>
    </w:p>
    <w:p w:rsidR="004A31B9" w:rsidRPr="00E572E4" w:rsidRDefault="004A31B9" w:rsidP="004A31B9">
      <w:pPr>
        <w:pStyle w:val="enumlev1"/>
      </w:pPr>
      <w:r w:rsidRPr="00E572E4">
        <w:t>•</w:t>
      </w:r>
      <w:r w:rsidRPr="00E572E4">
        <w:tab/>
        <w:t>Les n</w:t>
      </w:r>
      <w:r w:rsidR="005E7B80" w:rsidRPr="00E572E4">
        <w:t>ouvelles dispositions relatives</w:t>
      </w:r>
      <w:r w:rsidRPr="00E572E4">
        <w:t xml:space="preserve">: </w:t>
      </w:r>
    </w:p>
    <w:p w:rsidR="004A31B9" w:rsidRPr="00E572E4" w:rsidRDefault="005E7B80" w:rsidP="004A31B9">
      <w:pPr>
        <w:pStyle w:val="enumlev2"/>
      </w:pPr>
      <w:r w:rsidRPr="00E572E4">
        <w:t>–</w:t>
      </w:r>
      <w:r w:rsidR="004A31B9" w:rsidRPr="00E572E4">
        <w:tab/>
        <w:t>à l'efficacité énergétique et aux déchets d'équipemen</w:t>
      </w:r>
      <w:r w:rsidR="00B57A2A" w:rsidRPr="00E572E4">
        <w:t>ts électriques et électroniques;</w:t>
      </w:r>
    </w:p>
    <w:p w:rsidR="004A31B9" w:rsidRPr="00E572E4" w:rsidRDefault="005E7B80" w:rsidP="004A31B9">
      <w:pPr>
        <w:pStyle w:val="enumlev2"/>
      </w:pPr>
      <w:r w:rsidRPr="00E572E4">
        <w:t>–</w:t>
      </w:r>
      <w:r w:rsidRPr="00E572E4">
        <w:tab/>
      </w:r>
      <w:r w:rsidR="004A31B9" w:rsidRPr="00E572E4">
        <w:t>à la sécurité et à la robustesse des réseaux</w:t>
      </w:r>
      <w:r w:rsidR="00B57A2A" w:rsidRPr="00E572E4">
        <w:t>;</w:t>
      </w:r>
    </w:p>
    <w:p w:rsidR="004A31B9" w:rsidRPr="00E572E4" w:rsidRDefault="005E7B80" w:rsidP="004A31B9">
      <w:pPr>
        <w:pStyle w:val="enumlev2"/>
      </w:pPr>
      <w:r w:rsidRPr="00E572E4">
        <w:t>–</w:t>
      </w:r>
      <w:r w:rsidRPr="00E572E4">
        <w:tab/>
      </w:r>
      <w:r w:rsidR="004A31B9" w:rsidRPr="00E572E4">
        <w:t>à l'accès des personnes handicapées</w:t>
      </w:r>
      <w:r w:rsidR="00B57A2A" w:rsidRPr="00E572E4">
        <w:t>;</w:t>
      </w:r>
    </w:p>
    <w:p w:rsidR="004A31B9" w:rsidRPr="00E572E4" w:rsidRDefault="005E7B80" w:rsidP="004A31B9">
      <w:pPr>
        <w:pStyle w:val="enumlev2"/>
      </w:pPr>
      <w:r w:rsidRPr="00E572E4">
        <w:t>–</w:t>
      </w:r>
      <w:r w:rsidRPr="00E572E4">
        <w:tab/>
      </w:r>
      <w:r w:rsidR="004A31B9" w:rsidRPr="00E572E4">
        <w:t>à la transmission de communications électroniques non sollicitées envoyées en masse et à l'itinérance</w:t>
      </w:r>
      <w:r w:rsidR="00B57A2A" w:rsidRPr="00E572E4">
        <w:t>;</w:t>
      </w:r>
    </w:p>
    <w:p w:rsidR="004A31B9" w:rsidRPr="00E572E4" w:rsidRDefault="005E7B80" w:rsidP="004A31B9">
      <w:pPr>
        <w:pStyle w:val="enumlev2"/>
      </w:pPr>
      <w:r w:rsidRPr="00E572E4">
        <w:t>–</w:t>
      </w:r>
      <w:r w:rsidRPr="00E572E4">
        <w:tab/>
      </w:r>
      <w:r w:rsidR="004A31B9" w:rsidRPr="00E572E4">
        <w:t>aux mesures propres à encourager la concurrence</w:t>
      </w:r>
      <w:r w:rsidR="00CE29A6" w:rsidRPr="00E572E4">
        <w:t>,</w:t>
      </w:r>
    </w:p>
    <w:p w:rsidR="004A31B9" w:rsidRPr="00E572E4" w:rsidRDefault="00CE29A6" w:rsidP="00B57A2A">
      <w:r w:rsidRPr="00E572E4">
        <w:t>c</w:t>
      </w:r>
      <w:r w:rsidR="004A31B9" w:rsidRPr="00E572E4">
        <w:t xml:space="preserve">onstituent à l'évidence des questions qui n'ont pas retenu l'attention en 1988, dans la mesure où elles ne posaient </w:t>
      </w:r>
      <w:r w:rsidR="00B57A2A" w:rsidRPr="00E572E4">
        <w:t xml:space="preserve">à l'époque </w:t>
      </w:r>
      <w:r w:rsidR="004A31B9" w:rsidRPr="00E572E4">
        <w:t xml:space="preserve">aucun problème, mais sont </w:t>
      </w:r>
      <w:r w:rsidR="00B57A2A" w:rsidRPr="00E572E4">
        <w:t>en revanche</w:t>
      </w:r>
      <w:r w:rsidR="004A31B9" w:rsidRPr="00E572E4">
        <w:t xml:space="preserve"> devenues tout à fait pertinentes et </w:t>
      </w:r>
      <w:r w:rsidR="00B57A2A" w:rsidRPr="00E572E4">
        <w:t xml:space="preserve">ont </w:t>
      </w:r>
      <w:r w:rsidR="004A31B9" w:rsidRPr="00E572E4">
        <w:t>pos</w:t>
      </w:r>
      <w:r w:rsidR="00B57A2A" w:rsidRPr="00E572E4">
        <w:t>é</w:t>
      </w:r>
      <w:r w:rsidR="004A31B9" w:rsidRPr="00E572E4">
        <w:t xml:space="preserve"> des problèmes en 2012.</w:t>
      </w:r>
    </w:p>
    <w:p w:rsidR="004A31B9" w:rsidRPr="00E572E4" w:rsidRDefault="004A31B9" w:rsidP="004A31B9">
      <w:pPr>
        <w:pStyle w:val="Heading1"/>
      </w:pPr>
      <w:r w:rsidRPr="00E572E4">
        <w:t>3</w:t>
      </w:r>
      <w:r w:rsidRPr="00E572E4">
        <w:tab/>
        <w:t xml:space="preserve">Pertinence du RTI </w:t>
      </w:r>
    </w:p>
    <w:p w:rsidR="004A31B9" w:rsidRPr="00E572E4" w:rsidRDefault="004A31B9" w:rsidP="00B57A2A">
      <w:r w:rsidRPr="00E572E4">
        <w:t>Il ressort d'un examen des questions ex</w:t>
      </w:r>
      <w:r w:rsidR="00B57A2A" w:rsidRPr="00E572E4">
        <w:t>aminées dans les deux traités ainsi que</w:t>
      </w:r>
      <w:r w:rsidRPr="00E572E4">
        <w:t xml:space="preserve"> des différences mises en évidence dans le tableau ci-dessus que le RTI demeure pertinent, tant dans sa version originale que dans sa version révisée, et qu'il restera pertinent, même s'il apparaît </w:t>
      </w:r>
      <w:r w:rsidR="00B57A2A" w:rsidRPr="00E572E4">
        <w:t>nécessaire de lui apporter</w:t>
      </w:r>
      <w:r w:rsidRPr="00E572E4">
        <w:t xml:space="preserve"> de nouvelles modifications. Cette pertinence est attestée par les éléments suivants:</w:t>
      </w:r>
    </w:p>
    <w:p w:rsidR="004A31B9" w:rsidRPr="00E572E4" w:rsidRDefault="004A31B9" w:rsidP="00B57A2A">
      <w:pPr>
        <w:pStyle w:val="enumlev1"/>
        <w:keepNext/>
        <w:keepLines/>
      </w:pPr>
      <w:r w:rsidRPr="00E572E4">
        <w:lastRenderedPageBreak/>
        <w:t>•</w:t>
      </w:r>
      <w:r w:rsidRPr="00E572E4">
        <w:tab/>
      </w:r>
      <w:r w:rsidR="00B57A2A" w:rsidRPr="00E572E4">
        <w:t>L</w:t>
      </w:r>
      <w:r w:rsidRPr="00E572E4">
        <w:t>e principal objectif du RTI, qui est d'établir des principes relatifs à la fourniture et à l'exploitation de</w:t>
      </w:r>
      <w:r w:rsidR="00B57A2A" w:rsidRPr="00E572E4">
        <w:t>s</w:t>
      </w:r>
      <w:r w:rsidRPr="00E572E4">
        <w:t xml:space="preserve"> services internationaux de télécommunication et de favoriser l'amélioration de leur exploitation, en permettant le développement harmonieux des moyens utilisés pour les télécommunications à l'échelle mondiale conformément à l'objet de l'</w:t>
      </w:r>
      <w:r w:rsidR="00B57A2A" w:rsidRPr="00E572E4">
        <w:t>U</w:t>
      </w:r>
      <w:r w:rsidRPr="00E572E4">
        <w:t xml:space="preserve">nion, </w:t>
      </w:r>
      <w:r w:rsidR="00B57A2A" w:rsidRPr="00E572E4">
        <w:t>demeure</w:t>
      </w:r>
      <w:r w:rsidRPr="00E572E4">
        <w:t xml:space="preserve"> valable. Supprimer le RTI reviendrait à rejeter des outils fon</w:t>
      </w:r>
      <w:r w:rsidR="00B57A2A" w:rsidRPr="00E572E4">
        <w:t>damentaux pour la mise en oeuvre.</w:t>
      </w:r>
    </w:p>
    <w:p w:rsidR="004A31B9" w:rsidRPr="00E572E4" w:rsidRDefault="004A31B9" w:rsidP="00B57A2A">
      <w:pPr>
        <w:pStyle w:val="enumlev1"/>
      </w:pPr>
      <w:r w:rsidRPr="00E572E4">
        <w:t>•</w:t>
      </w:r>
      <w:r w:rsidRPr="00E572E4">
        <w:tab/>
        <w:t>Le RTI dans sa version de 2012 a élargi le champ d'application du Règlement pour tenir compte du fait que les entités publiques ne sont plus les seules à fournir des services</w:t>
      </w:r>
      <w:r w:rsidR="00B57A2A" w:rsidRPr="00E572E4">
        <w:t xml:space="preserve"> internationaux</w:t>
      </w:r>
      <w:r w:rsidRPr="00E572E4">
        <w:t xml:space="preserve"> de télécommunication, mais que le secteur privé est aujourd'hui très actif sur le marché de</w:t>
      </w:r>
      <w:r w:rsidR="00B57A2A" w:rsidRPr="00E572E4">
        <w:t xml:space="preserve"> ce</w:t>
      </w:r>
      <w:r w:rsidRPr="00E572E4">
        <w:t>s services. C'est la raison pour laquelle il est fait mention de ces entités en tant qu'exploitations autorisées reconnues par les E</w:t>
      </w:r>
      <w:r w:rsidR="00B57A2A" w:rsidRPr="00E572E4">
        <w:t>tats Membres.</w:t>
      </w:r>
    </w:p>
    <w:p w:rsidR="004A31B9" w:rsidRPr="00E572E4" w:rsidRDefault="00B57A2A" w:rsidP="004A31B9">
      <w:pPr>
        <w:pStyle w:val="enumlev1"/>
      </w:pPr>
      <w:r w:rsidRPr="00E572E4">
        <w:t>•</w:t>
      </w:r>
      <w:r w:rsidRPr="00E572E4">
        <w:tab/>
        <w:t>O</w:t>
      </w:r>
      <w:r w:rsidR="004A31B9" w:rsidRPr="00E572E4">
        <w:t>n a inséré dans le RTI dans sa version de 2012 des dispositions relatives à la gestion et à l'utilisation des ressources de numérotage ainsi qu'à la mise en place de points d'échange de trafic de télécommunication régionaux, afin d'améliorer la qualité, la connectivité et la résilience des réseaux, de favoriser la concurrence et de réduire les coûts des services internationaux de télécommunication</w:t>
      </w:r>
      <w:r w:rsidRPr="00E572E4">
        <w:t>.</w:t>
      </w:r>
    </w:p>
    <w:p w:rsidR="004A31B9" w:rsidRPr="00E572E4" w:rsidRDefault="00B57A2A" w:rsidP="00B57A2A">
      <w:pPr>
        <w:pStyle w:val="enumlev1"/>
      </w:pPr>
      <w:r w:rsidRPr="00E572E4">
        <w:tab/>
      </w:r>
      <w:r w:rsidR="004A31B9" w:rsidRPr="00E572E4">
        <w:t xml:space="preserve">Il a été procédé à </w:t>
      </w:r>
      <w:r w:rsidRPr="00E572E4">
        <w:t>ces</w:t>
      </w:r>
      <w:r w:rsidR="004A31B9" w:rsidRPr="00E572E4">
        <w:t xml:space="preserve"> adjonction</w:t>
      </w:r>
      <w:r w:rsidRPr="00E572E4">
        <w:t>s</w:t>
      </w:r>
      <w:r w:rsidR="004A31B9" w:rsidRPr="00E572E4">
        <w:t xml:space="preserve"> pour combler les lacunes qui existaient en matière de gestion et d'utilisation des ressources de numérotage et pour améliorer l'efficacité des réseaux de télécommunication internationaux.</w:t>
      </w:r>
    </w:p>
    <w:p w:rsidR="004A31B9" w:rsidRPr="00E572E4" w:rsidRDefault="004A31B9" w:rsidP="004A31B9">
      <w:pPr>
        <w:pStyle w:val="enumlev1"/>
      </w:pPr>
      <w:r w:rsidRPr="00E572E4">
        <w:t>•</w:t>
      </w:r>
      <w:r w:rsidRPr="00E572E4">
        <w:tab/>
        <w:t>Les questions relatives aux rejets et à l'élimination des déchets d'équipements électriques et électroniques, à la sécurité et à l'itinérance ne sont pas des questions relevant de la compétence nationale, mais bien des questions internationales, qui appellent des mesures concertées. La Conférence mondiale de développement d</w:t>
      </w:r>
      <w:r w:rsidR="008733BA">
        <w:t>es télécommunications (CMDT) de </w:t>
      </w:r>
      <w:r w:rsidRPr="00E572E4">
        <w:t>2017 a elle-même reconnu que les questions de sécurité ne pouvaient être résolues par les Etats Membres pris individuellement</w:t>
      </w:r>
      <w:r w:rsidR="004F4881" w:rsidRPr="00E572E4">
        <w:t>.</w:t>
      </w:r>
      <w:r w:rsidRPr="00E572E4">
        <w:t xml:space="preserve"> En conséquence, si l'</w:t>
      </w:r>
      <w:r w:rsidR="00B57A2A" w:rsidRPr="00E572E4">
        <w:t>A</w:t>
      </w:r>
      <w:r w:rsidRPr="00E572E4">
        <w:t xml:space="preserve">rticle 6 relatif à la sécurité et à la robustesse des réseaux a été ajouté dans le RTI dans sa version de 2012, c'est pour tenir compte du rôle prépondérant que jouent aujourd'hui les télécommunications internationales dans notre vie quotidienne et du caractère de plus en plus mondialisé et transnational des services internationaux de télécommunication. Une démarche collective et fondée sur la collaboration est donc nécessaire pour assurer la sécurité et la robustesse des réseaux internationaux de télécommunication. </w:t>
      </w:r>
    </w:p>
    <w:p w:rsidR="004A31B9" w:rsidRPr="00E572E4" w:rsidRDefault="004A31B9" w:rsidP="00B57A2A">
      <w:pPr>
        <w:pStyle w:val="enumlev1"/>
      </w:pPr>
      <w:r w:rsidRPr="00E572E4">
        <w:t>•</w:t>
      </w:r>
      <w:r w:rsidRPr="00E572E4">
        <w:tab/>
        <w:t>Dans l'</w:t>
      </w:r>
      <w:r w:rsidR="00B57A2A" w:rsidRPr="00E572E4">
        <w:t>A</w:t>
      </w:r>
      <w:r w:rsidRPr="00E572E4">
        <w:t xml:space="preserve">rticle 8 du RTI dans sa version de 2012, qui </w:t>
      </w:r>
      <w:r w:rsidR="00B57A2A" w:rsidRPr="00E572E4">
        <w:t>constitue</w:t>
      </w:r>
      <w:r w:rsidRPr="00E572E4">
        <w:t xml:space="preserve"> une amélioration de l'</w:t>
      </w:r>
      <w:r w:rsidR="00B57A2A" w:rsidRPr="00E572E4">
        <w:t>A</w:t>
      </w:r>
      <w:r w:rsidRPr="00E572E4">
        <w:t xml:space="preserve">rticle 6 </w:t>
      </w:r>
      <w:r w:rsidR="00B57A2A" w:rsidRPr="00E572E4">
        <w:t xml:space="preserve">relatif à la taxation et à la comptabilité </w:t>
      </w:r>
      <w:r w:rsidRPr="00E572E4">
        <w:t>du RTI dans sa version de 1988, il est reconnu que les services internationaux de télécommunication peuvent être fournis dans le cadre d'accords commerciaux ou en vertu des principes relatifs aux taxes de répartition établis conformément à la réglementation nationale</w:t>
      </w:r>
      <w:r w:rsidR="004F4881" w:rsidRPr="00E572E4">
        <w:t>.</w:t>
      </w:r>
      <w:r w:rsidRPr="00E572E4">
        <w:t xml:space="preserve"> Cet article est très important, </w:t>
      </w:r>
      <w:r w:rsidR="00B57A2A" w:rsidRPr="00E572E4">
        <w:t>en ce sens qu'</w:t>
      </w:r>
      <w:r w:rsidRPr="00E572E4">
        <w:t>il encourage également les Etats Membres à stimuler les investissements dans les réseaux internationaux de télécommunication pour promouvoir la concurrence</w:t>
      </w:r>
      <w:r w:rsidR="004F4881" w:rsidRPr="00E572E4">
        <w:t>.</w:t>
      </w:r>
      <w:r w:rsidRPr="00E572E4">
        <w:t xml:space="preserve"> Cette approche est satisfaisante, étant donné que la concurrence dans la fourniture de services internationaux de télécommunication n'a pas été très efficace, en particulier en ce qui concerne la fourniture de la connectivité Internet internationale. Cet article traite également du problème de la tarification discriminatoire, ce qui constitue une évolution positive dans les cas où la concurrence n'est pas efficace</w:t>
      </w:r>
      <w:r w:rsidR="004F4881" w:rsidRPr="00E572E4">
        <w:t>.</w:t>
      </w:r>
    </w:p>
    <w:p w:rsidR="004A31B9" w:rsidRPr="00E572E4" w:rsidRDefault="004A31B9" w:rsidP="00CE29A6">
      <w:pPr>
        <w:pStyle w:val="enumlev1"/>
        <w:keepNext/>
        <w:keepLines/>
      </w:pPr>
      <w:r w:rsidRPr="00E572E4">
        <w:lastRenderedPageBreak/>
        <w:t>•</w:t>
      </w:r>
      <w:r w:rsidRPr="00E572E4">
        <w:tab/>
        <w:t>L'imposition demeure la prérogative des Etats Membres</w:t>
      </w:r>
      <w:r w:rsidR="00CE29A6" w:rsidRPr="00E572E4">
        <w:t>,</w:t>
      </w:r>
      <w:r w:rsidRPr="00E572E4">
        <w:t xml:space="preserve"> et étant donné que les exploitations étrangères sont souvent présentes dans d'autres pays, il est nécessaire de disposer d'un certain nombre de règles de base, règle</w:t>
      </w:r>
      <w:r w:rsidR="00CE29A6" w:rsidRPr="00E572E4">
        <w:t>s</w:t>
      </w:r>
      <w:r w:rsidRPr="00E572E4">
        <w:t xml:space="preserve"> qui sont précisément </w:t>
      </w:r>
      <w:r w:rsidR="00CE29A6" w:rsidRPr="00E572E4">
        <w:t>énoncées</w:t>
      </w:r>
      <w:r w:rsidRPr="00E572E4">
        <w:t xml:space="preserve"> dans le RTI. </w:t>
      </w:r>
    </w:p>
    <w:p w:rsidR="004A31B9" w:rsidRPr="00E572E4" w:rsidRDefault="004A31B9" w:rsidP="004A31B9">
      <w:pPr>
        <w:pStyle w:val="enumlev1"/>
      </w:pPr>
      <w:r w:rsidRPr="00E572E4">
        <w:t>•</w:t>
      </w:r>
      <w:r w:rsidRPr="00E572E4">
        <w:tab/>
        <w:t>L'applicabilité du RTI dans sa version de 2012 repose sur le fait que le Règlement est neutre du point de vue des technologies et des services, qu'il reconnaît toujours le droit souverain des Etats Membres de réglementer leurs télécommunications, tout en permettant aux exploitations de conclure des accords commerciaux et en reconnaissant la fourniture de services internationaux de télécommunication conformément aux conditions du marché, domaine dans lequel les entreprises privé</w:t>
      </w:r>
      <w:r w:rsidR="00CE29A6" w:rsidRPr="00E572E4">
        <w:t>es sont plus actives que jamais.</w:t>
      </w:r>
    </w:p>
    <w:p w:rsidR="004A31B9" w:rsidRPr="00E572E4" w:rsidRDefault="004A31B9" w:rsidP="00CE29A6">
      <w:r w:rsidRPr="00E572E4">
        <w:t xml:space="preserve">Il pourrait certes être indiqué de modifier encore le RTI pour traiter ces questions, mais le RTI constitue actuellement un cadre général permettant de prendre ces questions en considération. Compte tenu des points examinés ci-dessus, qui ne </w:t>
      </w:r>
      <w:r w:rsidR="00CE29A6" w:rsidRPr="00E572E4">
        <w:t>sont</w:t>
      </w:r>
      <w:r w:rsidRPr="00E572E4">
        <w:t xml:space="preserve"> que quelques exemples parmi d'autre</w:t>
      </w:r>
      <w:r w:rsidR="00A27D3C">
        <w:t>s, le </w:t>
      </w:r>
      <w:r w:rsidRPr="00E572E4">
        <w:t>RTI conserve toute sa pertinence s'agissant des télécommunications</w:t>
      </w:r>
      <w:r w:rsidR="00CE29A6" w:rsidRPr="00E572E4">
        <w:t>.</w:t>
      </w:r>
    </w:p>
    <w:p w:rsidR="004A31B9" w:rsidRPr="00E572E4" w:rsidRDefault="004A31B9" w:rsidP="004A31B9">
      <w:pPr>
        <w:pStyle w:val="Heading1"/>
      </w:pPr>
      <w:r w:rsidRPr="00E572E4">
        <w:t>4</w:t>
      </w:r>
      <w:r w:rsidRPr="00E572E4">
        <w:tab/>
        <w:t xml:space="preserve">Existe-t-il ou non des incompatibilités entre les </w:t>
      </w:r>
      <w:r w:rsidR="00CE29A6" w:rsidRPr="00E572E4">
        <w:t>deux traités</w:t>
      </w:r>
      <w:r w:rsidRPr="00E572E4">
        <w:t>?</w:t>
      </w:r>
    </w:p>
    <w:p w:rsidR="004A31B9" w:rsidRPr="00E572E4" w:rsidRDefault="004A31B9" w:rsidP="008733BA">
      <w:r w:rsidRPr="00E572E4">
        <w:t>Il ressort d'un examen des différences qui existent actuellement entre les deux traités que les modifications apportées au RTI en 2012 visaient simplement à moderniser l'ancien traité et à prendre en compte des problèmes qui préoccupent aujourd'hui les Etats Membres et qui ne se posaient pas à l'époque où l'ancien traité a été élaboré. Les nouvelles dispositions avaient pour but de développer et de compléter les dispositions qui étaient en vigueur à l'époque</w:t>
      </w:r>
      <w:r w:rsidR="004F4881" w:rsidRPr="00E572E4">
        <w:t>.</w:t>
      </w:r>
      <w:r w:rsidRPr="00E572E4">
        <w:t xml:space="preserve"> Le Zimbabwe, ainsi que d'</w:t>
      </w:r>
      <w:r w:rsidR="00CE29A6" w:rsidRPr="00E572E4">
        <w:t>autres pays,</w:t>
      </w:r>
      <w:r w:rsidRPr="00E572E4">
        <w:t xml:space="preserve"> n'ont constaté aucune incompatibilité s'agissant de l'application des deux traités</w:t>
      </w:r>
      <w:r w:rsidR="004F4881" w:rsidRPr="00E572E4">
        <w:t>.</w:t>
      </w:r>
      <w:r w:rsidRPr="00E572E4">
        <w:t xml:space="preserve"> Etant donné que les deux traités sont complémentaires, il semble logique que les débats qui seront engagés portent sur ce qu'il est acceptable de faire figurer dans un texte issu </w:t>
      </w:r>
      <w:r w:rsidR="00CE29A6" w:rsidRPr="00E572E4">
        <w:t xml:space="preserve">de la fusion </w:t>
      </w:r>
      <w:r w:rsidRPr="00E572E4">
        <w:t xml:space="preserve">des deux traités, </w:t>
      </w:r>
      <w:r w:rsidR="008733BA">
        <w:t>afin</w:t>
      </w:r>
      <w:r w:rsidRPr="00E572E4">
        <w:t xml:space="preserve"> de pouvoir les regrouper</w:t>
      </w:r>
      <w:r w:rsidR="004F4881" w:rsidRPr="00E572E4">
        <w:t>.</w:t>
      </w:r>
      <w:r w:rsidRPr="00E572E4">
        <w:t xml:space="preserve"> Cela devrait permettre à ceux qui n'ont pas signé le RTI dans sa version de 2012 de s</w:t>
      </w:r>
      <w:r w:rsidR="00CE29A6" w:rsidRPr="00E572E4">
        <w:t>igner la version ainsi modifiée.</w:t>
      </w:r>
    </w:p>
    <w:p w:rsidR="004A31B9" w:rsidRPr="00E572E4" w:rsidRDefault="004A31B9" w:rsidP="008F661D">
      <w:pPr>
        <w:pStyle w:val="Heading1"/>
      </w:pPr>
      <w:r w:rsidRPr="00E572E4">
        <w:t>5</w:t>
      </w:r>
      <w:r w:rsidRPr="00E572E4">
        <w:tab/>
        <w:t>Obstacles à l'application du RTI dans sa ver</w:t>
      </w:r>
      <w:r w:rsidR="008F661D" w:rsidRPr="00E572E4">
        <w:t>sion de 2012 et des Résolutions</w:t>
      </w:r>
    </w:p>
    <w:p w:rsidR="004A31B9" w:rsidRPr="00E572E4" w:rsidRDefault="004A31B9" w:rsidP="004A31B9">
      <w:r w:rsidRPr="00E572E4">
        <w:t>Les princip</w:t>
      </w:r>
      <w:r w:rsidR="00CE29A6" w:rsidRPr="00E572E4">
        <w:t>aux obstacles sont les suivants</w:t>
      </w:r>
      <w:r w:rsidRPr="00E572E4">
        <w:t>:</w:t>
      </w:r>
    </w:p>
    <w:p w:rsidR="004A31B9" w:rsidRPr="00E572E4" w:rsidRDefault="004A31B9" w:rsidP="008F661D">
      <w:pPr>
        <w:pStyle w:val="enumlev1"/>
      </w:pPr>
      <w:r w:rsidRPr="00E572E4">
        <w:t>•</w:t>
      </w:r>
      <w:r w:rsidRPr="00E572E4">
        <w:tab/>
        <w:t>Moins de cent (100) Etats Membres de l'UIT ont signé ou ratifié le RTI dans sa version de</w:t>
      </w:r>
      <w:r w:rsidR="008F661D" w:rsidRPr="00E572E4">
        <w:t> </w:t>
      </w:r>
      <w:r w:rsidRPr="00E572E4">
        <w:t xml:space="preserve">2012, ce qui signifie que les autres membres ne sont pas liés par le RTI révisé dans la mesure où </w:t>
      </w:r>
      <w:r w:rsidR="008F661D" w:rsidRPr="00E572E4">
        <w:t>celui</w:t>
      </w:r>
      <w:r w:rsidR="008F661D" w:rsidRPr="00E572E4">
        <w:noBreakHyphen/>
        <w:t>ci</w:t>
      </w:r>
      <w:r w:rsidRPr="00E572E4">
        <w:t xml:space="preserve"> déroge au traité de 1988</w:t>
      </w:r>
      <w:r w:rsidR="00CE29A6" w:rsidRPr="00E572E4">
        <w:t>.</w:t>
      </w:r>
    </w:p>
    <w:p w:rsidR="004A31B9" w:rsidRPr="00E572E4" w:rsidRDefault="004A31B9" w:rsidP="008F661D">
      <w:pPr>
        <w:pStyle w:val="enumlev1"/>
      </w:pPr>
      <w:r w:rsidRPr="00E572E4">
        <w:t>•</w:t>
      </w:r>
      <w:r w:rsidRPr="00E572E4">
        <w:tab/>
      </w:r>
      <w:r w:rsidR="00CE29A6" w:rsidRPr="00E572E4">
        <w:t>L</w:t>
      </w:r>
      <w:r w:rsidRPr="00E572E4">
        <w:t xml:space="preserve">es questions relatives à la cybersécurité sont très controversées parmi les Etats Membres et leur inclusion et leur formulation dans le RTI continueront de faire obstacle à la mise en </w:t>
      </w:r>
      <w:r w:rsidR="00B57A2A" w:rsidRPr="00E572E4">
        <w:t>oe</w:t>
      </w:r>
      <w:r w:rsidRPr="00E572E4">
        <w:t xml:space="preserve">uvre effective du traité de 2012, </w:t>
      </w:r>
      <w:r w:rsidR="008F661D" w:rsidRPr="00E572E4">
        <w:t>à moins qu'</w:t>
      </w:r>
      <w:r w:rsidRPr="00E572E4">
        <w:t xml:space="preserve">un compromis </w:t>
      </w:r>
      <w:r w:rsidR="008F661D" w:rsidRPr="00E572E4">
        <w:t>ne soit</w:t>
      </w:r>
      <w:r w:rsidRPr="00E572E4">
        <w:t xml:space="preserve"> trouvé entre pays développés et pays en développement</w:t>
      </w:r>
      <w:r w:rsidR="00CE29A6" w:rsidRPr="00E572E4">
        <w:t>.</w:t>
      </w:r>
    </w:p>
    <w:p w:rsidR="004A31B9" w:rsidRPr="00E572E4" w:rsidRDefault="004A31B9" w:rsidP="00CE29A6">
      <w:pPr>
        <w:pStyle w:val="enumlev1"/>
      </w:pPr>
      <w:r w:rsidRPr="00E572E4">
        <w:t>•</w:t>
      </w:r>
      <w:r w:rsidRPr="00E572E4">
        <w:tab/>
        <w:t>Un grand nombre d'Etats Membres se heurte</w:t>
      </w:r>
      <w:r w:rsidR="008F661D" w:rsidRPr="00E572E4">
        <w:t>nt</w:t>
      </w:r>
      <w:r w:rsidRPr="00E572E4">
        <w:t xml:space="preserve"> à des problèmes relatifs à l'application des nouveaux services </w:t>
      </w:r>
      <w:r w:rsidR="00CE29A6" w:rsidRPr="00E572E4">
        <w:t>"over-the-</w:t>
      </w:r>
      <w:r w:rsidRPr="00E572E4">
        <w:t>top</w:t>
      </w:r>
      <w:r w:rsidR="00CE29A6" w:rsidRPr="00E572E4">
        <w:t>"</w:t>
      </w:r>
      <w:r w:rsidRPr="00E572E4">
        <w:t>, qui sont par nature transfrontières et ignorent les réglementations sous leur forme actuelle, aussi légitime</w:t>
      </w:r>
      <w:r w:rsidR="008F661D" w:rsidRPr="00E572E4">
        <w:t>s</w:t>
      </w:r>
      <w:r w:rsidRPr="00E572E4">
        <w:t xml:space="preserve"> soient-elles, et attendent des services concernés qu'ils soient d'une façon ou d'une autre traités dans le RTI. Or, il s'agit précisément des Etats Membres qui considèrent que ces services devraient obéir à la seule loi du marché</w:t>
      </w:r>
      <w:r w:rsidR="004F4881" w:rsidRPr="00E572E4">
        <w:t>.</w:t>
      </w:r>
      <w:r w:rsidRPr="00E572E4">
        <w:t xml:space="preserve"> Si aucun consensus n'est trouvé sur ces questions, il sera difficile de se mettre d'accord sur la manière de les traiter dans le RTI dans sa version de 2012</w:t>
      </w:r>
      <w:r w:rsidR="00CE29A6" w:rsidRPr="00E572E4">
        <w:t>.</w:t>
      </w:r>
    </w:p>
    <w:p w:rsidR="004A31B9" w:rsidRPr="00E572E4" w:rsidRDefault="004A31B9" w:rsidP="004A31B9">
      <w:pPr>
        <w:pStyle w:val="Heading1"/>
      </w:pPr>
      <w:r w:rsidRPr="00E572E4">
        <w:lastRenderedPageBreak/>
        <w:t>6</w:t>
      </w:r>
      <w:r w:rsidRPr="00E572E4">
        <w:tab/>
        <w:t>Conclusion</w:t>
      </w:r>
    </w:p>
    <w:p w:rsidR="004A31B9" w:rsidRPr="00E572E4" w:rsidRDefault="004A31B9" w:rsidP="00DB6CB2">
      <w:r w:rsidRPr="00E572E4">
        <w:t>En</w:t>
      </w:r>
      <w:r w:rsidR="008F661D" w:rsidRPr="00E572E4">
        <w:t xml:space="preserve"> conclusion</w:t>
      </w:r>
      <w:r w:rsidRPr="00E572E4">
        <w:t>, les deux traités sont complémentaires, en ce sen</w:t>
      </w:r>
      <w:r w:rsidR="008733BA">
        <w:t>s que le RTI dans sa version de </w:t>
      </w:r>
      <w:r w:rsidRPr="00E572E4">
        <w:t xml:space="preserve">2012 vient compléter le RTI dans sa version de 1988. Les questions sur lesquelles portent </w:t>
      </w:r>
      <w:r w:rsidR="00DB6CB2" w:rsidRPr="00E572E4">
        <w:t xml:space="preserve">ces traités </w:t>
      </w:r>
      <w:r w:rsidRPr="00E572E4">
        <w:t>demeurent d'actualité, même s</w:t>
      </w:r>
      <w:r w:rsidR="00DB6CB2" w:rsidRPr="00E572E4">
        <w:t>'il subsiste</w:t>
      </w:r>
      <w:r w:rsidRPr="00E572E4">
        <w:t xml:space="preserve"> des différences sur le plan de la terminologie et </w:t>
      </w:r>
      <w:r w:rsidR="00DB6CB2" w:rsidRPr="00E572E4">
        <w:t>dans certaines</w:t>
      </w:r>
      <w:r w:rsidRPr="00E572E4">
        <w:t xml:space="preserve"> organisation</w:t>
      </w:r>
      <w:r w:rsidR="00DB6CB2" w:rsidRPr="00E572E4">
        <w:t>s</w:t>
      </w:r>
      <w:r w:rsidRPr="00E572E4">
        <w:t xml:space="preserve"> institutionnelle</w:t>
      </w:r>
      <w:r w:rsidR="00DB6CB2" w:rsidRPr="00E572E4">
        <w:t>s</w:t>
      </w:r>
      <w:r w:rsidRPr="00E572E4">
        <w:t>. Les nouvelles questions traitées dans le RTI dans sa version de 2012 constituent de vrais problèmes auxquels le monde est aujourd'hui confronté et qui doivent être pris en compte dans un cadre réglementaire international</w:t>
      </w:r>
      <w:r w:rsidR="004F4881" w:rsidRPr="00E572E4">
        <w:t>.</w:t>
      </w:r>
      <w:r w:rsidRPr="00E572E4">
        <w:t xml:space="preserve"> Il est important d'avoir l'adhésion de chacun pour trouver une solution </w:t>
      </w:r>
      <w:r w:rsidR="00DB6CB2" w:rsidRPr="00E572E4">
        <w:t>pérenne</w:t>
      </w:r>
      <w:r w:rsidRPr="00E572E4">
        <w:t xml:space="preserve"> au problème du RTI</w:t>
      </w:r>
      <w:r w:rsidR="004F4881" w:rsidRPr="00E572E4">
        <w:t>.</w:t>
      </w:r>
      <w:r w:rsidRPr="00E572E4">
        <w:t xml:space="preserve"> En c</w:t>
      </w:r>
      <w:r w:rsidR="004F4881" w:rsidRPr="00E572E4">
        <w:t>onséquence, il est recommandé:</w:t>
      </w:r>
    </w:p>
    <w:p w:rsidR="004A31B9" w:rsidRPr="00E572E4" w:rsidRDefault="00DB6CB2" w:rsidP="00DB6CB2">
      <w:pPr>
        <w:pStyle w:val="enumlev1"/>
      </w:pPr>
      <w:r w:rsidRPr="00E572E4">
        <w:t>a)</w:t>
      </w:r>
      <w:r w:rsidRPr="00E572E4">
        <w:tab/>
        <w:t>d</w:t>
      </w:r>
      <w:r w:rsidR="004A31B9" w:rsidRPr="00E572E4">
        <w:t xml:space="preserve">e mettre en place des mesures en vue </w:t>
      </w:r>
      <w:r w:rsidRPr="00E572E4">
        <w:t>d'examiner les</w:t>
      </w:r>
      <w:r w:rsidR="004A31B9" w:rsidRPr="00E572E4">
        <w:t xml:space="preserve"> questions litigieuses relatives à la sécurité et aux nouvelles technologies, afin de trouver un moyen permettant d'en tenir dûment compte dans le </w:t>
      </w:r>
      <w:r w:rsidR="008F661D" w:rsidRPr="00E572E4">
        <w:t>RTI</w:t>
      </w:r>
      <w:r w:rsidRPr="00E572E4">
        <w:t>;</w:t>
      </w:r>
    </w:p>
    <w:p w:rsidR="004A31B9" w:rsidRPr="00E572E4" w:rsidRDefault="00DB6CB2" w:rsidP="004A31B9">
      <w:pPr>
        <w:pStyle w:val="enumlev1"/>
      </w:pPr>
      <w:r w:rsidRPr="00E572E4">
        <w:t>b)</w:t>
      </w:r>
      <w:r w:rsidRPr="00E572E4">
        <w:tab/>
        <w:t>d</w:t>
      </w:r>
      <w:r w:rsidR="004A31B9" w:rsidRPr="00E572E4">
        <w:t>e mener des consultations appropriées pour obtenir l'adhésion de la majorité des Etats Membres en ce qui concerne l'examen du RTI</w:t>
      </w:r>
      <w:r w:rsidRPr="00E572E4">
        <w:t>;</w:t>
      </w:r>
    </w:p>
    <w:p w:rsidR="004A31B9" w:rsidRPr="00E572E4" w:rsidRDefault="004A31B9" w:rsidP="004A31B9">
      <w:pPr>
        <w:pStyle w:val="enumlev1"/>
      </w:pPr>
      <w:r w:rsidRPr="00E572E4">
        <w:t>c)</w:t>
      </w:r>
      <w:r w:rsidRPr="00E572E4">
        <w:tab/>
        <w:t>de procéder, une fois qu'un consensus aura été trouvé, à l'examen du RTI</w:t>
      </w:r>
      <w:r w:rsidR="00DB6CB2" w:rsidRPr="00E572E4">
        <w:t>;</w:t>
      </w:r>
    </w:p>
    <w:p w:rsidR="00201533" w:rsidRPr="00E572E4" w:rsidRDefault="00DB6CB2" w:rsidP="008733BA">
      <w:pPr>
        <w:pStyle w:val="enumlev1"/>
      </w:pPr>
      <w:r w:rsidRPr="00E572E4">
        <w:t>d)</w:t>
      </w:r>
      <w:r w:rsidRPr="00E572E4">
        <w:tab/>
        <w:t>d</w:t>
      </w:r>
      <w:r w:rsidR="004A31B9" w:rsidRPr="00E572E4">
        <w:t xml:space="preserve">e n'envisager </w:t>
      </w:r>
      <w:r w:rsidRPr="00E572E4">
        <w:t>d'examiner une proposition visant à tenir une autre C</w:t>
      </w:r>
      <w:r w:rsidR="004A31B9" w:rsidRPr="00E572E4">
        <w:t>onférence mondiale des télé</w:t>
      </w:r>
      <w:r w:rsidRPr="00E572E4">
        <w:t>communications internationales</w:t>
      </w:r>
      <w:r w:rsidR="004A31B9" w:rsidRPr="00E572E4">
        <w:t xml:space="preserve"> que lorsqu'il sera évident qu'un consensus peut être trouvé sur les questions litigieuses, de façon à éviter tout désaccord.</w:t>
      </w:r>
    </w:p>
    <w:p w:rsidR="004A31B9" w:rsidRPr="00E572E4" w:rsidRDefault="004A31B9" w:rsidP="0032202E">
      <w:pPr>
        <w:pStyle w:val="Reasons"/>
      </w:pPr>
    </w:p>
    <w:p w:rsidR="004A31B9" w:rsidRPr="00E572E4" w:rsidRDefault="004A31B9" w:rsidP="008733BA">
      <w:pPr>
        <w:jc w:val="center"/>
      </w:pPr>
      <w:r w:rsidRPr="00E572E4">
        <w:t>______________</w:t>
      </w:r>
    </w:p>
    <w:sectPr w:rsidR="004A31B9" w:rsidRPr="00E572E4" w:rsidSect="005C3890">
      <w:headerReference w:type="even" r:id="rId8"/>
      <w:headerReference w:type="default" r:id="rId9"/>
      <w:footerReference w:type="even" r:id="rId10"/>
      <w:footerReference w:type="default" r:id="rId11"/>
      <w:footerReference w:type="first" r:id="rId12"/>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47D" w:rsidRDefault="006E747D">
      <w:r>
        <w:separator/>
      </w:r>
    </w:p>
  </w:endnote>
  <w:endnote w:type="continuationSeparator" w:id="0">
    <w:p w:rsidR="006E747D" w:rsidRDefault="006E7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474A8E" w:rsidRDefault="001A6508">
    <w:pPr>
      <w:pStyle w:val="Footer"/>
      <w:rPr>
        <w:lang w:val="en-US"/>
      </w:rPr>
    </w:pPr>
    <w:r>
      <w:fldChar w:fldCharType="begin"/>
    </w:r>
    <w:r w:rsidRPr="00474A8E">
      <w:rPr>
        <w:lang w:val="en-US"/>
      </w:rPr>
      <w:instrText xml:space="preserve"> FILENAME \p \* MERGEFORMAT </w:instrText>
    </w:r>
    <w:r>
      <w:fldChar w:fldCharType="separate"/>
    </w:r>
    <w:r w:rsidR="0010758F">
      <w:rPr>
        <w:lang w:val="en-US"/>
      </w:rPr>
      <w:t>P:\FRA\SG\CONSEIL\EG-ITR\EG-ITR-3\000\004F.docx</w:t>
    </w:r>
    <w:r>
      <w:fldChar w:fldCharType="end"/>
    </w:r>
    <w:r w:rsidR="00732045" w:rsidRPr="00474A8E">
      <w:rPr>
        <w:lang w:val="en-US"/>
      </w:rPr>
      <w:tab/>
    </w:r>
    <w:r w:rsidR="002F1B76">
      <w:fldChar w:fldCharType="begin"/>
    </w:r>
    <w:r w:rsidR="00732045">
      <w:instrText xml:space="preserve"> savedate \@ dd.MM.yy </w:instrText>
    </w:r>
    <w:r w:rsidR="002F1B76">
      <w:fldChar w:fldCharType="separate"/>
    </w:r>
    <w:r w:rsidR="008733BA">
      <w:t>10.01.18</w:t>
    </w:r>
    <w:r w:rsidR="002F1B76">
      <w:fldChar w:fldCharType="end"/>
    </w:r>
    <w:r w:rsidR="00732045" w:rsidRPr="00474A8E">
      <w:rPr>
        <w:lang w:val="en-US"/>
      </w:rPr>
      <w:tab/>
    </w:r>
    <w:r w:rsidR="002F1B76">
      <w:fldChar w:fldCharType="begin"/>
    </w:r>
    <w:r w:rsidR="00732045">
      <w:instrText xml:space="preserve"> printdate \@ dd.MM.yy </w:instrText>
    </w:r>
    <w:r w:rsidR="002F1B76">
      <w:fldChar w:fldCharType="separate"/>
    </w:r>
    <w:r w:rsidR="0010758F">
      <w:t>04.01.18</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Pr="00474A8E" w:rsidRDefault="001A6508" w:rsidP="00D837AA">
    <w:pPr>
      <w:pStyle w:val="Footer"/>
      <w:rPr>
        <w:lang w:val="en-US"/>
      </w:rPr>
    </w:pPr>
    <w:r>
      <w:fldChar w:fldCharType="begin"/>
    </w:r>
    <w:r w:rsidRPr="00474A8E">
      <w:rPr>
        <w:lang w:val="en-US"/>
      </w:rPr>
      <w:instrText xml:space="preserve"> FILENAME \p \* MERGEFORMAT </w:instrText>
    </w:r>
    <w:r>
      <w:fldChar w:fldCharType="separate"/>
    </w:r>
    <w:r w:rsidR="004A31B9">
      <w:rPr>
        <w:lang w:val="en-US"/>
      </w:rPr>
      <w:t>P:\FRA\SG\CONSEIL\EG-ITR\EG-ITR-3\000\010F.docx</w:t>
    </w:r>
    <w:r>
      <w:fldChar w:fldCharType="end"/>
    </w:r>
    <w:r w:rsidR="004A31B9">
      <w:t xml:space="preserve"> (430438</w:t>
    </w:r>
    <w:r w:rsidR="00201533">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47D" w:rsidRDefault="006E747D">
      <w:r>
        <w:t>____________________</w:t>
      </w:r>
    </w:p>
  </w:footnote>
  <w:footnote w:type="continuationSeparator" w:id="0">
    <w:p w:rsidR="006E747D" w:rsidRDefault="006E74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100DFD">
      <w:rPr>
        <w:noProof/>
      </w:rPr>
      <w:t>2</w:t>
    </w:r>
    <w:r>
      <w:rPr>
        <w:noProof/>
      </w:rPr>
      <w:fldChar w:fldCharType="end"/>
    </w:r>
  </w:p>
  <w:p w:rsidR="00732045" w:rsidRDefault="00732045" w:rsidP="009323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7BFD988-8227-46E6-A539-14D8371615AE}"/>
    <w:docVar w:name="dgnword-eventsink" w:val="450813072"/>
  </w:docVars>
  <w:rsids>
    <w:rsidRoot w:val="006E747D"/>
    <w:rsid w:val="000861BC"/>
    <w:rsid w:val="000D0D0A"/>
    <w:rsid w:val="00100DFD"/>
    <w:rsid w:val="00103163"/>
    <w:rsid w:val="0010758F"/>
    <w:rsid w:val="00115D93"/>
    <w:rsid w:val="001247A8"/>
    <w:rsid w:val="001378C0"/>
    <w:rsid w:val="0018694A"/>
    <w:rsid w:val="001A3287"/>
    <w:rsid w:val="001A6508"/>
    <w:rsid w:val="001D4C31"/>
    <w:rsid w:val="001E4D21"/>
    <w:rsid w:val="00201533"/>
    <w:rsid w:val="0020660E"/>
    <w:rsid w:val="00207CD1"/>
    <w:rsid w:val="0023216D"/>
    <w:rsid w:val="002477A2"/>
    <w:rsid w:val="00263A51"/>
    <w:rsid w:val="00267E02"/>
    <w:rsid w:val="002A0D07"/>
    <w:rsid w:val="002A0D38"/>
    <w:rsid w:val="002A5D44"/>
    <w:rsid w:val="002E0BC4"/>
    <w:rsid w:val="002F1B76"/>
    <w:rsid w:val="00355FF5"/>
    <w:rsid w:val="00361350"/>
    <w:rsid w:val="004038CB"/>
    <w:rsid w:val="00403F54"/>
    <w:rsid w:val="0040546F"/>
    <w:rsid w:val="0042404A"/>
    <w:rsid w:val="0044618F"/>
    <w:rsid w:val="0046769A"/>
    <w:rsid w:val="00474A8E"/>
    <w:rsid w:val="00475FB3"/>
    <w:rsid w:val="004A31B9"/>
    <w:rsid w:val="004C37A9"/>
    <w:rsid w:val="004F259E"/>
    <w:rsid w:val="004F4881"/>
    <w:rsid w:val="00511F1D"/>
    <w:rsid w:val="00520F36"/>
    <w:rsid w:val="00540615"/>
    <w:rsid w:val="00540A6D"/>
    <w:rsid w:val="00571EEA"/>
    <w:rsid w:val="00575417"/>
    <w:rsid w:val="005768E1"/>
    <w:rsid w:val="005C3890"/>
    <w:rsid w:val="005E4E00"/>
    <w:rsid w:val="005E7B80"/>
    <w:rsid w:val="005F7BFE"/>
    <w:rsid w:val="00600017"/>
    <w:rsid w:val="006235CA"/>
    <w:rsid w:val="006643AB"/>
    <w:rsid w:val="006C60C0"/>
    <w:rsid w:val="006E747D"/>
    <w:rsid w:val="007147F1"/>
    <w:rsid w:val="007210CD"/>
    <w:rsid w:val="00732045"/>
    <w:rsid w:val="007369DB"/>
    <w:rsid w:val="00756723"/>
    <w:rsid w:val="007956C2"/>
    <w:rsid w:val="007A187E"/>
    <w:rsid w:val="007C72C2"/>
    <w:rsid w:val="007D4436"/>
    <w:rsid w:val="007E0DAB"/>
    <w:rsid w:val="007F257A"/>
    <w:rsid w:val="007F3665"/>
    <w:rsid w:val="00800037"/>
    <w:rsid w:val="00861D73"/>
    <w:rsid w:val="00866B08"/>
    <w:rsid w:val="008733BA"/>
    <w:rsid w:val="008A3858"/>
    <w:rsid w:val="008A4E87"/>
    <w:rsid w:val="008D76E6"/>
    <w:rsid w:val="008F661D"/>
    <w:rsid w:val="0092392D"/>
    <w:rsid w:val="0093234A"/>
    <w:rsid w:val="00991F64"/>
    <w:rsid w:val="0099613D"/>
    <w:rsid w:val="009B3BDE"/>
    <w:rsid w:val="009C307F"/>
    <w:rsid w:val="009D08CE"/>
    <w:rsid w:val="00A2113E"/>
    <w:rsid w:val="00A23A51"/>
    <w:rsid w:val="00A24607"/>
    <w:rsid w:val="00A25CD3"/>
    <w:rsid w:val="00A27D3C"/>
    <w:rsid w:val="00A82767"/>
    <w:rsid w:val="00AA332F"/>
    <w:rsid w:val="00AA5154"/>
    <w:rsid w:val="00AA7BBB"/>
    <w:rsid w:val="00AB64A8"/>
    <w:rsid w:val="00AC0266"/>
    <w:rsid w:val="00AD24EC"/>
    <w:rsid w:val="00B309F9"/>
    <w:rsid w:val="00B32B60"/>
    <w:rsid w:val="00B57A2A"/>
    <w:rsid w:val="00B61619"/>
    <w:rsid w:val="00B7385A"/>
    <w:rsid w:val="00BB4545"/>
    <w:rsid w:val="00BD5873"/>
    <w:rsid w:val="00C04BE3"/>
    <w:rsid w:val="00C25D29"/>
    <w:rsid w:val="00C27A7C"/>
    <w:rsid w:val="00C333A2"/>
    <w:rsid w:val="00C86D9A"/>
    <w:rsid w:val="00CA08ED"/>
    <w:rsid w:val="00CE29A6"/>
    <w:rsid w:val="00CF183B"/>
    <w:rsid w:val="00D375CD"/>
    <w:rsid w:val="00D553A2"/>
    <w:rsid w:val="00D774D3"/>
    <w:rsid w:val="00D837AA"/>
    <w:rsid w:val="00D904E8"/>
    <w:rsid w:val="00DA08C3"/>
    <w:rsid w:val="00DA75E8"/>
    <w:rsid w:val="00DB5A3E"/>
    <w:rsid w:val="00DB6CB2"/>
    <w:rsid w:val="00DC22AA"/>
    <w:rsid w:val="00DF74DD"/>
    <w:rsid w:val="00E25AD0"/>
    <w:rsid w:val="00E43FD3"/>
    <w:rsid w:val="00E572E4"/>
    <w:rsid w:val="00EB6350"/>
    <w:rsid w:val="00F06D00"/>
    <w:rsid w:val="00F15B57"/>
    <w:rsid w:val="00F427DB"/>
    <w:rsid w:val="00FA5EB1"/>
    <w:rsid w:val="00FA7439"/>
    <w:rsid w:val="00FB483A"/>
    <w:rsid w:val="00FC4EC0"/>
    <w:rsid w:val="00FE03F7"/>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2D17F1-EC8B-4A0F-B1FE-B19A3AD7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 w:type="table" w:styleId="TableGrid">
    <w:name w:val="Table Grid"/>
    <w:basedOn w:val="TableNormal"/>
    <w:rsid w:val="004A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EG-IT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5CD9A-7134-4951-A164-18982CCC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PF_EG-ITR.dotx</Template>
  <TotalTime>175</TotalTime>
  <Pages>6</Pages>
  <Words>2327</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15672</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Gozel, Elsa</dc:creator>
  <cp:keywords/>
  <dc:description/>
  <cp:lastModifiedBy>Royer, Veronique</cp:lastModifiedBy>
  <cp:revision>17</cp:revision>
  <cp:lastPrinted>2018-01-04T11:30:00Z</cp:lastPrinted>
  <dcterms:created xsi:type="dcterms:W3CDTF">2018-01-10T07:45:00Z</dcterms:created>
  <dcterms:modified xsi:type="dcterms:W3CDTF">2018-01-10T11:12:00Z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