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horzAnchor="margin" w:tblpY="-674"/>
        <w:tblW w:w="10314" w:type="dxa"/>
        <w:tblLayout w:type="fixed"/>
        <w:tblLook w:val="0000" w:firstRow="0" w:lastRow="0" w:firstColumn="0" w:lastColumn="0" w:noHBand="0" w:noVBand="0"/>
      </w:tblPr>
      <w:tblGrid>
        <w:gridCol w:w="6521"/>
        <w:gridCol w:w="3793"/>
      </w:tblGrid>
      <w:tr w:rsidR="005F153A" w:rsidTr="000F2E67">
        <w:trPr>
          <w:cantSplit/>
        </w:trPr>
        <w:tc>
          <w:tcPr>
            <w:tcW w:w="6521" w:type="dxa"/>
          </w:tcPr>
          <w:p w:rsidR="004E5922" w:rsidRDefault="007B5254" w:rsidP="007B5254">
            <w:pPr>
              <w:spacing w:before="240" w:after="48"/>
              <w:rPr>
                <w:rFonts w:asciiTheme="minorHAnsi" w:hAnsiTheme="minorHAnsi"/>
                <w:b/>
                <w:position w:val="6"/>
                <w:sz w:val="30"/>
                <w:szCs w:val="30"/>
              </w:rPr>
            </w:pPr>
            <w:bookmarkStart w:id="0" w:name="dc06"/>
            <w:bookmarkEnd w:id="0"/>
            <w:r>
              <w:rPr>
                <w:rFonts w:asciiTheme="minorHAnsi" w:hAnsiTheme="minorHAnsi"/>
                <w:b/>
                <w:position w:val="6"/>
                <w:sz w:val="30"/>
                <w:szCs w:val="30"/>
              </w:rPr>
              <w:t>Expert</w:t>
            </w:r>
            <w:r w:rsidR="000F2E67" w:rsidRPr="000F2E67">
              <w:rPr>
                <w:rFonts w:asciiTheme="minorHAnsi" w:hAnsiTheme="minorHAnsi"/>
                <w:b/>
                <w:position w:val="6"/>
                <w:sz w:val="30"/>
                <w:szCs w:val="30"/>
              </w:rPr>
              <w:t xml:space="preserve"> Group on </w:t>
            </w:r>
            <w:r>
              <w:rPr>
                <w:rFonts w:asciiTheme="minorHAnsi" w:hAnsiTheme="minorHAnsi"/>
                <w:b/>
                <w:position w:val="6"/>
                <w:sz w:val="30"/>
                <w:szCs w:val="30"/>
              </w:rPr>
              <w:t xml:space="preserve">the </w:t>
            </w:r>
            <w:r>
              <w:rPr>
                <w:rFonts w:asciiTheme="minorHAnsi" w:hAnsiTheme="minorHAnsi"/>
                <w:b/>
                <w:position w:val="6"/>
                <w:sz w:val="30"/>
                <w:szCs w:val="30"/>
              </w:rPr>
              <w:br/>
            </w:r>
            <w:r w:rsidR="001B506B">
              <w:rPr>
                <w:rFonts w:asciiTheme="minorHAnsi" w:hAnsiTheme="minorHAnsi"/>
                <w:b/>
                <w:position w:val="6"/>
                <w:sz w:val="30"/>
                <w:szCs w:val="30"/>
              </w:rPr>
              <w:t>International</w:t>
            </w:r>
            <w:r>
              <w:rPr>
                <w:rFonts w:asciiTheme="minorHAnsi" w:hAnsiTheme="minorHAnsi"/>
                <w:b/>
                <w:position w:val="6"/>
                <w:sz w:val="30"/>
                <w:szCs w:val="30"/>
              </w:rPr>
              <w:t xml:space="preserve"> Telecommunication Regulations</w:t>
            </w:r>
          </w:p>
          <w:p w:rsidR="005F153A" w:rsidRPr="00D613F6" w:rsidRDefault="007B5254" w:rsidP="00DE6AB7">
            <w:pPr>
              <w:spacing w:after="120"/>
              <w:rPr>
                <w:rFonts w:asciiTheme="minorHAnsi" w:hAnsiTheme="minorHAnsi"/>
                <w:b/>
                <w:position w:val="6"/>
                <w:sz w:val="26"/>
                <w:szCs w:val="26"/>
              </w:rPr>
            </w:pPr>
            <w:r>
              <w:rPr>
                <w:rFonts w:asciiTheme="minorHAnsi" w:hAnsiTheme="minorHAnsi" w:cs="Times New Roman Bold"/>
                <w:b/>
                <w:sz w:val="24"/>
              </w:rPr>
              <w:t>Third</w:t>
            </w:r>
            <w:r w:rsidR="001B506B">
              <w:rPr>
                <w:rFonts w:asciiTheme="minorHAnsi" w:hAnsiTheme="minorHAnsi" w:cs="Times New Roman Bold"/>
                <w:b/>
                <w:sz w:val="24"/>
              </w:rPr>
              <w:t xml:space="preserve"> meeting</w:t>
            </w:r>
            <w:r w:rsidR="001B506B" w:rsidRPr="001B506B">
              <w:rPr>
                <w:rFonts w:asciiTheme="minorHAnsi" w:hAnsiTheme="minorHAnsi" w:cs="Times New Roman Bold"/>
                <w:b/>
                <w:sz w:val="24"/>
              </w:rPr>
              <w:t xml:space="preserve"> </w:t>
            </w:r>
            <w:r w:rsidR="001B506B" w:rsidRPr="001B506B">
              <w:rPr>
                <w:rFonts w:ascii="Calibri" w:eastAsia="Calibri" w:hAnsi="Calibri" w:cs="Calibri"/>
                <w:b/>
                <w:color w:val="000000"/>
                <w:sz w:val="24"/>
              </w:rPr>
              <w:t>–</w:t>
            </w:r>
            <w:r w:rsidR="005F153A" w:rsidRPr="000F2E67">
              <w:rPr>
                <w:rFonts w:asciiTheme="minorHAnsi" w:hAnsiTheme="minorHAnsi" w:cs="Times New Roman Bold"/>
                <w:b/>
                <w:sz w:val="24"/>
              </w:rPr>
              <w:t xml:space="preserve"> Geneva, </w:t>
            </w:r>
            <w:r w:rsidR="00DE6AB7">
              <w:rPr>
                <w:rFonts w:asciiTheme="minorHAnsi" w:hAnsiTheme="minorHAnsi" w:cs="Times New Roman Bold"/>
                <w:b/>
                <w:sz w:val="24"/>
              </w:rPr>
              <w:t>17-19</w:t>
            </w:r>
            <w:r w:rsidR="000F2E67" w:rsidRPr="000F2E67">
              <w:rPr>
                <w:rFonts w:asciiTheme="minorHAnsi" w:hAnsiTheme="minorHAnsi" w:cs="Times New Roman Bold"/>
                <w:b/>
                <w:sz w:val="24"/>
              </w:rPr>
              <w:t xml:space="preserve"> </w:t>
            </w:r>
            <w:r w:rsidR="00DE6AB7">
              <w:rPr>
                <w:rFonts w:asciiTheme="minorHAnsi" w:hAnsiTheme="minorHAnsi" w:cs="Times New Roman Bold"/>
                <w:b/>
                <w:sz w:val="24"/>
              </w:rPr>
              <w:t>January 2018</w:t>
            </w:r>
          </w:p>
        </w:tc>
        <w:tc>
          <w:tcPr>
            <w:tcW w:w="3793" w:type="dxa"/>
          </w:tcPr>
          <w:p w:rsidR="005F153A" w:rsidRPr="00D613F6" w:rsidRDefault="005F153A" w:rsidP="001B506B">
            <w:pPr>
              <w:spacing w:before="120" w:line="240" w:lineRule="atLeast"/>
            </w:pPr>
            <w:bookmarkStart w:id="1" w:name="ditulogo"/>
            <w:bookmarkEnd w:id="1"/>
            <w:r>
              <w:rPr>
                <w:noProof/>
              </w:rPr>
              <w:drawing>
                <wp:inline distT="0" distB="0" distL="0" distR="0" wp14:anchorId="71D3A4F3" wp14:editId="5F6BE467">
                  <wp:extent cx="1765300" cy="7442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0" cy="744220"/>
                          </a:xfrm>
                          <a:prstGeom prst="rect">
                            <a:avLst/>
                          </a:prstGeom>
                          <a:noFill/>
                          <a:ln>
                            <a:noFill/>
                          </a:ln>
                        </pic:spPr>
                      </pic:pic>
                    </a:graphicData>
                  </a:graphic>
                </wp:inline>
              </w:drawing>
            </w:r>
          </w:p>
        </w:tc>
      </w:tr>
      <w:tr w:rsidR="005F153A" w:rsidRPr="00617BE4" w:rsidTr="000F2E67">
        <w:trPr>
          <w:cantSplit/>
        </w:trPr>
        <w:tc>
          <w:tcPr>
            <w:tcW w:w="6521" w:type="dxa"/>
            <w:tcBorders>
              <w:top w:val="single" w:sz="12" w:space="0" w:color="auto"/>
            </w:tcBorders>
          </w:tcPr>
          <w:p w:rsidR="005F153A" w:rsidRPr="00D613F6" w:rsidRDefault="005F153A" w:rsidP="000F2E67">
            <w:pPr>
              <w:snapToGrid w:val="0"/>
              <w:rPr>
                <w:b/>
                <w:smallCaps/>
              </w:rPr>
            </w:pPr>
          </w:p>
        </w:tc>
        <w:tc>
          <w:tcPr>
            <w:tcW w:w="3793" w:type="dxa"/>
            <w:tcBorders>
              <w:top w:val="single" w:sz="12" w:space="0" w:color="auto"/>
            </w:tcBorders>
          </w:tcPr>
          <w:p w:rsidR="005F153A" w:rsidRPr="00D613F6" w:rsidRDefault="005F153A" w:rsidP="000F2E67">
            <w:pPr>
              <w:snapToGrid w:val="0"/>
              <w:ind w:left="209"/>
              <w:rPr>
                <w:rFonts w:ascii="Verdana" w:hAnsi="Verdana"/>
              </w:rPr>
            </w:pPr>
          </w:p>
        </w:tc>
      </w:tr>
      <w:tr w:rsidR="005F153A" w:rsidRPr="001B506B" w:rsidTr="000F2E67">
        <w:trPr>
          <w:cantSplit/>
          <w:trHeight w:val="23"/>
        </w:trPr>
        <w:tc>
          <w:tcPr>
            <w:tcW w:w="6521" w:type="dxa"/>
            <w:vMerge w:val="restart"/>
          </w:tcPr>
          <w:p w:rsidR="005F153A" w:rsidRPr="00D613F6" w:rsidRDefault="005F153A" w:rsidP="000F2E67">
            <w:pPr>
              <w:snapToGrid w:val="0"/>
              <w:rPr>
                <w:rFonts w:asciiTheme="minorHAnsi" w:hAnsiTheme="minorHAnsi"/>
                <w:b/>
              </w:rPr>
            </w:pPr>
            <w:bookmarkStart w:id="2" w:name="dmeeting" w:colFirst="0" w:colLast="0"/>
            <w:bookmarkStart w:id="3" w:name="dnum" w:colFirst="1" w:colLast="1"/>
          </w:p>
        </w:tc>
        <w:tc>
          <w:tcPr>
            <w:tcW w:w="3793" w:type="dxa"/>
          </w:tcPr>
          <w:p w:rsidR="005F153A" w:rsidRPr="000F2E67" w:rsidRDefault="005F153A" w:rsidP="002D270F">
            <w:pPr>
              <w:snapToGrid w:val="0"/>
              <w:ind w:left="57"/>
              <w:rPr>
                <w:rFonts w:asciiTheme="minorHAnsi" w:hAnsiTheme="minorHAnsi" w:cs="Times New Roman Bold"/>
                <w:b/>
                <w:spacing w:val="-4"/>
                <w:sz w:val="24"/>
                <w:lang w:val="de-CH"/>
              </w:rPr>
            </w:pPr>
            <w:r w:rsidRPr="000F2E67">
              <w:rPr>
                <w:rFonts w:asciiTheme="minorHAnsi" w:hAnsiTheme="minorHAnsi" w:cs="Times New Roman Bold"/>
                <w:b/>
                <w:spacing w:val="-4"/>
                <w:sz w:val="24"/>
                <w:lang w:val="de-CH"/>
              </w:rPr>
              <w:t xml:space="preserve">Document </w:t>
            </w:r>
            <w:r w:rsidR="007B5254">
              <w:rPr>
                <w:rFonts w:asciiTheme="minorHAnsi" w:hAnsiTheme="minorHAnsi" w:cs="Times New Roman Bold"/>
                <w:b/>
                <w:spacing w:val="-4"/>
                <w:sz w:val="24"/>
                <w:lang w:val="de-CH"/>
              </w:rPr>
              <w:t>EG-ITRs</w:t>
            </w:r>
            <w:r w:rsidR="00DE6AB7">
              <w:rPr>
                <w:rFonts w:asciiTheme="minorHAnsi" w:hAnsiTheme="minorHAnsi" w:cs="Times New Roman Bold"/>
                <w:b/>
                <w:spacing w:val="-4"/>
                <w:sz w:val="24"/>
                <w:lang w:val="de-CH"/>
              </w:rPr>
              <w:t>-</w:t>
            </w:r>
            <w:r w:rsidR="007B5254">
              <w:rPr>
                <w:rFonts w:asciiTheme="minorHAnsi" w:hAnsiTheme="minorHAnsi" w:cs="Times New Roman Bold"/>
                <w:b/>
                <w:spacing w:val="-4"/>
                <w:sz w:val="24"/>
                <w:lang w:val="de-CH"/>
              </w:rPr>
              <w:t>3</w:t>
            </w:r>
            <w:r w:rsidRPr="000F2E67">
              <w:rPr>
                <w:rFonts w:asciiTheme="minorHAnsi" w:hAnsiTheme="minorHAnsi" w:cs="Times New Roman Bold"/>
                <w:b/>
                <w:spacing w:val="-4"/>
                <w:sz w:val="24"/>
                <w:lang w:val="de-CH"/>
              </w:rPr>
              <w:t>/</w:t>
            </w:r>
            <w:r w:rsidR="002D270F">
              <w:rPr>
                <w:rFonts w:asciiTheme="minorHAnsi" w:hAnsiTheme="minorHAnsi" w:cs="Times New Roman Bold"/>
                <w:b/>
                <w:spacing w:val="-4"/>
                <w:sz w:val="24"/>
                <w:lang w:val="de-CH"/>
              </w:rPr>
              <w:t>10</w:t>
            </w:r>
            <w:r w:rsidR="006B460D" w:rsidRPr="000F2E67">
              <w:rPr>
                <w:rFonts w:asciiTheme="minorHAnsi" w:hAnsiTheme="minorHAnsi" w:cs="Times New Roman Bold"/>
                <w:b/>
                <w:spacing w:val="-4"/>
                <w:sz w:val="24"/>
                <w:lang w:val="de-CH"/>
              </w:rPr>
              <w:t>-E</w:t>
            </w:r>
          </w:p>
        </w:tc>
      </w:tr>
      <w:tr w:rsidR="005F153A" w:rsidRPr="00E544AC" w:rsidTr="000F2E67">
        <w:trPr>
          <w:cantSplit/>
          <w:trHeight w:val="23"/>
        </w:trPr>
        <w:tc>
          <w:tcPr>
            <w:tcW w:w="6521" w:type="dxa"/>
            <w:vMerge/>
          </w:tcPr>
          <w:p w:rsidR="005F153A" w:rsidRPr="00D613F6" w:rsidRDefault="005F153A" w:rsidP="000F2E67">
            <w:pPr>
              <w:snapToGrid w:val="0"/>
              <w:rPr>
                <w:rFonts w:asciiTheme="minorHAnsi" w:hAnsiTheme="minorHAnsi"/>
                <w:b/>
                <w:lang w:val="de-CH"/>
              </w:rPr>
            </w:pPr>
            <w:bookmarkStart w:id="4" w:name="ddate" w:colFirst="1" w:colLast="1"/>
            <w:bookmarkEnd w:id="2"/>
            <w:bookmarkEnd w:id="3"/>
          </w:p>
        </w:tc>
        <w:tc>
          <w:tcPr>
            <w:tcW w:w="3793" w:type="dxa"/>
          </w:tcPr>
          <w:p w:rsidR="005F153A" w:rsidRPr="000F2E67" w:rsidRDefault="002D270F" w:rsidP="00F629DB">
            <w:pPr>
              <w:snapToGrid w:val="0"/>
              <w:ind w:left="57"/>
              <w:rPr>
                <w:rFonts w:asciiTheme="minorHAnsi" w:hAnsiTheme="minorHAnsi"/>
                <w:b/>
                <w:sz w:val="24"/>
              </w:rPr>
            </w:pPr>
            <w:r>
              <w:rPr>
                <w:rFonts w:asciiTheme="minorHAnsi" w:hAnsiTheme="minorHAnsi"/>
                <w:b/>
                <w:sz w:val="24"/>
              </w:rPr>
              <w:t>3 January 2018</w:t>
            </w:r>
          </w:p>
        </w:tc>
      </w:tr>
      <w:tr w:rsidR="005F153A" w:rsidRPr="00E544AC" w:rsidTr="000F2E67">
        <w:trPr>
          <w:cantSplit/>
          <w:trHeight w:val="80"/>
        </w:trPr>
        <w:tc>
          <w:tcPr>
            <w:tcW w:w="6521" w:type="dxa"/>
            <w:vMerge/>
          </w:tcPr>
          <w:p w:rsidR="005F153A" w:rsidRPr="00E544AC" w:rsidRDefault="005F153A" w:rsidP="000F2E67">
            <w:pPr>
              <w:snapToGrid w:val="0"/>
              <w:rPr>
                <w:rFonts w:asciiTheme="minorHAnsi" w:hAnsiTheme="minorHAnsi"/>
                <w:b/>
              </w:rPr>
            </w:pPr>
            <w:bookmarkStart w:id="5" w:name="dorlang" w:colFirst="1" w:colLast="1"/>
            <w:bookmarkEnd w:id="4"/>
          </w:p>
        </w:tc>
        <w:tc>
          <w:tcPr>
            <w:tcW w:w="3793" w:type="dxa"/>
          </w:tcPr>
          <w:p w:rsidR="005F153A" w:rsidRPr="000F2E67" w:rsidRDefault="007B5254" w:rsidP="000F2E67">
            <w:pPr>
              <w:snapToGrid w:val="0"/>
              <w:ind w:left="57"/>
              <w:rPr>
                <w:rFonts w:asciiTheme="minorHAnsi" w:hAnsiTheme="minorHAnsi"/>
                <w:b/>
                <w:sz w:val="24"/>
              </w:rPr>
            </w:pPr>
            <w:r>
              <w:rPr>
                <w:rFonts w:asciiTheme="minorHAnsi" w:hAnsiTheme="minorHAnsi"/>
                <w:b/>
                <w:sz w:val="24"/>
              </w:rPr>
              <w:t>Original: English</w:t>
            </w:r>
          </w:p>
        </w:tc>
      </w:tr>
    </w:tbl>
    <w:bookmarkEnd w:id="5"/>
    <w:p w:rsidR="004154E9" w:rsidRDefault="002D270F" w:rsidP="004154E9">
      <w:pPr>
        <w:spacing w:before="840" w:after="120"/>
        <w:jc w:val="center"/>
        <w:rPr>
          <w:rFonts w:asciiTheme="minorHAnsi" w:eastAsiaTheme="minorEastAsia" w:hAnsiTheme="minorHAnsi"/>
          <w:b/>
          <w:sz w:val="28"/>
          <w:szCs w:val="32"/>
          <w:lang w:eastAsia="ja-JP"/>
        </w:rPr>
      </w:pPr>
      <w:r>
        <w:rPr>
          <w:rFonts w:asciiTheme="minorHAnsi" w:hAnsiTheme="minorHAnsi"/>
          <w:b/>
          <w:sz w:val="28"/>
          <w:szCs w:val="32"/>
        </w:rPr>
        <w:t>Republic of Zimbabwe</w:t>
      </w:r>
    </w:p>
    <w:p w:rsidR="00AF50A8" w:rsidRPr="00F629DB" w:rsidRDefault="00F629DB" w:rsidP="007223F0">
      <w:pPr>
        <w:pStyle w:val="Title1"/>
        <w:spacing w:before="360"/>
        <w:rPr>
          <w:caps/>
          <w:sz w:val="28"/>
          <w:szCs w:val="36"/>
        </w:rPr>
      </w:pPr>
      <w:r w:rsidRPr="00F629DB">
        <w:rPr>
          <w:bCs/>
          <w:caps/>
          <w:sz w:val="28"/>
          <w:szCs w:val="32"/>
          <w:lang w:val="en-GB"/>
        </w:rPr>
        <w:t xml:space="preserve">Review </w:t>
      </w:r>
      <w:r w:rsidR="002D270F">
        <w:rPr>
          <w:bCs/>
          <w:caps/>
          <w:sz w:val="28"/>
          <w:szCs w:val="32"/>
          <w:lang w:val="en-GB"/>
        </w:rPr>
        <w:t xml:space="preserve">and revision </w:t>
      </w:r>
      <w:r w:rsidRPr="00F629DB">
        <w:rPr>
          <w:bCs/>
          <w:caps/>
          <w:sz w:val="28"/>
          <w:szCs w:val="32"/>
          <w:lang w:val="en-GB"/>
        </w:rPr>
        <w:t>of the International Telecommunication Regulations (ITRs)</w:t>
      </w:r>
    </w:p>
    <w:p w:rsidR="002D270F" w:rsidRPr="002D270F" w:rsidRDefault="002D270F" w:rsidP="00383DD5">
      <w:pPr>
        <w:rPr>
          <w:rFonts w:asciiTheme="minorHAnsi" w:hAnsiTheme="minorHAnsi"/>
          <w:b/>
          <w:bCs/>
          <w:sz w:val="24"/>
        </w:rPr>
      </w:pPr>
      <w:r w:rsidRPr="002D270F">
        <w:rPr>
          <w:rFonts w:asciiTheme="minorHAnsi" w:hAnsiTheme="minorHAnsi"/>
          <w:b/>
          <w:bCs/>
          <w:sz w:val="24"/>
        </w:rPr>
        <w:t>1</w:t>
      </w:r>
      <w:r w:rsidRPr="002D270F">
        <w:rPr>
          <w:rFonts w:asciiTheme="minorHAnsi" w:hAnsiTheme="minorHAnsi"/>
          <w:b/>
          <w:bCs/>
          <w:sz w:val="24"/>
        </w:rPr>
        <w:tab/>
        <w:t>Introduct</w:t>
      </w:r>
      <w:r w:rsidR="00383DD5">
        <w:rPr>
          <w:rFonts w:asciiTheme="minorHAnsi" w:hAnsiTheme="minorHAnsi"/>
          <w:b/>
          <w:bCs/>
          <w:sz w:val="24"/>
        </w:rPr>
        <w:t>i</w:t>
      </w:r>
      <w:r w:rsidRPr="002D270F">
        <w:rPr>
          <w:rFonts w:asciiTheme="minorHAnsi" w:hAnsiTheme="minorHAnsi"/>
          <w:b/>
          <w:bCs/>
          <w:sz w:val="24"/>
        </w:rPr>
        <w:t>on</w:t>
      </w:r>
    </w:p>
    <w:p w:rsidR="002D270F" w:rsidRPr="002D270F" w:rsidRDefault="002D270F" w:rsidP="00383DD5">
      <w:pPr>
        <w:spacing w:before="240"/>
        <w:rPr>
          <w:rFonts w:asciiTheme="minorHAnsi" w:hAnsiTheme="minorHAnsi"/>
          <w:sz w:val="24"/>
        </w:rPr>
      </w:pPr>
      <w:r w:rsidRPr="002D270F">
        <w:rPr>
          <w:rFonts w:asciiTheme="minorHAnsi" w:hAnsiTheme="minorHAnsi"/>
          <w:sz w:val="24"/>
        </w:rPr>
        <w:t>This Contribution examines the International Telecommunications Regulations (ITRs) in light of the terms of reference of the Expert Group on the ITRs (EG-ITRs). To this end, the contribution is</w:t>
      </w:r>
      <w:r w:rsidRPr="002D270F">
        <w:rPr>
          <w:rFonts w:asciiTheme="minorHAnsi" w:hAnsiTheme="minorHAnsi"/>
          <w:color w:val="44546A" w:themeColor="text2"/>
          <w:sz w:val="24"/>
        </w:rPr>
        <w:t xml:space="preserve"> a brief</w:t>
      </w:r>
      <w:r w:rsidRPr="002D270F">
        <w:rPr>
          <w:rFonts w:asciiTheme="minorHAnsi" w:hAnsiTheme="minorHAnsi"/>
          <w:sz w:val="24"/>
        </w:rPr>
        <w:t xml:space="preserve"> analysis of the 1988 and the 2012 ITRs' applicability in a rapidly evolving international telecommunication environment, taking into account new technologies, services, and existing multilateral and international legal obligations, as well as changes in the scope of national regulatory regimes. It also covers issues relating to the implementation of the 2012 ITRs and WCIT-12 Resolutions and issues relating to possible conflict between the two treaties.</w:t>
      </w:r>
    </w:p>
    <w:p w:rsidR="00383DD5" w:rsidRPr="002D270F" w:rsidRDefault="00383DD5" w:rsidP="00A43DBE">
      <w:pPr>
        <w:spacing w:before="240"/>
        <w:ind w:left="709" w:hanging="709"/>
        <w:rPr>
          <w:rFonts w:asciiTheme="minorHAnsi" w:hAnsiTheme="minorHAnsi"/>
          <w:b/>
          <w:bCs/>
          <w:sz w:val="24"/>
        </w:rPr>
      </w:pPr>
      <w:r>
        <w:rPr>
          <w:rFonts w:asciiTheme="minorHAnsi" w:hAnsiTheme="minorHAnsi"/>
          <w:b/>
          <w:bCs/>
          <w:sz w:val="24"/>
        </w:rPr>
        <w:t>2</w:t>
      </w:r>
      <w:r w:rsidRPr="002D270F">
        <w:rPr>
          <w:rFonts w:asciiTheme="minorHAnsi" w:hAnsiTheme="minorHAnsi"/>
          <w:b/>
          <w:bCs/>
          <w:sz w:val="24"/>
        </w:rPr>
        <w:tab/>
      </w:r>
      <w:r>
        <w:rPr>
          <w:rFonts w:asciiTheme="minorHAnsi" w:hAnsiTheme="minorHAnsi"/>
          <w:b/>
          <w:bCs/>
          <w:sz w:val="24"/>
        </w:rPr>
        <w:t>Differences between the treaties and their applicability in a rapidly evolving international telecommunication environment, taking into account technology, services and existing multilateral and international legal obligations as well as changes in the scope of domestic regulatory regimes</w:t>
      </w:r>
    </w:p>
    <w:p w:rsidR="002D270F" w:rsidRPr="002D270F" w:rsidRDefault="002D270F" w:rsidP="00A43DBE">
      <w:pPr>
        <w:spacing w:before="240"/>
        <w:rPr>
          <w:rFonts w:asciiTheme="minorHAnsi" w:hAnsiTheme="minorHAnsi"/>
          <w:sz w:val="24"/>
        </w:rPr>
      </w:pPr>
      <w:r w:rsidRPr="002D270F">
        <w:rPr>
          <w:rFonts w:asciiTheme="minorHAnsi" w:hAnsiTheme="minorHAnsi"/>
          <w:sz w:val="24"/>
        </w:rPr>
        <w:t>The differences between the ITRS were   examined. Without outlining minor or cosmetic differences resulting from change of terminology at ITU and changes in technology, the major differences are reflected in the table below:</w:t>
      </w:r>
    </w:p>
    <w:p w:rsidR="007223F0" w:rsidRDefault="007223F0" w:rsidP="002D270F">
      <w:pPr>
        <w:rPr>
          <w:rFonts w:asciiTheme="minorHAnsi" w:eastAsia="Calibri" w:hAnsiTheme="minorHAnsi"/>
          <w:color w:val="000000"/>
          <w:sz w:val="24"/>
        </w:rPr>
      </w:pPr>
    </w:p>
    <w:tbl>
      <w:tblPr>
        <w:tblStyle w:val="TableGrid"/>
        <w:tblW w:w="10953" w:type="dxa"/>
        <w:tblInd w:w="-714" w:type="dxa"/>
        <w:tblLayout w:type="fixed"/>
        <w:tblLook w:val="04A0" w:firstRow="1" w:lastRow="0" w:firstColumn="1" w:lastColumn="0" w:noHBand="0" w:noVBand="1"/>
      </w:tblPr>
      <w:tblGrid>
        <w:gridCol w:w="1702"/>
        <w:gridCol w:w="4394"/>
        <w:gridCol w:w="4857"/>
      </w:tblGrid>
      <w:tr w:rsidR="002D270F" w:rsidRPr="00EA53DF" w:rsidTr="00447A63">
        <w:tc>
          <w:tcPr>
            <w:tcW w:w="1702" w:type="dxa"/>
          </w:tcPr>
          <w:p w:rsidR="002D270F" w:rsidRPr="00EA53DF" w:rsidRDefault="002D270F" w:rsidP="00447A63">
            <w:pPr>
              <w:spacing w:before="60" w:after="60"/>
              <w:jc w:val="both"/>
              <w:rPr>
                <w:rFonts w:asciiTheme="minorHAnsi" w:hAnsiTheme="minorHAnsi" w:cs="Arial"/>
                <w:sz w:val="24"/>
              </w:rPr>
            </w:pPr>
          </w:p>
        </w:tc>
        <w:tc>
          <w:tcPr>
            <w:tcW w:w="4394" w:type="dxa"/>
          </w:tcPr>
          <w:p w:rsidR="002D270F" w:rsidRPr="00A43DBE" w:rsidRDefault="002D270F" w:rsidP="00A43DBE">
            <w:pPr>
              <w:spacing w:before="60" w:after="60"/>
              <w:jc w:val="center"/>
              <w:rPr>
                <w:rFonts w:asciiTheme="minorHAnsi" w:hAnsiTheme="minorHAnsi" w:cs="Arial"/>
                <w:b/>
                <w:bCs/>
                <w:sz w:val="24"/>
              </w:rPr>
            </w:pPr>
            <w:r w:rsidRPr="00A43DBE">
              <w:rPr>
                <w:rFonts w:asciiTheme="minorHAnsi" w:hAnsiTheme="minorHAnsi" w:cs="Arial"/>
                <w:b/>
                <w:bCs/>
                <w:sz w:val="24"/>
              </w:rPr>
              <w:t>1988 TREATY</w:t>
            </w:r>
          </w:p>
        </w:tc>
        <w:tc>
          <w:tcPr>
            <w:tcW w:w="4857" w:type="dxa"/>
          </w:tcPr>
          <w:p w:rsidR="002D270F" w:rsidRPr="00A43DBE" w:rsidRDefault="002D270F" w:rsidP="00A43DBE">
            <w:pPr>
              <w:spacing w:before="60" w:after="60"/>
              <w:jc w:val="center"/>
              <w:rPr>
                <w:rFonts w:asciiTheme="minorHAnsi" w:hAnsiTheme="minorHAnsi" w:cs="Arial"/>
                <w:b/>
                <w:bCs/>
                <w:sz w:val="24"/>
              </w:rPr>
            </w:pPr>
            <w:r w:rsidRPr="00A43DBE">
              <w:rPr>
                <w:rFonts w:asciiTheme="minorHAnsi" w:hAnsiTheme="minorHAnsi" w:cs="Arial"/>
                <w:b/>
                <w:bCs/>
                <w:sz w:val="24"/>
              </w:rPr>
              <w:t>2012 TREATY</w:t>
            </w:r>
          </w:p>
        </w:tc>
      </w:tr>
      <w:tr w:rsidR="002D270F" w:rsidRPr="00EA53DF" w:rsidTr="00447A63">
        <w:tc>
          <w:tcPr>
            <w:tcW w:w="1702"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Recognition of Human Rights</w:t>
            </w:r>
          </w:p>
        </w:tc>
        <w:tc>
          <w:tcPr>
            <w:tcW w:w="4394"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There is no reference to Human rights or the right of member States to access International Telecommunication services.</w:t>
            </w:r>
          </w:p>
        </w:tc>
        <w:tc>
          <w:tcPr>
            <w:tcW w:w="4857"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Introduced affirmation by member states to apply the regulations in a manner that upholds human rights. Also introduced recognition of member states ‘right to international Telecommunications</w:t>
            </w:r>
          </w:p>
        </w:tc>
      </w:tr>
      <w:tr w:rsidR="002D270F" w:rsidRPr="00EA53DF" w:rsidTr="00447A63">
        <w:tc>
          <w:tcPr>
            <w:tcW w:w="1702" w:type="dxa"/>
          </w:tcPr>
          <w:p w:rsidR="002D270F" w:rsidRPr="00EA53DF" w:rsidRDefault="002D270F" w:rsidP="00A43DBE">
            <w:pPr>
              <w:spacing w:before="60" w:after="60"/>
              <w:rPr>
                <w:rFonts w:asciiTheme="minorHAnsi" w:hAnsiTheme="minorHAnsi" w:cs="Arial"/>
                <w:sz w:val="24"/>
              </w:rPr>
            </w:pPr>
            <w:r w:rsidRPr="00EA53DF">
              <w:rPr>
                <w:rFonts w:asciiTheme="minorHAnsi" w:hAnsiTheme="minorHAnsi" w:cs="Arial"/>
                <w:sz w:val="24"/>
              </w:rPr>
              <w:t xml:space="preserve">Reference </w:t>
            </w:r>
            <w:r w:rsidR="00A43DBE">
              <w:rPr>
                <w:rFonts w:asciiTheme="minorHAnsi" w:hAnsiTheme="minorHAnsi" w:cs="Arial"/>
                <w:sz w:val="24"/>
              </w:rPr>
              <w:t>to </w:t>
            </w:r>
            <w:r w:rsidRPr="00EA53DF">
              <w:rPr>
                <w:rFonts w:asciiTheme="minorHAnsi" w:hAnsiTheme="minorHAnsi" w:cs="Arial"/>
                <w:sz w:val="24"/>
              </w:rPr>
              <w:t>ITU constitution</w:t>
            </w:r>
          </w:p>
        </w:tc>
        <w:tc>
          <w:tcPr>
            <w:tcW w:w="4394"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Only refers to the ITU convention as the document complemented</w:t>
            </w:r>
          </w:p>
        </w:tc>
        <w:tc>
          <w:tcPr>
            <w:tcW w:w="4857"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Includes the constitution of the international Telecommunications as one of the documents complimented by the ITR</w:t>
            </w:r>
          </w:p>
        </w:tc>
      </w:tr>
      <w:tr w:rsidR="002D270F" w:rsidRPr="00EA53DF" w:rsidTr="00447A63">
        <w:tc>
          <w:tcPr>
            <w:tcW w:w="1702" w:type="dxa"/>
          </w:tcPr>
          <w:p w:rsidR="002D270F" w:rsidRPr="00EA53DF" w:rsidRDefault="00A43DBE" w:rsidP="00A43DBE">
            <w:pPr>
              <w:spacing w:before="60" w:after="60"/>
              <w:jc w:val="both"/>
              <w:rPr>
                <w:rFonts w:asciiTheme="minorHAnsi" w:hAnsiTheme="minorHAnsi" w:cs="Arial"/>
                <w:sz w:val="24"/>
              </w:rPr>
            </w:pPr>
            <w:r>
              <w:rPr>
                <w:rFonts w:asciiTheme="minorHAnsi" w:hAnsiTheme="minorHAnsi" w:cs="Arial"/>
                <w:sz w:val="24"/>
              </w:rPr>
              <w:t>C</w:t>
            </w:r>
            <w:r w:rsidR="002D270F" w:rsidRPr="00EA53DF">
              <w:rPr>
                <w:rFonts w:asciiTheme="minorHAnsi" w:hAnsiTheme="minorHAnsi" w:cs="Arial"/>
                <w:sz w:val="24"/>
              </w:rPr>
              <w:t>ontent</w:t>
            </w:r>
          </w:p>
        </w:tc>
        <w:tc>
          <w:tcPr>
            <w:tcW w:w="4394"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No reference to content of communications</w:t>
            </w:r>
          </w:p>
        </w:tc>
        <w:tc>
          <w:tcPr>
            <w:tcW w:w="4857" w:type="dxa"/>
          </w:tcPr>
          <w:p w:rsidR="002D270F" w:rsidRPr="00EA53DF" w:rsidRDefault="002D270F" w:rsidP="00447A63">
            <w:pPr>
              <w:spacing w:before="60" w:after="60"/>
              <w:jc w:val="both"/>
              <w:rPr>
                <w:rFonts w:asciiTheme="minorHAnsi" w:hAnsiTheme="minorHAnsi"/>
                <w:sz w:val="24"/>
              </w:rPr>
            </w:pPr>
            <w:r w:rsidRPr="00EA53DF">
              <w:rPr>
                <w:rFonts w:asciiTheme="minorHAnsi" w:hAnsiTheme="minorHAnsi" w:cs="Arial"/>
                <w:sz w:val="24"/>
              </w:rPr>
              <w:t>Specifically indicates that the ITRs do not address issues of content</w:t>
            </w:r>
          </w:p>
        </w:tc>
      </w:tr>
      <w:tr w:rsidR="002D270F" w:rsidRPr="00EA53DF" w:rsidTr="00447A63">
        <w:tc>
          <w:tcPr>
            <w:tcW w:w="1702" w:type="dxa"/>
          </w:tcPr>
          <w:p w:rsidR="002D270F" w:rsidRPr="00EA53DF" w:rsidRDefault="002D270F" w:rsidP="00A43DBE">
            <w:pPr>
              <w:spacing w:before="60" w:after="60"/>
              <w:rPr>
                <w:rFonts w:asciiTheme="minorHAnsi" w:hAnsiTheme="minorHAnsi" w:cs="Arial"/>
                <w:sz w:val="24"/>
              </w:rPr>
            </w:pPr>
            <w:r w:rsidRPr="00EA53DF">
              <w:rPr>
                <w:rFonts w:asciiTheme="minorHAnsi" w:hAnsiTheme="minorHAnsi" w:cs="Arial"/>
                <w:sz w:val="24"/>
              </w:rPr>
              <w:t xml:space="preserve">Shift in responsibility from member states to </w:t>
            </w:r>
            <w:proofErr w:type="spellStart"/>
            <w:r w:rsidRPr="00EA53DF">
              <w:rPr>
                <w:rFonts w:asciiTheme="minorHAnsi" w:hAnsiTheme="minorHAnsi" w:cs="Arial"/>
                <w:sz w:val="24"/>
              </w:rPr>
              <w:lastRenderedPageBreak/>
              <w:t>operationalise</w:t>
            </w:r>
            <w:proofErr w:type="spellEnd"/>
            <w:r w:rsidRPr="00EA53DF">
              <w:rPr>
                <w:rFonts w:asciiTheme="minorHAnsi" w:hAnsiTheme="minorHAnsi" w:cs="Arial"/>
                <w:sz w:val="24"/>
              </w:rPr>
              <w:t xml:space="preserve"> agencies</w:t>
            </w:r>
          </w:p>
        </w:tc>
        <w:tc>
          <w:tcPr>
            <w:tcW w:w="4394"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lastRenderedPageBreak/>
              <w:t xml:space="preserve">Provision of service and most obligations were reflected as the responsibility of administrations. For example, Member States were responsible for determining </w:t>
            </w:r>
            <w:r w:rsidRPr="00EA53DF">
              <w:rPr>
                <w:rFonts w:asciiTheme="minorHAnsi" w:hAnsiTheme="minorHAnsi" w:cs="Arial"/>
                <w:sz w:val="24"/>
              </w:rPr>
              <w:lastRenderedPageBreak/>
              <w:t>international routes , maintaining quality of service and providing information to the ITU Secretary General</w:t>
            </w:r>
          </w:p>
        </w:tc>
        <w:tc>
          <w:tcPr>
            <w:tcW w:w="4857"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lastRenderedPageBreak/>
              <w:t xml:space="preserve">Actual provision of services and most network related responsibilities are now the responsibility of mainly the </w:t>
            </w:r>
            <w:proofErr w:type="spellStart"/>
            <w:r w:rsidRPr="00EA53DF">
              <w:rPr>
                <w:rFonts w:asciiTheme="minorHAnsi" w:hAnsiTheme="minorHAnsi" w:cs="Arial"/>
                <w:sz w:val="24"/>
              </w:rPr>
              <w:t>authorised</w:t>
            </w:r>
            <w:proofErr w:type="spellEnd"/>
            <w:r w:rsidRPr="00EA53DF">
              <w:rPr>
                <w:rFonts w:asciiTheme="minorHAnsi" w:hAnsiTheme="minorHAnsi" w:cs="Arial"/>
                <w:sz w:val="24"/>
              </w:rPr>
              <w:t xml:space="preserve"> operating agencies not Administrations now </w:t>
            </w:r>
            <w:r w:rsidRPr="00EA53DF">
              <w:rPr>
                <w:rFonts w:asciiTheme="minorHAnsi" w:hAnsiTheme="minorHAnsi" w:cs="Arial"/>
                <w:sz w:val="24"/>
              </w:rPr>
              <w:lastRenderedPageBreak/>
              <w:t>referred to as Member States. Operating agencies can also now provide information directly to the ITU Secretary General</w:t>
            </w:r>
          </w:p>
        </w:tc>
      </w:tr>
      <w:tr w:rsidR="002D270F" w:rsidRPr="00EA53DF" w:rsidTr="00447A63">
        <w:tc>
          <w:tcPr>
            <w:tcW w:w="1702"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lastRenderedPageBreak/>
              <w:t>Enforceability of member states obligations</w:t>
            </w:r>
          </w:p>
        </w:tc>
        <w:tc>
          <w:tcPr>
            <w:tcW w:w="4394"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Member state obligations were  couched in a mandatory tone which made them  easily enforceable , for example, Member states had to ensure cooperation within the framework of the regulations, and maintain quality of service</w:t>
            </w:r>
          </w:p>
        </w:tc>
        <w:tc>
          <w:tcPr>
            <w:tcW w:w="4857"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 xml:space="preserve">Member states only have to </w:t>
            </w:r>
            <w:proofErr w:type="spellStart"/>
            <w:r w:rsidRPr="00EA53DF">
              <w:rPr>
                <w:rFonts w:asciiTheme="minorHAnsi" w:hAnsiTheme="minorHAnsi" w:cs="Arial"/>
                <w:sz w:val="24"/>
              </w:rPr>
              <w:t>endeavour</w:t>
            </w:r>
            <w:proofErr w:type="spellEnd"/>
            <w:r w:rsidRPr="00EA53DF">
              <w:rPr>
                <w:rFonts w:asciiTheme="minorHAnsi" w:hAnsiTheme="minorHAnsi" w:cs="Arial"/>
                <w:sz w:val="24"/>
              </w:rPr>
              <w:t xml:space="preserve"> to carry out their obligations or to foster measures. Endeavour being synonymous with the word ,”try” certainly makes those obligations difficult to enforce</w:t>
            </w:r>
          </w:p>
        </w:tc>
      </w:tr>
      <w:tr w:rsidR="002D270F" w:rsidRPr="00EA53DF" w:rsidTr="00447A63">
        <w:tc>
          <w:tcPr>
            <w:tcW w:w="1702"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Energy efficiency and E-waste</w:t>
            </w:r>
          </w:p>
        </w:tc>
        <w:tc>
          <w:tcPr>
            <w:tcW w:w="4394"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Not provided for. Energy shortages were not a problem at the time.</w:t>
            </w:r>
          </w:p>
        </w:tc>
        <w:tc>
          <w:tcPr>
            <w:tcW w:w="4857" w:type="dxa"/>
          </w:tcPr>
          <w:p w:rsidR="002D270F" w:rsidRPr="00EA53DF" w:rsidRDefault="002D270F" w:rsidP="00A43DBE">
            <w:pPr>
              <w:spacing w:before="60" w:after="60"/>
              <w:jc w:val="both"/>
              <w:rPr>
                <w:rFonts w:asciiTheme="minorHAnsi" w:hAnsiTheme="minorHAnsi" w:cs="Arial"/>
                <w:sz w:val="24"/>
              </w:rPr>
            </w:pPr>
            <w:r w:rsidRPr="00EA53DF">
              <w:rPr>
                <w:rFonts w:asciiTheme="minorHAnsi" w:hAnsiTheme="minorHAnsi" w:cs="Arial"/>
                <w:sz w:val="24"/>
              </w:rPr>
              <w:t>Member States to adopt Energy Efficiency and E-Waste best practices.</w:t>
            </w:r>
            <w:bookmarkStart w:id="6" w:name="_GoBack"/>
            <w:bookmarkEnd w:id="6"/>
          </w:p>
        </w:tc>
      </w:tr>
      <w:tr w:rsidR="002D270F" w:rsidRPr="00EA53DF" w:rsidTr="00447A63">
        <w:tc>
          <w:tcPr>
            <w:tcW w:w="1702" w:type="dxa"/>
          </w:tcPr>
          <w:p w:rsidR="002D270F" w:rsidRPr="00EA53DF" w:rsidRDefault="002D270F" w:rsidP="00447A63">
            <w:pPr>
              <w:spacing w:before="60" w:after="60"/>
              <w:jc w:val="both"/>
              <w:rPr>
                <w:rFonts w:asciiTheme="minorHAnsi" w:hAnsiTheme="minorHAnsi" w:cs="Arial"/>
                <w:sz w:val="24"/>
              </w:rPr>
            </w:pPr>
          </w:p>
        </w:tc>
        <w:tc>
          <w:tcPr>
            <w:tcW w:w="4394" w:type="dxa"/>
          </w:tcPr>
          <w:p w:rsidR="002D270F" w:rsidRPr="00EA53DF" w:rsidRDefault="002D270F" w:rsidP="00447A63">
            <w:pPr>
              <w:spacing w:before="60" w:after="60"/>
              <w:jc w:val="both"/>
              <w:rPr>
                <w:rFonts w:asciiTheme="minorHAnsi" w:hAnsiTheme="minorHAnsi" w:cs="Arial"/>
                <w:sz w:val="24"/>
                <w:highlight w:val="yellow"/>
              </w:rPr>
            </w:pPr>
            <w:r w:rsidRPr="00EA53DF">
              <w:rPr>
                <w:rFonts w:asciiTheme="minorHAnsi" w:hAnsiTheme="minorHAnsi" w:cs="Arial"/>
                <w:sz w:val="24"/>
              </w:rPr>
              <w:t xml:space="preserve">Not provided for </w:t>
            </w:r>
          </w:p>
        </w:tc>
        <w:tc>
          <w:tcPr>
            <w:tcW w:w="4857" w:type="dxa"/>
          </w:tcPr>
          <w:p w:rsidR="002D270F" w:rsidRPr="00EA53DF" w:rsidRDefault="002D270F" w:rsidP="00447A63">
            <w:pPr>
              <w:spacing w:before="60" w:after="60"/>
              <w:jc w:val="both"/>
              <w:rPr>
                <w:rFonts w:asciiTheme="minorHAnsi" w:hAnsiTheme="minorHAnsi"/>
                <w:sz w:val="24"/>
                <w:highlight w:val="yellow"/>
              </w:rPr>
            </w:pPr>
            <w:r w:rsidRPr="00EA53DF">
              <w:rPr>
                <w:rFonts w:asciiTheme="minorHAnsi" w:hAnsiTheme="minorHAnsi" w:cs="Arial"/>
                <w:sz w:val="24"/>
              </w:rPr>
              <w:t>Member States to promote access to international telecommunication services by persons with disabilities</w:t>
            </w:r>
          </w:p>
        </w:tc>
      </w:tr>
      <w:tr w:rsidR="002D270F" w:rsidRPr="00EA53DF" w:rsidTr="00447A63">
        <w:tc>
          <w:tcPr>
            <w:tcW w:w="1702"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Security</w:t>
            </w:r>
          </w:p>
        </w:tc>
        <w:tc>
          <w:tcPr>
            <w:tcW w:w="4394"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Silent on security</w:t>
            </w:r>
          </w:p>
        </w:tc>
        <w:tc>
          <w:tcPr>
            <w:tcW w:w="4857"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Member States were given the responsibility to ensure Security and robustness of networks</w:t>
            </w:r>
          </w:p>
        </w:tc>
      </w:tr>
      <w:tr w:rsidR="002D270F" w:rsidRPr="00EA53DF" w:rsidTr="00447A63">
        <w:tc>
          <w:tcPr>
            <w:tcW w:w="1702"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Bulk transmissions</w:t>
            </w:r>
          </w:p>
        </w:tc>
        <w:tc>
          <w:tcPr>
            <w:tcW w:w="4394"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Silent on bulk transmissions, as the problem did not exist in 1988</w:t>
            </w:r>
          </w:p>
        </w:tc>
        <w:tc>
          <w:tcPr>
            <w:tcW w:w="4857"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Member States given responsibility to take measures to prevent transmission of BULK electronic communications</w:t>
            </w:r>
          </w:p>
        </w:tc>
      </w:tr>
      <w:tr w:rsidR="002D270F" w:rsidRPr="00EA53DF" w:rsidTr="00447A63">
        <w:tc>
          <w:tcPr>
            <w:tcW w:w="1702" w:type="dxa"/>
          </w:tcPr>
          <w:p w:rsidR="002D270F" w:rsidRPr="00EA53DF" w:rsidRDefault="002D270F" w:rsidP="00447A63">
            <w:pPr>
              <w:spacing w:before="60" w:after="60"/>
              <w:jc w:val="both"/>
              <w:rPr>
                <w:rFonts w:asciiTheme="minorHAnsi" w:hAnsiTheme="minorHAnsi" w:cs="Arial"/>
                <w:sz w:val="24"/>
              </w:rPr>
            </w:pPr>
          </w:p>
        </w:tc>
        <w:tc>
          <w:tcPr>
            <w:tcW w:w="4394"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Silent on this as the problem did not exist in 1988</w:t>
            </w:r>
          </w:p>
        </w:tc>
        <w:tc>
          <w:tcPr>
            <w:tcW w:w="4857"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Member States given the task to deal with roaming issues and prevent inadvertent roaming.</w:t>
            </w:r>
          </w:p>
        </w:tc>
      </w:tr>
      <w:tr w:rsidR="002D270F" w:rsidRPr="00EA53DF" w:rsidTr="00447A63">
        <w:tc>
          <w:tcPr>
            <w:tcW w:w="1702" w:type="dxa"/>
          </w:tcPr>
          <w:p w:rsidR="002D270F" w:rsidRPr="00EA53DF" w:rsidRDefault="002D270F" w:rsidP="00447A63">
            <w:pPr>
              <w:spacing w:before="60" w:after="60"/>
              <w:jc w:val="both"/>
              <w:rPr>
                <w:rFonts w:asciiTheme="minorHAnsi" w:hAnsiTheme="minorHAnsi" w:cs="Arial"/>
                <w:sz w:val="24"/>
              </w:rPr>
            </w:pPr>
          </w:p>
        </w:tc>
        <w:tc>
          <w:tcPr>
            <w:tcW w:w="4394"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Silent on numbering resources</w:t>
            </w:r>
          </w:p>
        </w:tc>
        <w:tc>
          <w:tcPr>
            <w:tcW w:w="4857" w:type="dxa"/>
          </w:tcPr>
          <w:p w:rsidR="002D270F" w:rsidRPr="00EA53DF" w:rsidRDefault="002D270F" w:rsidP="00447A63">
            <w:pPr>
              <w:spacing w:before="60" w:after="60"/>
              <w:jc w:val="both"/>
              <w:rPr>
                <w:rFonts w:asciiTheme="minorHAnsi" w:hAnsiTheme="minorHAnsi" w:cs="Arial"/>
                <w:sz w:val="24"/>
              </w:rPr>
            </w:pPr>
            <w:r w:rsidRPr="00EA53DF">
              <w:rPr>
                <w:rFonts w:asciiTheme="minorHAnsi" w:hAnsiTheme="minorHAnsi" w:cs="Arial"/>
                <w:sz w:val="24"/>
              </w:rPr>
              <w:t>Member States given the responsibility to  manage  the  use of numbering resources as well as the creation of regional traffic exchange points to increase quality, connectivity, resilience</w:t>
            </w:r>
          </w:p>
        </w:tc>
      </w:tr>
    </w:tbl>
    <w:p w:rsidR="002D270F" w:rsidRDefault="002D270F" w:rsidP="002D270F">
      <w:pPr>
        <w:rPr>
          <w:rFonts w:asciiTheme="minorHAnsi" w:eastAsia="Calibri" w:hAnsiTheme="minorHAnsi"/>
          <w:color w:val="000000"/>
          <w:sz w:val="24"/>
        </w:rPr>
      </w:pPr>
    </w:p>
    <w:p w:rsidR="002D270F" w:rsidRPr="002D270F" w:rsidRDefault="002D270F" w:rsidP="002D270F">
      <w:pPr>
        <w:spacing w:before="60" w:after="60"/>
        <w:jc w:val="both"/>
        <w:rPr>
          <w:rFonts w:asciiTheme="minorHAnsi" w:hAnsiTheme="minorHAnsi" w:cs="Arial"/>
          <w:sz w:val="24"/>
        </w:rPr>
      </w:pPr>
      <w:r w:rsidRPr="002D270F">
        <w:rPr>
          <w:rFonts w:asciiTheme="minorHAnsi" w:hAnsiTheme="minorHAnsi" w:cs="Arial"/>
          <w:sz w:val="24"/>
        </w:rPr>
        <w:t>Looking at the table above, it is clear that:</w:t>
      </w:r>
    </w:p>
    <w:p w:rsidR="002D270F" w:rsidRPr="002D270F" w:rsidRDefault="002D270F" w:rsidP="002D270F">
      <w:pPr>
        <w:pStyle w:val="ListParagraph"/>
        <w:numPr>
          <w:ilvl w:val="0"/>
          <w:numId w:val="2"/>
        </w:numPr>
        <w:spacing w:before="120" w:after="60"/>
        <w:ind w:left="782" w:hanging="357"/>
        <w:jc w:val="both"/>
        <w:rPr>
          <w:rFonts w:asciiTheme="minorHAnsi" w:hAnsiTheme="minorHAnsi" w:cs="Arial"/>
          <w:sz w:val="24"/>
        </w:rPr>
      </w:pPr>
      <w:r w:rsidRPr="002D270F">
        <w:rPr>
          <w:rFonts w:asciiTheme="minorHAnsi" w:hAnsiTheme="minorHAnsi" w:cs="Arial"/>
          <w:sz w:val="24"/>
        </w:rPr>
        <w:t>Some of the powers that Member states exercised previously were tempered by the 2012 treaty and part of the responsibility shifted to operating agencies. This makes it difficult to implement the Regulations as some of the operating agencies are not directly answerable to Member States or the ITU, for example, private companies that are not controlled by Member States</w:t>
      </w:r>
    </w:p>
    <w:p w:rsidR="002D270F" w:rsidRPr="002D270F" w:rsidRDefault="002D270F" w:rsidP="002D270F">
      <w:pPr>
        <w:pStyle w:val="ListParagraph"/>
        <w:numPr>
          <w:ilvl w:val="0"/>
          <w:numId w:val="2"/>
        </w:numPr>
        <w:spacing w:before="120" w:after="60"/>
        <w:ind w:left="782" w:hanging="357"/>
        <w:jc w:val="both"/>
        <w:rPr>
          <w:rFonts w:asciiTheme="minorHAnsi" w:hAnsiTheme="minorHAnsi" w:cs="Arial"/>
          <w:sz w:val="24"/>
        </w:rPr>
      </w:pPr>
      <w:r w:rsidRPr="002D270F">
        <w:rPr>
          <w:rFonts w:asciiTheme="minorHAnsi" w:hAnsiTheme="minorHAnsi" w:cs="Arial"/>
          <w:sz w:val="24"/>
        </w:rPr>
        <w:t>While the 1988 ITRs were clear on the action to be taken by member States, the 2012 ITRs placed less responsibility on Member States by using the words “</w:t>
      </w:r>
      <w:proofErr w:type="spellStart"/>
      <w:r w:rsidRPr="002D270F">
        <w:rPr>
          <w:rFonts w:asciiTheme="minorHAnsi" w:hAnsiTheme="minorHAnsi" w:cs="Arial"/>
          <w:sz w:val="24"/>
        </w:rPr>
        <w:t>endeavour</w:t>
      </w:r>
      <w:proofErr w:type="spellEnd"/>
      <w:r w:rsidRPr="002D270F">
        <w:rPr>
          <w:rFonts w:asciiTheme="minorHAnsi" w:hAnsiTheme="minorHAnsi" w:cs="Arial"/>
          <w:sz w:val="24"/>
        </w:rPr>
        <w:t xml:space="preserve"> to “ as a prefix to obligations of Member states in most of the articles</w:t>
      </w:r>
    </w:p>
    <w:p w:rsidR="002D270F" w:rsidRPr="002D270F" w:rsidRDefault="002D270F" w:rsidP="002D270F">
      <w:pPr>
        <w:pStyle w:val="ListParagraph"/>
        <w:numPr>
          <w:ilvl w:val="0"/>
          <w:numId w:val="2"/>
        </w:numPr>
        <w:spacing w:before="120" w:after="60"/>
        <w:ind w:left="782" w:hanging="357"/>
        <w:jc w:val="both"/>
        <w:rPr>
          <w:rFonts w:asciiTheme="minorHAnsi" w:hAnsiTheme="minorHAnsi" w:cs="Arial"/>
          <w:sz w:val="24"/>
        </w:rPr>
      </w:pPr>
      <w:r w:rsidRPr="002D270F">
        <w:rPr>
          <w:rFonts w:asciiTheme="minorHAnsi" w:hAnsiTheme="minorHAnsi" w:cs="Arial"/>
          <w:sz w:val="24"/>
        </w:rPr>
        <w:t>The new provisions on :</w:t>
      </w:r>
    </w:p>
    <w:p w:rsidR="002D270F" w:rsidRPr="002D270F" w:rsidRDefault="002D270F" w:rsidP="002D270F">
      <w:pPr>
        <w:pStyle w:val="ListParagraph"/>
        <w:numPr>
          <w:ilvl w:val="1"/>
          <w:numId w:val="2"/>
        </w:numPr>
        <w:spacing w:before="60" w:after="60"/>
        <w:contextualSpacing/>
        <w:jc w:val="both"/>
        <w:rPr>
          <w:rFonts w:asciiTheme="minorHAnsi" w:hAnsiTheme="minorHAnsi" w:cs="Arial"/>
          <w:sz w:val="24"/>
        </w:rPr>
      </w:pPr>
      <w:r w:rsidRPr="002D270F">
        <w:rPr>
          <w:rFonts w:asciiTheme="minorHAnsi" w:hAnsiTheme="minorHAnsi" w:cs="Arial"/>
          <w:sz w:val="24"/>
        </w:rPr>
        <w:t>Energy Efficiency and E-Waste</w:t>
      </w:r>
    </w:p>
    <w:p w:rsidR="002D270F" w:rsidRPr="002D270F" w:rsidRDefault="002D270F" w:rsidP="002D270F">
      <w:pPr>
        <w:pStyle w:val="ListParagraph"/>
        <w:numPr>
          <w:ilvl w:val="1"/>
          <w:numId w:val="2"/>
        </w:numPr>
        <w:spacing w:before="60" w:after="60"/>
        <w:contextualSpacing/>
        <w:jc w:val="both"/>
        <w:rPr>
          <w:rFonts w:asciiTheme="minorHAnsi" w:hAnsiTheme="minorHAnsi" w:cs="Arial"/>
          <w:sz w:val="24"/>
        </w:rPr>
      </w:pPr>
      <w:r w:rsidRPr="002D270F">
        <w:rPr>
          <w:rFonts w:asciiTheme="minorHAnsi" w:hAnsiTheme="minorHAnsi" w:cs="Arial"/>
          <w:sz w:val="24"/>
        </w:rPr>
        <w:t>Security and Robustness of Networks</w:t>
      </w:r>
    </w:p>
    <w:p w:rsidR="002D270F" w:rsidRPr="002D270F" w:rsidRDefault="002D270F" w:rsidP="002D270F">
      <w:pPr>
        <w:pStyle w:val="ListParagraph"/>
        <w:numPr>
          <w:ilvl w:val="1"/>
          <w:numId w:val="2"/>
        </w:numPr>
        <w:spacing w:before="60" w:after="60"/>
        <w:contextualSpacing/>
        <w:jc w:val="both"/>
        <w:rPr>
          <w:rFonts w:asciiTheme="minorHAnsi" w:hAnsiTheme="minorHAnsi" w:cs="Arial"/>
          <w:sz w:val="24"/>
        </w:rPr>
      </w:pPr>
      <w:r w:rsidRPr="002D270F">
        <w:rPr>
          <w:rFonts w:asciiTheme="minorHAnsi" w:hAnsiTheme="minorHAnsi" w:cs="Arial"/>
          <w:sz w:val="24"/>
        </w:rPr>
        <w:t>Access by people with disabilities</w:t>
      </w:r>
    </w:p>
    <w:p w:rsidR="002D270F" w:rsidRPr="002D270F" w:rsidRDefault="002D270F" w:rsidP="002D270F">
      <w:pPr>
        <w:pStyle w:val="ListParagraph"/>
        <w:numPr>
          <w:ilvl w:val="1"/>
          <w:numId w:val="2"/>
        </w:numPr>
        <w:spacing w:before="60" w:after="60"/>
        <w:contextualSpacing/>
        <w:jc w:val="both"/>
        <w:rPr>
          <w:rFonts w:asciiTheme="minorHAnsi" w:hAnsiTheme="minorHAnsi" w:cs="Arial"/>
          <w:sz w:val="24"/>
        </w:rPr>
      </w:pPr>
      <w:r w:rsidRPr="002D270F">
        <w:rPr>
          <w:rFonts w:asciiTheme="minorHAnsi" w:hAnsiTheme="minorHAnsi" w:cs="Arial"/>
          <w:sz w:val="24"/>
        </w:rPr>
        <w:t>Transmission of bulk communications and, roaming</w:t>
      </w:r>
    </w:p>
    <w:p w:rsidR="002D270F" w:rsidRPr="002D270F" w:rsidRDefault="002D270F" w:rsidP="002D270F">
      <w:pPr>
        <w:pStyle w:val="ListParagraph"/>
        <w:numPr>
          <w:ilvl w:val="1"/>
          <w:numId w:val="2"/>
        </w:numPr>
        <w:spacing w:before="60" w:after="60"/>
        <w:contextualSpacing/>
        <w:jc w:val="both"/>
        <w:rPr>
          <w:rFonts w:asciiTheme="minorHAnsi" w:hAnsiTheme="minorHAnsi" w:cs="Arial"/>
          <w:sz w:val="24"/>
        </w:rPr>
      </w:pPr>
      <w:r w:rsidRPr="002D270F">
        <w:rPr>
          <w:rFonts w:asciiTheme="minorHAnsi" w:hAnsiTheme="minorHAnsi" w:cs="Arial"/>
          <w:sz w:val="24"/>
        </w:rPr>
        <w:t>Fostering competition</w:t>
      </w:r>
    </w:p>
    <w:p w:rsidR="002D270F" w:rsidRPr="002D270F" w:rsidRDefault="002D270F" w:rsidP="002D270F">
      <w:pPr>
        <w:spacing w:before="60" w:after="60"/>
        <w:jc w:val="both"/>
        <w:rPr>
          <w:rFonts w:asciiTheme="minorHAnsi" w:hAnsiTheme="minorHAnsi" w:cs="Arial"/>
          <w:sz w:val="24"/>
        </w:rPr>
      </w:pPr>
      <w:r w:rsidRPr="002D270F">
        <w:rPr>
          <w:rFonts w:asciiTheme="minorHAnsi" w:hAnsiTheme="minorHAnsi" w:cs="Arial"/>
          <w:sz w:val="24"/>
        </w:rPr>
        <w:t xml:space="preserve">Are clearly issues that had not received attention in 1988 because they had not posed any problems then but had become very relevant and problematic in </w:t>
      </w:r>
      <w:proofErr w:type="gramStart"/>
      <w:r w:rsidRPr="002D270F">
        <w:rPr>
          <w:rFonts w:asciiTheme="minorHAnsi" w:hAnsiTheme="minorHAnsi" w:cs="Arial"/>
          <w:sz w:val="24"/>
        </w:rPr>
        <w:t>2012.</w:t>
      </w:r>
      <w:proofErr w:type="gramEnd"/>
    </w:p>
    <w:p w:rsidR="002D270F" w:rsidRPr="002D270F" w:rsidRDefault="002D270F" w:rsidP="002D270F">
      <w:pPr>
        <w:spacing w:before="120" w:after="60"/>
        <w:jc w:val="both"/>
        <w:rPr>
          <w:rFonts w:asciiTheme="minorHAnsi" w:hAnsiTheme="minorHAnsi" w:cs="Arial"/>
          <w:b/>
          <w:sz w:val="24"/>
        </w:rPr>
      </w:pPr>
      <w:r w:rsidRPr="002D270F">
        <w:rPr>
          <w:rFonts w:asciiTheme="minorHAnsi" w:hAnsiTheme="minorHAnsi" w:cs="Arial"/>
          <w:b/>
          <w:sz w:val="24"/>
        </w:rPr>
        <w:t>3</w:t>
      </w:r>
      <w:r w:rsidRPr="002D270F">
        <w:rPr>
          <w:rFonts w:asciiTheme="minorHAnsi" w:hAnsiTheme="minorHAnsi" w:cs="Arial"/>
          <w:b/>
          <w:sz w:val="24"/>
        </w:rPr>
        <w:tab/>
        <w:t>R</w:t>
      </w:r>
      <w:r>
        <w:rPr>
          <w:rFonts w:asciiTheme="minorHAnsi" w:hAnsiTheme="minorHAnsi" w:cs="Arial"/>
          <w:b/>
          <w:sz w:val="24"/>
        </w:rPr>
        <w:t>elevance of the ITRs</w:t>
      </w:r>
    </w:p>
    <w:p w:rsidR="002D270F" w:rsidRPr="002D270F" w:rsidRDefault="002D270F" w:rsidP="002D270F">
      <w:pPr>
        <w:spacing w:before="60" w:after="60"/>
        <w:jc w:val="both"/>
        <w:rPr>
          <w:rFonts w:asciiTheme="minorHAnsi" w:hAnsiTheme="minorHAnsi" w:cs="Arial"/>
          <w:sz w:val="24"/>
        </w:rPr>
      </w:pPr>
      <w:r w:rsidRPr="002D270F">
        <w:rPr>
          <w:rFonts w:asciiTheme="minorHAnsi" w:hAnsiTheme="minorHAnsi" w:cs="Arial"/>
          <w:sz w:val="24"/>
        </w:rPr>
        <w:t>Looking at the issues covered by the two treaties and at the differences reflected in table above, the ITRs are still relevant in their original and revised form and will remain relevant, although further modification appears to be necessary. The relevance is seen from the following:</w:t>
      </w:r>
    </w:p>
    <w:p w:rsidR="002D270F" w:rsidRPr="002D270F" w:rsidRDefault="002D270F" w:rsidP="002D270F">
      <w:pPr>
        <w:pStyle w:val="ListParagraph"/>
        <w:numPr>
          <w:ilvl w:val="0"/>
          <w:numId w:val="3"/>
        </w:numPr>
        <w:spacing w:before="120" w:after="60"/>
        <w:jc w:val="both"/>
        <w:rPr>
          <w:rFonts w:asciiTheme="minorHAnsi" w:hAnsiTheme="minorHAnsi" w:cs="Arial"/>
          <w:sz w:val="24"/>
        </w:rPr>
      </w:pPr>
      <w:r w:rsidRPr="002D270F">
        <w:rPr>
          <w:rFonts w:asciiTheme="minorHAnsi" w:hAnsiTheme="minorHAnsi" w:cs="Arial"/>
          <w:sz w:val="24"/>
        </w:rPr>
        <w:t xml:space="preserve">The main purpose of the ITRs which is to establish principles related to provision and operation of international telecommunication services and promoting efficient operation and </w:t>
      </w:r>
      <w:proofErr w:type="spellStart"/>
      <w:r w:rsidRPr="002D270F">
        <w:rPr>
          <w:rFonts w:asciiTheme="minorHAnsi" w:hAnsiTheme="minorHAnsi" w:cs="Arial"/>
          <w:sz w:val="24"/>
        </w:rPr>
        <w:t>harmonising</w:t>
      </w:r>
      <w:proofErr w:type="spellEnd"/>
      <w:r w:rsidRPr="002D270F">
        <w:rPr>
          <w:rFonts w:asciiTheme="minorHAnsi" w:hAnsiTheme="minorHAnsi" w:cs="Arial"/>
          <w:sz w:val="24"/>
        </w:rPr>
        <w:t xml:space="preserve"> the development of facilities world –wide, in line with ITU purpose, still exists. Throwing the ITRs away is throwing away basic implementation tools.</w:t>
      </w:r>
    </w:p>
    <w:p w:rsidR="002D270F" w:rsidRPr="002D270F" w:rsidRDefault="002D270F" w:rsidP="002D270F">
      <w:pPr>
        <w:pStyle w:val="ListParagraph"/>
        <w:numPr>
          <w:ilvl w:val="0"/>
          <w:numId w:val="3"/>
        </w:numPr>
        <w:spacing w:before="120" w:after="60"/>
        <w:jc w:val="both"/>
        <w:rPr>
          <w:rFonts w:asciiTheme="minorHAnsi" w:hAnsiTheme="minorHAnsi" w:cs="Arial"/>
          <w:sz w:val="24"/>
        </w:rPr>
      </w:pPr>
      <w:r w:rsidRPr="002D270F">
        <w:rPr>
          <w:rFonts w:asciiTheme="minorHAnsi" w:hAnsiTheme="minorHAnsi" w:cs="Arial"/>
          <w:sz w:val="24"/>
        </w:rPr>
        <w:t xml:space="preserve">The 2012 ITRs amplified the scope of the Regulations to </w:t>
      </w:r>
      <w:proofErr w:type="spellStart"/>
      <w:r w:rsidRPr="002D270F">
        <w:rPr>
          <w:rFonts w:asciiTheme="minorHAnsi" w:hAnsiTheme="minorHAnsi" w:cs="Arial"/>
          <w:sz w:val="24"/>
        </w:rPr>
        <w:t>recognise</w:t>
      </w:r>
      <w:proofErr w:type="spellEnd"/>
      <w:r w:rsidRPr="002D270F">
        <w:rPr>
          <w:rFonts w:asciiTheme="minorHAnsi" w:hAnsiTheme="minorHAnsi" w:cs="Arial"/>
          <w:sz w:val="24"/>
        </w:rPr>
        <w:t xml:space="preserve"> the fact that government owned entities are no longer the only ones engaged in the provision of international telecommunication services but the private sector is now significantly active in the international telecommunication services market hence the reference to them as authorized operating agencies recognized by Member States. </w:t>
      </w:r>
    </w:p>
    <w:p w:rsidR="002D270F" w:rsidRPr="002D270F" w:rsidRDefault="002D270F" w:rsidP="002D270F">
      <w:pPr>
        <w:pStyle w:val="ListParagraph"/>
        <w:numPr>
          <w:ilvl w:val="0"/>
          <w:numId w:val="3"/>
        </w:numPr>
        <w:spacing w:before="120" w:after="60"/>
        <w:jc w:val="both"/>
        <w:rPr>
          <w:rFonts w:asciiTheme="minorHAnsi" w:hAnsiTheme="minorHAnsi" w:cs="Arial"/>
          <w:sz w:val="24"/>
        </w:rPr>
      </w:pPr>
      <w:r w:rsidRPr="002D270F">
        <w:rPr>
          <w:rFonts w:asciiTheme="minorHAnsi" w:hAnsiTheme="minorHAnsi" w:cs="Arial"/>
          <w:sz w:val="24"/>
        </w:rPr>
        <w:t>The inclusion of clauses the 2012 ITRs which speak to the management and use of numbering resources as well as the creation of regional traffic exchange points to increase quality, connectivity, resilience and  competition ,as well as reduce the cost of international telecommunication services.</w:t>
      </w:r>
    </w:p>
    <w:p w:rsidR="002D270F" w:rsidRPr="002D270F" w:rsidRDefault="002D270F" w:rsidP="002D270F">
      <w:pPr>
        <w:pStyle w:val="ListParagraph"/>
        <w:spacing w:before="120" w:after="60"/>
        <w:jc w:val="both"/>
        <w:rPr>
          <w:rFonts w:asciiTheme="minorHAnsi" w:hAnsiTheme="minorHAnsi" w:cs="Arial"/>
          <w:sz w:val="24"/>
        </w:rPr>
      </w:pPr>
      <w:r w:rsidRPr="002D270F">
        <w:rPr>
          <w:rFonts w:asciiTheme="minorHAnsi" w:hAnsiTheme="minorHAnsi" w:cs="Arial"/>
          <w:sz w:val="24"/>
        </w:rPr>
        <w:t>This is a necessary addition, which is meant to plug loopholes in the management and use of numbering resources, as well as improve the efficiency of international telecommunication networks.</w:t>
      </w:r>
    </w:p>
    <w:p w:rsidR="002D270F" w:rsidRPr="002D270F" w:rsidRDefault="002D270F" w:rsidP="002D270F">
      <w:pPr>
        <w:pStyle w:val="ListParagraph"/>
        <w:numPr>
          <w:ilvl w:val="0"/>
          <w:numId w:val="6"/>
        </w:numPr>
        <w:spacing w:before="120" w:after="60"/>
        <w:jc w:val="both"/>
        <w:rPr>
          <w:rFonts w:asciiTheme="minorHAnsi" w:hAnsiTheme="minorHAnsi" w:cs="Arial"/>
          <w:sz w:val="24"/>
        </w:rPr>
      </w:pPr>
      <w:r w:rsidRPr="002D270F">
        <w:rPr>
          <w:rFonts w:asciiTheme="minorHAnsi" w:hAnsiTheme="minorHAnsi" w:cs="Arial"/>
          <w:sz w:val="24"/>
        </w:rPr>
        <w:t xml:space="preserve">Issues to do with Dumping, Disposal of E-Waste, Security and roaming are not national issues but international issues, which require concerted effort. Even at the World Telecommunications Development Conference (WTDC) 17, there was acknowledgment that issues of security cannot be resolved by individual Member States. The Addition of Article 6 in the 2012 ITRs on security and robustness of networks was therefore made in consideration of the cardinal role that international telecommunications have assumed in day to day life and the increasingly </w:t>
      </w:r>
      <w:proofErr w:type="spellStart"/>
      <w:r w:rsidRPr="002D270F">
        <w:rPr>
          <w:rFonts w:asciiTheme="minorHAnsi" w:hAnsiTheme="minorHAnsi" w:cs="Arial"/>
          <w:sz w:val="24"/>
        </w:rPr>
        <w:t>globalised</w:t>
      </w:r>
      <w:proofErr w:type="spellEnd"/>
      <w:r w:rsidRPr="002D270F">
        <w:rPr>
          <w:rFonts w:asciiTheme="minorHAnsi" w:hAnsiTheme="minorHAnsi" w:cs="Arial"/>
          <w:sz w:val="24"/>
        </w:rPr>
        <w:t xml:space="preserve"> and transnational nature of international telecommunication services. This calls for a collective and collaborative approach in ensuring the security and robustness of international telecommunication networks. </w:t>
      </w:r>
    </w:p>
    <w:p w:rsidR="002D270F" w:rsidRPr="002D270F" w:rsidRDefault="002D270F" w:rsidP="002D270F">
      <w:pPr>
        <w:pStyle w:val="ListParagraph"/>
        <w:numPr>
          <w:ilvl w:val="0"/>
          <w:numId w:val="6"/>
        </w:numPr>
        <w:spacing w:before="120" w:after="60"/>
        <w:jc w:val="both"/>
        <w:rPr>
          <w:rFonts w:asciiTheme="minorHAnsi" w:hAnsiTheme="minorHAnsi" w:cs="Arial"/>
          <w:sz w:val="24"/>
        </w:rPr>
      </w:pPr>
      <w:r w:rsidRPr="002D270F">
        <w:rPr>
          <w:rFonts w:asciiTheme="minorHAnsi" w:hAnsiTheme="minorHAnsi" w:cs="Arial"/>
          <w:sz w:val="24"/>
        </w:rPr>
        <w:t xml:space="preserve">Article 8 of the 2012 ITRs, an improvement to article 6 of the 1988 ITRs on charging and accounting, </w:t>
      </w:r>
      <w:proofErr w:type="spellStart"/>
      <w:r w:rsidRPr="002D270F">
        <w:rPr>
          <w:rFonts w:asciiTheme="minorHAnsi" w:hAnsiTheme="minorHAnsi" w:cs="Arial"/>
          <w:sz w:val="24"/>
        </w:rPr>
        <w:t>recognises</w:t>
      </w:r>
      <w:proofErr w:type="spellEnd"/>
      <w:r w:rsidRPr="002D270F">
        <w:rPr>
          <w:rFonts w:asciiTheme="minorHAnsi" w:hAnsiTheme="minorHAnsi" w:cs="Arial"/>
          <w:sz w:val="24"/>
        </w:rPr>
        <w:t xml:space="preserve"> that the provision of international telecommunication services can be established through commercial arrangements or through accounting rate principles established pursuant to national regulation. The article is very relevant as it also encourages Member states to encourage investment in international telecommunication networks to foster competition. This is a good approach, as competition in the provision of international telecommunication services has not been very effective, particularly in the provision of International Internet connectivity. The article also addresses the challenge of discriminatory pricing which is a welcome development in situations where competition is not effective.</w:t>
      </w:r>
    </w:p>
    <w:p w:rsidR="002D270F" w:rsidRPr="002D270F" w:rsidRDefault="002D270F" w:rsidP="002D270F">
      <w:pPr>
        <w:pStyle w:val="ListParagraph"/>
        <w:numPr>
          <w:ilvl w:val="0"/>
          <w:numId w:val="3"/>
        </w:numPr>
        <w:spacing w:before="120" w:after="60"/>
        <w:jc w:val="both"/>
        <w:rPr>
          <w:rFonts w:asciiTheme="minorHAnsi" w:hAnsiTheme="minorHAnsi" w:cs="Arial"/>
          <w:sz w:val="24"/>
        </w:rPr>
      </w:pPr>
      <w:r w:rsidRPr="002D270F">
        <w:rPr>
          <w:rFonts w:asciiTheme="minorHAnsi" w:hAnsiTheme="minorHAnsi" w:cs="Arial"/>
          <w:sz w:val="24"/>
        </w:rPr>
        <w:t xml:space="preserve">Taxation is still the prerogative of Member States and given that foreign operating agencies often have a presence in other countries, it is necessary to have some ground rules and the ITRs provide basic rules. </w:t>
      </w:r>
    </w:p>
    <w:p w:rsidR="002D270F" w:rsidRPr="002D270F" w:rsidRDefault="002D270F" w:rsidP="002D270F">
      <w:pPr>
        <w:pStyle w:val="ListParagraph"/>
        <w:numPr>
          <w:ilvl w:val="0"/>
          <w:numId w:val="3"/>
        </w:numPr>
        <w:spacing w:before="120" w:after="60"/>
        <w:jc w:val="both"/>
        <w:rPr>
          <w:rFonts w:asciiTheme="minorHAnsi" w:hAnsiTheme="minorHAnsi" w:cs="Arial"/>
          <w:sz w:val="24"/>
        </w:rPr>
      </w:pPr>
      <w:r w:rsidRPr="002D270F">
        <w:rPr>
          <w:rFonts w:asciiTheme="minorHAnsi" w:hAnsiTheme="minorHAnsi"/>
          <w:sz w:val="24"/>
        </w:rPr>
        <w:t>The applicability of the 2012 ITRs is grounded in the fact that they are  technology and service neutral,</w:t>
      </w:r>
      <w:r>
        <w:rPr>
          <w:rFonts w:asciiTheme="minorHAnsi" w:hAnsiTheme="minorHAnsi"/>
          <w:sz w:val="24"/>
        </w:rPr>
        <w:t xml:space="preserve"> </w:t>
      </w:r>
      <w:r w:rsidRPr="002D270F">
        <w:rPr>
          <w:rFonts w:asciiTheme="minorHAnsi" w:hAnsiTheme="minorHAnsi"/>
          <w:sz w:val="24"/>
        </w:rPr>
        <w:t xml:space="preserve">still recognize the sovereignty of Member States to regulate their telecommunications, while allowing commercial arrangements by operating agencies and,  </w:t>
      </w:r>
      <w:proofErr w:type="spellStart"/>
      <w:r w:rsidRPr="002D270F">
        <w:rPr>
          <w:rFonts w:asciiTheme="minorHAnsi" w:hAnsiTheme="minorHAnsi"/>
          <w:sz w:val="24"/>
        </w:rPr>
        <w:t>recognising</w:t>
      </w:r>
      <w:proofErr w:type="spellEnd"/>
      <w:r w:rsidRPr="002D270F">
        <w:rPr>
          <w:rFonts w:asciiTheme="minorHAnsi" w:hAnsiTheme="minorHAnsi"/>
          <w:sz w:val="24"/>
        </w:rPr>
        <w:t xml:space="preserve"> market conditions in the provision of international telecommunication services where private enterprises are more active than before. </w:t>
      </w:r>
    </w:p>
    <w:p w:rsidR="002D270F" w:rsidRPr="002D270F" w:rsidRDefault="002D270F" w:rsidP="002D270F">
      <w:pPr>
        <w:spacing w:before="120" w:after="60"/>
        <w:jc w:val="both"/>
        <w:rPr>
          <w:rFonts w:asciiTheme="minorHAnsi" w:hAnsiTheme="minorHAnsi" w:cs="Arial"/>
          <w:sz w:val="24"/>
        </w:rPr>
      </w:pPr>
      <w:r w:rsidRPr="002D270F">
        <w:rPr>
          <w:rFonts w:asciiTheme="minorHAnsi" w:hAnsiTheme="minorHAnsi" w:cs="Arial"/>
          <w:sz w:val="24"/>
        </w:rPr>
        <w:t>The ITRs can be appropriately be further modified to deal with these issues and currently provide a broad framework for these issues to be attended to. Given the points above, which are just a few of the existing examples, the ITRs have remained relevant to telecommunications.</w:t>
      </w:r>
    </w:p>
    <w:p w:rsidR="002D270F" w:rsidRPr="002D270F" w:rsidRDefault="002D270F" w:rsidP="002D270F">
      <w:pPr>
        <w:spacing w:before="240" w:after="60"/>
        <w:jc w:val="both"/>
        <w:rPr>
          <w:rFonts w:asciiTheme="minorHAnsi" w:hAnsiTheme="minorHAnsi" w:cs="Arial"/>
          <w:b/>
          <w:sz w:val="24"/>
        </w:rPr>
      </w:pPr>
      <w:r w:rsidRPr="002D270F">
        <w:rPr>
          <w:rFonts w:asciiTheme="minorHAnsi" w:hAnsiTheme="minorHAnsi" w:cs="Arial"/>
          <w:b/>
          <w:sz w:val="24"/>
        </w:rPr>
        <w:t>4</w:t>
      </w:r>
      <w:r w:rsidRPr="002D270F">
        <w:rPr>
          <w:rFonts w:asciiTheme="minorHAnsi" w:hAnsiTheme="minorHAnsi" w:cs="Arial"/>
          <w:b/>
          <w:sz w:val="24"/>
        </w:rPr>
        <w:tab/>
        <w:t>W</w:t>
      </w:r>
      <w:r>
        <w:rPr>
          <w:rFonts w:asciiTheme="minorHAnsi" w:hAnsiTheme="minorHAnsi" w:cs="Arial"/>
          <w:b/>
          <w:sz w:val="24"/>
        </w:rPr>
        <w:t>hether or not there is conflict between the two treaties</w:t>
      </w:r>
    </w:p>
    <w:p w:rsidR="002D270F" w:rsidRPr="002D270F" w:rsidRDefault="002D270F" w:rsidP="002D270F">
      <w:pPr>
        <w:spacing w:before="60" w:after="60"/>
        <w:jc w:val="both"/>
        <w:rPr>
          <w:rFonts w:asciiTheme="minorHAnsi" w:hAnsiTheme="minorHAnsi" w:cs="Arial"/>
          <w:sz w:val="24"/>
        </w:rPr>
      </w:pPr>
      <w:r w:rsidRPr="002D270F">
        <w:rPr>
          <w:rFonts w:asciiTheme="minorHAnsi" w:hAnsiTheme="minorHAnsi" w:cs="Arial"/>
          <w:sz w:val="24"/>
        </w:rPr>
        <w:t xml:space="preserve">Having looked at the existing differences between the two treaties, it is clear that the changes brought to the ITRs by the 2012 ITRs were simply meant to </w:t>
      </w:r>
      <w:proofErr w:type="spellStart"/>
      <w:r w:rsidRPr="002D270F">
        <w:rPr>
          <w:rFonts w:asciiTheme="minorHAnsi" w:hAnsiTheme="minorHAnsi" w:cs="Arial"/>
          <w:sz w:val="24"/>
        </w:rPr>
        <w:t>modernise</w:t>
      </w:r>
      <w:proofErr w:type="spellEnd"/>
      <w:r w:rsidRPr="002D270F">
        <w:rPr>
          <w:rFonts w:asciiTheme="minorHAnsi" w:hAnsiTheme="minorHAnsi" w:cs="Arial"/>
          <w:sz w:val="24"/>
        </w:rPr>
        <w:t xml:space="preserve"> the old Treaty and to include issues which are currently of concern to Member States and had not existed at the time that the earlier Treaty was formulated. The new provisions were meant to amplify and compliment the then existing provisions. The experience, particularly for Zimbabwe and other countries, has been that no conflict has been experienced in relation to the application of the two Treaties. Given the complimentary nature of the two Treaties, it makes sense for discussions to take place in relation to what the acceptable merger of the two treaties should comprise, so that the two treaties are merged. This should enable those that did not sign the 2012 ITRs to sign the amended version. </w:t>
      </w:r>
    </w:p>
    <w:p w:rsidR="002D270F" w:rsidRPr="002D270F" w:rsidRDefault="002D270F" w:rsidP="002D270F">
      <w:pPr>
        <w:spacing w:before="240" w:after="60"/>
        <w:jc w:val="both"/>
        <w:rPr>
          <w:rFonts w:asciiTheme="minorHAnsi" w:hAnsiTheme="minorHAnsi" w:cs="Arial"/>
          <w:b/>
          <w:sz w:val="24"/>
        </w:rPr>
      </w:pPr>
      <w:r>
        <w:rPr>
          <w:rFonts w:asciiTheme="minorHAnsi" w:hAnsiTheme="minorHAnsi" w:cs="Arial"/>
          <w:b/>
          <w:sz w:val="24"/>
        </w:rPr>
        <w:t>5</w:t>
      </w:r>
      <w:r w:rsidRPr="002D270F">
        <w:rPr>
          <w:rFonts w:asciiTheme="minorHAnsi" w:hAnsiTheme="minorHAnsi" w:cs="Arial"/>
          <w:b/>
          <w:sz w:val="24"/>
        </w:rPr>
        <w:tab/>
      </w:r>
      <w:r>
        <w:rPr>
          <w:rFonts w:asciiTheme="minorHAnsi" w:hAnsiTheme="minorHAnsi" w:cs="Arial"/>
          <w:b/>
          <w:sz w:val="24"/>
        </w:rPr>
        <w:t>Obstacles to implementation of the 2012 ITRs and Resolutions</w:t>
      </w:r>
    </w:p>
    <w:p w:rsidR="002D270F" w:rsidRPr="002D270F" w:rsidRDefault="002D270F" w:rsidP="002D270F">
      <w:pPr>
        <w:spacing w:before="60" w:after="60"/>
        <w:jc w:val="both"/>
        <w:rPr>
          <w:rFonts w:asciiTheme="minorHAnsi" w:hAnsiTheme="minorHAnsi" w:cs="Arial"/>
          <w:sz w:val="24"/>
        </w:rPr>
      </w:pPr>
      <w:r w:rsidRPr="002D270F">
        <w:rPr>
          <w:rFonts w:asciiTheme="minorHAnsi" w:hAnsiTheme="minorHAnsi" w:cs="Arial"/>
          <w:sz w:val="24"/>
        </w:rPr>
        <w:t>The major obstacles are that:</w:t>
      </w:r>
    </w:p>
    <w:p w:rsidR="002D270F" w:rsidRPr="002D270F" w:rsidRDefault="002D270F" w:rsidP="002D270F">
      <w:pPr>
        <w:pStyle w:val="ListParagraph"/>
        <w:numPr>
          <w:ilvl w:val="0"/>
          <w:numId w:val="4"/>
        </w:numPr>
        <w:spacing w:before="60" w:after="60"/>
        <w:contextualSpacing/>
        <w:jc w:val="both"/>
        <w:rPr>
          <w:rFonts w:asciiTheme="minorHAnsi" w:hAnsiTheme="minorHAnsi" w:cs="Arial"/>
          <w:sz w:val="24"/>
        </w:rPr>
      </w:pPr>
      <w:r w:rsidRPr="002D270F">
        <w:rPr>
          <w:rFonts w:asciiTheme="minorHAnsi" w:hAnsiTheme="minorHAnsi" w:cs="Arial"/>
          <w:sz w:val="24"/>
        </w:rPr>
        <w:t>Less than one hundred (100) Member States of ITU signed or ratified the 2012 ITRS which means the remainder of the Members are not bound by the revised ITRs in so far as they depart from the 1988 Treaty.</w:t>
      </w:r>
    </w:p>
    <w:p w:rsidR="002D270F" w:rsidRPr="002D270F" w:rsidRDefault="002D270F" w:rsidP="002D270F">
      <w:pPr>
        <w:pStyle w:val="ListParagraph"/>
        <w:numPr>
          <w:ilvl w:val="0"/>
          <w:numId w:val="4"/>
        </w:numPr>
        <w:spacing w:before="60" w:after="60"/>
        <w:contextualSpacing/>
        <w:jc w:val="both"/>
        <w:rPr>
          <w:rFonts w:asciiTheme="minorHAnsi" w:hAnsiTheme="minorHAnsi" w:cs="Arial"/>
          <w:sz w:val="24"/>
        </w:rPr>
      </w:pPr>
      <w:r w:rsidRPr="002D270F">
        <w:rPr>
          <w:rFonts w:asciiTheme="minorHAnsi" w:hAnsiTheme="minorHAnsi" w:cs="Arial"/>
          <w:sz w:val="24"/>
        </w:rPr>
        <w:t>Issues of cyber security are very contentious among Member states and unless a compromise between primarily the views of Developed and Developing Countries, their inclusion and wording in the ITRs, will remain a stumbling block to effective implementation of the 2012 Treaty.</w:t>
      </w:r>
    </w:p>
    <w:p w:rsidR="002D270F" w:rsidRPr="002D270F" w:rsidRDefault="002D270F" w:rsidP="002D270F">
      <w:pPr>
        <w:pStyle w:val="ListParagraph"/>
        <w:numPr>
          <w:ilvl w:val="0"/>
          <w:numId w:val="4"/>
        </w:numPr>
        <w:spacing w:before="60" w:after="60"/>
        <w:contextualSpacing/>
        <w:jc w:val="both"/>
        <w:rPr>
          <w:rFonts w:asciiTheme="minorHAnsi" w:hAnsiTheme="minorHAnsi" w:cs="Arial"/>
          <w:sz w:val="24"/>
        </w:rPr>
      </w:pPr>
      <w:r w:rsidRPr="002D270F">
        <w:rPr>
          <w:rFonts w:asciiTheme="minorHAnsi" w:hAnsiTheme="minorHAnsi" w:cs="Arial"/>
          <w:sz w:val="24"/>
        </w:rPr>
        <w:t xml:space="preserve">There are many Member States that are facing problems relating to new application or over the top services that are transboundary in nature and defy current forms of  regulation, no matter how legitimate and expect the said services to be covered somehow by the ITRs. However, there are those Member States that are of the view that such services should be left to market forces only. Unless there is consensus on these issues, it will be difficult to reach consensus on how to cover them in the 2012 ITRs. </w:t>
      </w:r>
    </w:p>
    <w:p w:rsidR="002D270F" w:rsidRPr="002D270F" w:rsidRDefault="002D270F" w:rsidP="002D270F">
      <w:pPr>
        <w:spacing w:before="240" w:after="60"/>
        <w:jc w:val="both"/>
        <w:rPr>
          <w:rFonts w:asciiTheme="minorHAnsi" w:hAnsiTheme="minorHAnsi" w:cs="Arial"/>
          <w:b/>
          <w:sz w:val="24"/>
        </w:rPr>
      </w:pPr>
      <w:r>
        <w:rPr>
          <w:rFonts w:asciiTheme="minorHAnsi" w:hAnsiTheme="minorHAnsi" w:cs="Arial"/>
          <w:b/>
          <w:sz w:val="24"/>
        </w:rPr>
        <w:t>6</w:t>
      </w:r>
      <w:r w:rsidRPr="002D270F">
        <w:rPr>
          <w:rFonts w:asciiTheme="minorHAnsi" w:hAnsiTheme="minorHAnsi" w:cs="Arial"/>
          <w:b/>
          <w:sz w:val="24"/>
        </w:rPr>
        <w:tab/>
      </w:r>
      <w:r>
        <w:rPr>
          <w:rFonts w:asciiTheme="minorHAnsi" w:hAnsiTheme="minorHAnsi" w:cs="Arial"/>
          <w:b/>
          <w:sz w:val="24"/>
        </w:rPr>
        <w:t>Conclusion</w:t>
      </w:r>
    </w:p>
    <w:p w:rsidR="002D270F" w:rsidRPr="002D270F" w:rsidRDefault="002D270F" w:rsidP="002D270F">
      <w:pPr>
        <w:pStyle w:val="ListParagraph"/>
        <w:spacing w:before="60" w:after="60"/>
        <w:ind w:left="0"/>
        <w:jc w:val="both"/>
        <w:rPr>
          <w:rFonts w:asciiTheme="minorHAnsi" w:hAnsiTheme="minorHAnsi" w:cs="Arial"/>
          <w:sz w:val="24"/>
        </w:rPr>
      </w:pPr>
      <w:r w:rsidRPr="002D270F">
        <w:rPr>
          <w:rFonts w:asciiTheme="minorHAnsi" w:hAnsiTheme="minorHAnsi" w:cs="Arial"/>
          <w:sz w:val="24"/>
        </w:rPr>
        <w:t xml:space="preserve">In conclusion, the two Treaties are complimentary to each other, with the 2012 ITRs complimenting the 1988 one. The matters that they govern still remain in existence albeit with variations in terminology and some institutional </w:t>
      </w:r>
      <w:proofErr w:type="spellStart"/>
      <w:r w:rsidRPr="002D270F">
        <w:rPr>
          <w:rFonts w:asciiTheme="minorHAnsi" w:hAnsiTheme="minorHAnsi" w:cs="Arial"/>
          <w:sz w:val="24"/>
        </w:rPr>
        <w:t>organisations</w:t>
      </w:r>
      <w:proofErr w:type="spellEnd"/>
      <w:r w:rsidRPr="002D270F">
        <w:rPr>
          <w:rFonts w:asciiTheme="minorHAnsi" w:hAnsiTheme="minorHAnsi" w:cs="Arial"/>
          <w:sz w:val="24"/>
        </w:rPr>
        <w:t>. The new issues covered by the 2012 ITRs are real issues which the world is grappling with today and need to be covered in an international regulatory framework. It is important to carry everyone on board to find a lasting solution to the ITR problem. Accordingly, it is recommended as follows:</w:t>
      </w:r>
    </w:p>
    <w:p w:rsidR="002D270F" w:rsidRPr="002D270F" w:rsidRDefault="002D270F" w:rsidP="002D270F">
      <w:pPr>
        <w:pStyle w:val="ListParagraph"/>
        <w:numPr>
          <w:ilvl w:val="0"/>
          <w:numId w:val="5"/>
        </w:numPr>
        <w:spacing w:before="60" w:after="60"/>
        <w:contextualSpacing/>
        <w:jc w:val="both"/>
        <w:rPr>
          <w:rFonts w:asciiTheme="minorHAnsi" w:hAnsiTheme="minorHAnsi" w:cs="Arial"/>
          <w:sz w:val="24"/>
        </w:rPr>
      </w:pPr>
      <w:r w:rsidRPr="002D270F">
        <w:rPr>
          <w:rFonts w:asciiTheme="minorHAnsi" w:hAnsiTheme="minorHAnsi" w:cs="Arial"/>
          <w:sz w:val="24"/>
        </w:rPr>
        <w:t>Measures be put in place for discussion of the contentious issues on security and emerging technologies in order to find a way of accommodating these appropriately in the ITRs</w:t>
      </w:r>
    </w:p>
    <w:p w:rsidR="002D270F" w:rsidRPr="002D270F" w:rsidRDefault="002D270F" w:rsidP="002D270F">
      <w:pPr>
        <w:pStyle w:val="ListParagraph"/>
        <w:numPr>
          <w:ilvl w:val="0"/>
          <w:numId w:val="5"/>
        </w:numPr>
        <w:spacing w:before="60" w:after="60"/>
        <w:contextualSpacing/>
        <w:jc w:val="both"/>
        <w:rPr>
          <w:rFonts w:asciiTheme="minorHAnsi" w:hAnsiTheme="minorHAnsi" w:cs="Arial"/>
          <w:sz w:val="24"/>
        </w:rPr>
      </w:pPr>
      <w:r w:rsidRPr="002D270F">
        <w:rPr>
          <w:rFonts w:asciiTheme="minorHAnsi" w:hAnsiTheme="minorHAnsi" w:cs="Arial"/>
          <w:sz w:val="24"/>
        </w:rPr>
        <w:t>Appropriate consultations to ensure that there is buy in by the majority of Member States on a review of the ITRs are made</w:t>
      </w:r>
    </w:p>
    <w:p w:rsidR="002D270F" w:rsidRPr="002D270F" w:rsidRDefault="002D270F" w:rsidP="002D270F">
      <w:pPr>
        <w:pStyle w:val="ListParagraph"/>
        <w:numPr>
          <w:ilvl w:val="0"/>
          <w:numId w:val="5"/>
        </w:numPr>
        <w:spacing w:before="60" w:after="60"/>
        <w:rPr>
          <w:rFonts w:asciiTheme="minorHAnsi" w:hAnsiTheme="minorHAnsi" w:cs="Arial"/>
          <w:sz w:val="24"/>
        </w:rPr>
      </w:pPr>
      <w:r w:rsidRPr="002D270F">
        <w:rPr>
          <w:rFonts w:asciiTheme="minorHAnsi" w:hAnsiTheme="minorHAnsi" w:cs="Arial"/>
          <w:sz w:val="24"/>
        </w:rPr>
        <w:t>That once consensus is reached, Review of the ITRs be made</w:t>
      </w:r>
    </w:p>
    <w:p w:rsidR="002D270F" w:rsidRPr="002D270F" w:rsidRDefault="002D270F" w:rsidP="002D270F">
      <w:pPr>
        <w:pStyle w:val="ListParagraph"/>
        <w:spacing w:before="60" w:after="60"/>
        <w:ind w:left="1508"/>
        <w:contextualSpacing/>
        <w:jc w:val="both"/>
        <w:rPr>
          <w:rFonts w:asciiTheme="minorHAnsi" w:hAnsiTheme="minorHAnsi" w:cs="Arial"/>
          <w:sz w:val="24"/>
        </w:rPr>
      </w:pPr>
    </w:p>
    <w:p w:rsidR="002D270F" w:rsidRDefault="002D270F" w:rsidP="002D270F">
      <w:pPr>
        <w:pStyle w:val="ListParagraph"/>
        <w:numPr>
          <w:ilvl w:val="0"/>
          <w:numId w:val="5"/>
        </w:numPr>
        <w:spacing w:before="60" w:after="60"/>
        <w:contextualSpacing/>
        <w:jc w:val="both"/>
        <w:rPr>
          <w:rFonts w:asciiTheme="minorHAnsi" w:hAnsiTheme="minorHAnsi" w:cs="Arial"/>
          <w:sz w:val="24"/>
        </w:rPr>
      </w:pPr>
      <w:r w:rsidRPr="002D270F">
        <w:rPr>
          <w:rFonts w:asciiTheme="minorHAnsi" w:hAnsiTheme="minorHAnsi" w:cs="Arial"/>
          <w:sz w:val="24"/>
        </w:rPr>
        <w:t>That only when it is clear that consensus can be reached on the contentious issues, should a proposal to hold another World Conference on International Telecommunications be considered, in order to avoid a split result.</w:t>
      </w:r>
    </w:p>
    <w:p w:rsidR="002D270F" w:rsidRDefault="002D270F" w:rsidP="002D270F">
      <w:pPr>
        <w:spacing w:before="60" w:after="60"/>
        <w:contextualSpacing/>
        <w:jc w:val="both"/>
        <w:rPr>
          <w:rFonts w:asciiTheme="minorHAnsi" w:hAnsiTheme="minorHAnsi" w:cs="Arial"/>
          <w:sz w:val="24"/>
        </w:rPr>
      </w:pPr>
    </w:p>
    <w:p w:rsidR="002D270F" w:rsidRPr="002D270F" w:rsidRDefault="002D270F" w:rsidP="002D270F">
      <w:pPr>
        <w:spacing w:before="60" w:after="60"/>
        <w:contextualSpacing/>
        <w:jc w:val="both"/>
        <w:rPr>
          <w:rFonts w:asciiTheme="minorHAnsi" w:hAnsiTheme="minorHAnsi" w:cs="Arial"/>
          <w:sz w:val="24"/>
        </w:rPr>
      </w:pPr>
    </w:p>
    <w:p w:rsidR="002D270F" w:rsidRPr="002D270F" w:rsidRDefault="002D270F" w:rsidP="002D270F">
      <w:pPr>
        <w:pStyle w:val="ListParagraph"/>
        <w:spacing w:before="60" w:after="60"/>
        <w:ind w:left="0"/>
        <w:contextualSpacing/>
        <w:jc w:val="center"/>
        <w:rPr>
          <w:rFonts w:asciiTheme="minorHAnsi" w:hAnsiTheme="minorHAnsi" w:cs="Arial"/>
          <w:sz w:val="24"/>
          <w:u w:val="single"/>
        </w:rPr>
      </w:pPr>
      <w:r>
        <w:rPr>
          <w:rFonts w:asciiTheme="minorHAnsi" w:hAnsiTheme="minorHAnsi" w:cs="Arial"/>
          <w:sz w:val="24"/>
          <w:u w:val="single"/>
        </w:rPr>
        <w:t>                                          </w:t>
      </w:r>
    </w:p>
    <w:sectPr w:rsidR="002D270F" w:rsidRPr="002D270F" w:rsidSect="002D270F">
      <w:headerReference w:type="default" r:id="rId13"/>
      <w:pgSz w:w="11901" w:h="16840" w:code="9"/>
      <w:pgMar w:top="1418" w:right="1077" w:bottom="851" w:left="1077" w:header="397" w:footer="720"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EC9" w:rsidRDefault="00D27EC9">
      <w:r>
        <w:separator/>
      </w:r>
    </w:p>
  </w:endnote>
  <w:endnote w:type="continuationSeparator" w:id="0">
    <w:p w:rsidR="00D27EC9" w:rsidRDefault="00D27EC9">
      <w:r>
        <w:continuationSeparator/>
      </w:r>
    </w:p>
  </w:endnote>
  <w:endnote w:type="continuationNotice" w:id="1">
    <w:p w:rsidR="00D27EC9" w:rsidRDefault="00D27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EC9" w:rsidRDefault="00D27EC9">
      <w:r>
        <w:separator/>
      </w:r>
    </w:p>
  </w:footnote>
  <w:footnote w:type="continuationSeparator" w:id="0">
    <w:p w:rsidR="00D27EC9" w:rsidRDefault="00D27EC9">
      <w:r>
        <w:continuationSeparator/>
      </w:r>
    </w:p>
  </w:footnote>
  <w:footnote w:type="continuationNotice" w:id="1">
    <w:p w:rsidR="00D27EC9" w:rsidRDefault="00D27E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46D" w:rsidRPr="0056246D" w:rsidRDefault="0056246D" w:rsidP="0056246D">
    <w:pPr>
      <w:pStyle w:val="Header"/>
      <w:jc w:val="center"/>
      <w:rPr>
        <w:rFonts w:asciiTheme="minorHAnsi" w:hAnsiTheme="minorHAnsi"/>
      </w:rPr>
    </w:pPr>
    <w:r w:rsidRPr="0056246D">
      <w:rPr>
        <w:rFonts w:asciiTheme="minorHAnsi" w:hAnsiTheme="minorHAnsi"/>
      </w:rPr>
      <w:fldChar w:fldCharType="begin"/>
    </w:r>
    <w:r w:rsidRPr="0056246D">
      <w:rPr>
        <w:rFonts w:asciiTheme="minorHAnsi" w:hAnsiTheme="minorHAnsi"/>
      </w:rPr>
      <w:instrText xml:space="preserve"> PAGE   \* MERGEFORMAT </w:instrText>
    </w:r>
    <w:r w:rsidRPr="0056246D">
      <w:rPr>
        <w:rFonts w:asciiTheme="minorHAnsi" w:hAnsiTheme="minorHAnsi"/>
      </w:rPr>
      <w:fldChar w:fldCharType="separate"/>
    </w:r>
    <w:r w:rsidR="00A43DBE">
      <w:rPr>
        <w:rFonts w:asciiTheme="minorHAnsi" w:hAnsiTheme="minorHAnsi"/>
        <w:noProof/>
      </w:rPr>
      <w:t>5</w:t>
    </w:r>
    <w:r w:rsidRPr="0056246D">
      <w:rPr>
        <w:rFonts w:asciiTheme="minorHAnsi" w:hAnsiTheme="minorHAns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72C"/>
    <w:multiLevelType w:val="multilevel"/>
    <w:tmpl w:val="F064CE96"/>
    <w:lvl w:ilvl="0">
      <w:start w:val="1"/>
      <w:numFmt w:val="decimal"/>
      <w:lvlText w:val="%1."/>
      <w:lvlJc w:val="left"/>
      <w:pPr>
        <w:ind w:left="720" w:hanging="360"/>
      </w:pPr>
      <w:rPr>
        <w:rFonts w:hint="default"/>
        <w:b/>
        <w:color w:val="44546A" w:themeColor="text2"/>
      </w:rPr>
    </w:lvl>
    <w:lvl w:ilvl="1">
      <w:start w:val="1"/>
      <w:numFmt w:val="decimal"/>
      <w:isLgl/>
      <w:lvlText w:val="%1.%2"/>
      <w:lvlJc w:val="left"/>
      <w:pPr>
        <w:ind w:left="1080" w:hanging="360"/>
      </w:pPr>
      <w:rPr>
        <w:rFonts w:ascii="Segoe UI" w:hAnsi="Segoe UI" w:cs="Segoe UI" w:hint="default"/>
        <w:sz w:val="20"/>
      </w:rPr>
    </w:lvl>
    <w:lvl w:ilvl="2">
      <w:start w:val="1"/>
      <w:numFmt w:val="decimal"/>
      <w:isLgl/>
      <w:lvlText w:val="%1.%2.%3"/>
      <w:lvlJc w:val="left"/>
      <w:pPr>
        <w:ind w:left="1800" w:hanging="720"/>
      </w:pPr>
      <w:rPr>
        <w:rFonts w:ascii="Segoe UI" w:hAnsi="Segoe UI" w:cs="Segoe UI" w:hint="default"/>
        <w:sz w:val="20"/>
      </w:rPr>
    </w:lvl>
    <w:lvl w:ilvl="3">
      <w:start w:val="1"/>
      <w:numFmt w:val="decimal"/>
      <w:isLgl/>
      <w:lvlText w:val="%1.%2.%3.%4"/>
      <w:lvlJc w:val="left"/>
      <w:pPr>
        <w:ind w:left="2520" w:hanging="1080"/>
      </w:pPr>
      <w:rPr>
        <w:rFonts w:ascii="Segoe UI" w:hAnsi="Segoe UI" w:cs="Segoe UI" w:hint="default"/>
        <w:sz w:val="20"/>
      </w:rPr>
    </w:lvl>
    <w:lvl w:ilvl="4">
      <w:start w:val="1"/>
      <w:numFmt w:val="decimal"/>
      <w:isLgl/>
      <w:lvlText w:val="%1.%2.%3.%4.%5"/>
      <w:lvlJc w:val="left"/>
      <w:pPr>
        <w:ind w:left="2880" w:hanging="1080"/>
      </w:pPr>
      <w:rPr>
        <w:rFonts w:ascii="Segoe UI" w:hAnsi="Segoe UI" w:cs="Segoe UI" w:hint="default"/>
        <w:sz w:val="20"/>
      </w:rPr>
    </w:lvl>
    <w:lvl w:ilvl="5">
      <w:start w:val="1"/>
      <w:numFmt w:val="decimal"/>
      <w:isLgl/>
      <w:lvlText w:val="%1.%2.%3.%4.%5.%6"/>
      <w:lvlJc w:val="left"/>
      <w:pPr>
        <w:ind w:left="3600" w:hanging="1440"/>
      </w:pPr>
      <w:rPr>
        <w:rFonts w:ascii="Segoe UI" w:hAnsi="Segoe UI" w:cs="Segoe UI" w:hint="default"/>
        <w:sz w:val="20"/>
      </w:rPr>
    </w:lvl>
    <w:lvl w:ilvl="6">
      <w:start w:val="1"/>
      <w:numFmt w:val="decimal"/>
      <w:isLgl/>
      <w:lvlText w:val="%1.%2.%3.%4.%5.%6.%7"/>
      <w:lvlJc w:val="left"/>
      <w:pPr>
        <w:ind w:left="3960" w:hanging="1440"/>
      </w:pPr>
      <w:rPr>
        <w:rFonts w:ascii="Segoe UI" w:hAnsi="Segoe UI" w:cs="Segoe UI" w:hint="default"/>
        <w:sz w:val="20"/>
      </w:rPr>
    </w:lvl>
    <w:lvl w:ilvl="7">
      <w:start w:val="1"/>
      <w:numFmt w:val="decimal"/>
      <w:isLgl/>
      <w:lvlText w:val="%1.%2.%3.%4.%5.%6.%7.%8"/>
      <w:lvlJc w:val="left"/>
      <w:pPr>
        <w:ind w:left="4680" w:hanging="1800"/>
      </w:pPr>
      <w:rPr>
        <w:rFonts w:ascii="Segoe UI" w:hAnsi="Segoe UI" w:cs="Segoe UI" w:hint="default"/>
        <w:sz w:val="20"/>
      </w:rPr>
    </w:lvl>
    <w:lvl w:ilvl="8">
      <w:start w:val="1"/>
      <w:numFmt w:val="decimal"/>
      <w:isLgl/>
      <w:lvlText w:val="%1.%2.%3.%4.%5.%6.%7.%8.%9"/>
      <w:lvlJc w:val="left"/>
      <w:pPr>
        <w:ind w:left="5040" w:hanging="1800"/>
      </w:pPr>
      <w:rPr>
        <w:rFonts w:ascii="Segoe UI" w:hAnsi="Segoe UI" w:cs="Segoe UI" w:hint="default"/>
        <w:sz w:val="20"/>
      </w:rPr>
    </w:lvl>
  </w:abstractNum>
  <w:abstractNum w:abstractNumId="1" w15:restartNumberingAfterBreak="0">
    <w:nsid w:val="13111C28"/>
    <w:multiLevelType w:val="hybridMultilevel"/>
    <w:tmpl w:val="E0DE46F6"/>
    <w:lvl w:ilvl="0" w:tplc="30090017">
      <w:start w:val="1"/>
      <w:numFmt w:val="lowerLetter"/>
      <w:lvlText w:val="%1)"/>
      <w:lvlJc w:val="left"/>
      <w:pPr>
        <w:ind w:left="1508" w:hanging="360"/>
      </w:pPr>
    </w:lvl>
    <w:lvl w:ilvl="1" w:tplc="30090019" w:tentative="1">
      <w:start w:val="1"/>
      <w:numFmt w:val="lowerLetter"/>
      <w:lvlText w:val="%2."/>
      <w:lvlJc w:val="left"/>
      <w:pPr>
        <w:ind w:left="2228" w:hanging="360"/>
      </w:pPr>
    </w:lvl>
    <w:lvl w:ilvl="2" w:tplc="3009001B" w:tentative="1">
      <w:start w:val="1"/>
      <w:numFmt w:val="lowerRoman"/>
      <w:lvlText w:val="%3."/>
      <w:lvlJc w:val="right"/>
      <w:pPr>
        <w:ind w:left="2948" w:hanging="180"/>
      </w:pPr>
    </w:lvl>
    <w:lvl w:ilvl="3" w:tplc="3009000F" w:tentative="1">
      <w:start w:val="1"/>
      <w:numFmt w:val="decimal"/>
      <w:lvlText w:val="%4."/>
      <w:lvlJc w:val="left"/>
      <w:pPr>
        <w:ind w:left="3668" w:hanging="360"/>
      </w:pPr>
    </w:lvl>
    <w:lvl w:ilvl="4" w:tplc="30090019" w:tentative="1">
      <w:start w:val="1"/>
      <w:numFmt w:val="lowerLetter"/>
      <w:lvlText w:val="%5."/>
      <w:lvlJc w:val="left"/>
      <w:pPr>
        <w:ind w:left="4388" w:hanging="360"/>
      </w:pPr>
    </w:lvl>
    <w:lvl w:ilvl="5" w:tplc="3009001B" w:tentative="1">
      <w:start w:val="1"/>
      <w:numFmt w:val="lowerRoman"/>
      <w:lvlText w:val="%6."/>
      <w:lvlJc w:val="right"/>
      <w:pPr>
        <w:ind w:left="5108" w:hanging="180"/>
      </w:pPr>
    </w:lvl>
    <w:lvl w:ilvl="6" w:tplc="3009000F" w:tentative="1">
      <w:start w:val="1"/>
      <w:numFmt w:val="decimal"/>
      <w:lvlText w:val="%7."/>
      <w:lvlJc w:val="left"/>
      <w:pPr>
        <w:ind w:left="5828" w:hanging="360"/>
      </w:pPr>
    </w:lvl>
    <w:lvl w:ilvl="7" w:tplc="30090019" w:tentative="1">
      <w:start w:val="1"/>
      <w:numFmt w:val="lowerLetter"/>
      <w:lvlText w:val="%8."/>
      <w:lvlJc w:val="left"/>
      <w:pPr>
        <w:ind w:left="6548" w:hanging="360"/>
      </w:pPr>
    </w:lvl>
    <w:lvl w:ilvl="8" w:tplc="3009001B" w:tentative="1">
      <w:start w:val="1"/>
      <w:numFmt w:val="lowerRoman"/>
      <w:lvlText w:val="%9."/>
      <w:lvlJc w:val="right"/>
      <w:pPr>
        <w:ind w:left="7268" w:hanging="180"/>
      </w:pPr>
    </w:lvl>
  </w:abstractNum>
  <w:abstractNum w:abstractNumId="2" w15:restartNumberingAfterBreak="0">
    <w:nsid w:val="3E5F023E"/>
    <w:multiLevelType w:val="hybridMultilevel"/>
    <w:tmpl w:val="E828DCB4"/>
    <w:lvl w:ilvl="0" w:tplc="83C21F22">
      <w:start w:val="1"/>
      <w:numFmt w:val="bullet"/>
      <w:lvlText w:val=""/>
      <w:lvlJc w:val="left"/>
      <w:pPr>
        <w:ind w:left="788" w:hanging="360"/>
      </w:pPr>
      <w:rPr>
        <w:rFonts w:ascii="Symbol" w:hAnsi="Symbol" w:hint="default"/>
        <w:color w:val="auto"/>
      </w:rPr>
    </w:lvl>
    <w:lvl w:ilvl="1" w:tplc="30090003">
      <w:start w:val="1"/>
      <w:numFmt w:val="bullet"/>
      <w:lvlText w:val="o"/>
      <w:lvlJc w:val="left"/>
      <w:pPr>
        <w:ind w:left="1508" w:hanging="360"/>
      </w:pPr>
      <w:rPr>
        <w:rFonts w:ascii="Courier New" w:hAnsi="Courier New" w:cs="Courier New" w:hint="default"/>
      </w:rPr>
    </w:lvl>
    <w:lvl w:ilvl="2" w:tplc="30090005" w:tentative="1">
      <w:start w:val="1"/>
      <w:numFmt w:val="bullet"/>
      <w:lvlText w:val=""/>
      <w:lvlJc w:val="left"/>
      <w:pPr>
        <w:ind w:left="2228" w:hanging="360"/>
      </w:pPr>
      <w:rPr>
        <w:rFonts w:ascii="Wingdings" w:hAnsi="Wingdings" w:hint="default"/>
      </w:rPr>
    </w:lvl>
    <w:lvl w:ilvl="3" w:tplc="30090001" w:tentative="1">
      <w:start w:val="1"/>
      <w:numFmt w:val="bullet"/>
      <w:lvlText w:val=""/>
      <w:lvlJc w:val="left"/>
      <w:pPr>
        <w:ind w:left="2948" w:hanging="360"/>
      </w:pPr>
      <w:rPr>
        <w:rFonts w:ascii="Symbol" w:hAnsi="Symbol" w:hint="default"/>
      </w:rPr>
    </w:lvl>
    <w:lvl w:ilvl="4" w:tplc="30090003" w:tentative="1">
      <w:start w:val="1"/>
      <w:numFmt w:val="bullet"/>
      <w:lvlText w:val="o"/>
      <w:lvlJc w:val="left"/>
      <w:pPr>
        <w:ind w:left="3668" w:hanging="360"/>
      </w:pPr>
      <w:rPr>
        <w:rFonts w:ascii="Courier New" w:hAnsi="Courier New" w:cs="Courier New" w:hint="default"/>
      </w:rPr>
    </w:lvl>
    <w:lvl w:ilvl="5" w:tplc="30090005" w:tentative="1">
      <w:start w:val="1"/>
      <w:numFmt w:val="bullet"/>
      <w:lvlText w:val=""/>
      <w:lvlJc w:val="left"/>
      <w:pPr>
        <w:ind w:left="4388" w:hanging="360"/>
      </w:pPr>
      <w:rPr>
        <w:rFonts w:ascii="Wingdings" w:hAnsi="Wingdings" w:hint="default"/>
      </w:rPr>
    </w:lvl>
    <w:lvl w:ilvl="6" w:tplc="30090001" w:tentative="1">
      <w:start w:val="1"/>
      <w:numFmt w:val="bullet"/>
      <w:lvlText w:val=""/>
      <w:lvlJc w:val="left"/>
      <w:pPr>
        <w:ind w:left="5108" w:hanging="360"/>
      </w:pPr>
      <w:rPr>
        <w:rFonts w:ascii="Symbol" w:hAnsi="Symbol" w:hint="default"/>
      </w:rPr>
    </w:lvl>
    <w:lvl w:ilvl="7" w:tplc="30090003" w:tentative="1">
      <w:start w:val="1"/>
      <w:numFmt w:val="bullet"/>
      <w:lvlText w:val="o"/>
      <w:lvlJc w:val="left"/>
      <w:pPr>
        <w:ind w:left="5828" w:hanging="360"/>
      </w:pPr>
      <w:rPr>
        <w:rFonts w:ascii="Courier New" w:hAnsi="Courier New" w:cs="Courier New" w:hint="default"/>
      </w:rPr>
    </w:lvl>
    <w:lvl w:ilvl="8" w:tplc="30090005" w:tentative="1">
      <w:start w:val="1"/>
      <w:numFmt w:val="bullet"/>
      <w:lvlText w:val=""/>
      <w:lvlJc w:val="left"/>
      <w:pPr>
        <w:ind w:left="6548" w:hanging="360"/>
      </w:pPr>
      <w:rPr>
        <w:rFonts w:ascii="Wingdings" w:hAnsi="Wingdings" w:hint="default"/>
      </w:rPr>
    </w:lvl>
  </w:abstractNum>
  <w:abstractNum w:abstractNumId="3" w15:restartNumberingAfterBreak="0">
    <w:nsid w:val="442C1798"/>
    <w:multiLevelType w:val="hybridMultilevel"/>
    <w:tmpl w:val="B1B4C176"/>
    <w:lvl w:ilvl="0" w:tplc="30090001">
      <w:start w:val="1"/>
      <w:numFmt w:val="bullet"/>
      <w:lvlText w:val=""/>
      <w:lvlJc w:val="left"/>
      <w:pPr>
        <w:ind w:left="788" w:hanging="360"/>
      </w:pPr>
      <w:rPr>
        <w:rFonts w:ascii="Symbol" w:hAnsi="Symbol" w:hint="default"/>
      </w:rPr>
    </w:lvl>
    <w:lvl w:ilvl="1" w:tplc="30090003" w:tentative="1">
      <w:start w:val="1"/>
      <w:numFmt w:val="bullet"/>
      <w:lvlText w:val="o"/>
      <w:lvlJc w:val="left"/>
      <w:pPr>
        <w:ind w:left="1508" w:hanging="360"/>
      </w:pPr>
      <w:rPr>
        <w:rFonts w:ascii="Courier New" w:hAnsi="Courier New" w:cs="Courier New" w:hint="default"/>
      </w:rPr>
    </w:lvl>
    <w:lvl w:ilvl="2" w:tplc="30090005" w:tentative="1">
      <w:start w:val="1"/>
      <w:numFmt w:val="bullet"/>
      <w:lvlText w:val=""/>
      <w:lvlJc w:val="left"/>
      <w:pPr>
        <w:ind w:left="2228" w:hanging="360"/>
      </w:pPr>
      <w:rPr>
        <w:rFonts w:ascii="Wingdings" w:hAnsi="Wingdings" w:hint="default"/>
      </w:rPr>
    </w:lvl>
    <w:lvl w:ilvl="3" w:tplc="30090001" w:tentative="1">
      <w:start w:val="1"/>
      <w:numFmt w:val="bullet"/>
      <w:lvlText w:val=""/>
      <w:lvlJc w:val="left"/>
      <w:pPr>
        <w:ind w:left="2948" w:hanging="360"/>
      </w:pPr>
      <w:rPr>
        <w:rFonts w:ascii="Symbol" w:hAnsi="Symbol" w:hint="default"/>
      </w:rPr>
    </w:lvl>
    <w:lvl w:ilvl="4" w:tplc="30090003" w:tentative="1">
      <w:start w:val="1"/>
      <w:numFmt w:val="bullet"/>
      <w:lvlText w:val="o"/>
      <w:lvlJc w:val="left"/>
      <w:pPr>
        <w:ind w:left="3668" w:hanging="360"/>
      </w:pPr>
      <w:rPr>
        <w:rFonts w:ascii="Courier New" w:hAnsi="Courier New" w:cs="Courier New" w:hint="default"/>
      </w:rPr>
    </w:lvl>
    <w:lvl w:ilvl="5" w:tplc="30090005" w:tentative="1">
      <w:start w:val="1"/>
      <w:numFmt w:val="bullet"/>
      <w:lvlText w:val=""/>
      <w:lvlJc w:val="left"/>
      <w:pPr>
        <w:ind w:left="4388" w:hanging="360"/>
      </w:pPr>
      <w:rPr>
        <w:rFonts w:ascii="Wingdings" w:hAnsi="Wingdings" w:hint="default"/>
      </w:rPr>
    </w:lvl>
    <w:lvl w:ilvl="6" w:tplc="30090001" w:tentative="1">
      <w:start w:val="1"/>
      <w:numFmt w:val="bullet"/>
      <w:lvlText w:val=""/>
      <w:lvlJc w:val="left"/>
      <w:pPr>
        <w:ind w:left="5108" w:hanging="360"/>
      </w:pPr>
      <w:rPr>
        <w:rFonts w:ascii="Symbol" w:hAnsi="Symbol" w:hint="default"/>
      </w:rPr>
    </w:lvl>
    <w:lvl w:ilvl="7" w:tplc="30090003" w:tentative="1">
      <w:start w:val="1"/>
      <w:numFmt w:val="bullet"/>
      <w:lvlText w:val="o"/>
      <w:lvlJc w:val="left"/>
      <w:pPr>
        <w:ind w:left="5828" w:hanging="360"/>
      </w:pPr>
      <w:rPr>
        <w:rFonts w:ascii="Courier New" w:hAnsi="Courier New" w:cs="Courier New" w:hint="default"/>
      </w:rPr>
    </w:lvl>
    <w:lvl w:ilvl="8" w:tplc="30090005" w:tentative="1">
      <w:start w:val="1"/>
      <w:numFmt w:val="bullet"/>
      <w:lvlText w:val=""/>
      <w:lvlJc w:val="left"/>
      <w:pPr>
        <w:ind w:left="6548" w:hanging="360"/>
      </w:pPr>
      <w:rPr>
        <w:rFonts w:ascii="Wingdings" w:hAnsi="Wingdings" w:hint="default"/>
      </w:rPr>
    </w:lvl>
  </w:abstractNum>
  <w:abstractNum w:abstractNumId="4" w15:restartNumberingAfterBreak="0">
    <w:nsid w:val="587E2FEA"/>
    <w:multiLevelType w:val="hybridMultilevel"/>
    <w:tmpl w:val="FD58D57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67480BC8"/>
    <w:multiLevelType w:val="hybridMultilevel"/>
    <w:tmpl w:val="4896173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C6"/>
    <w:rsid w:val="00000257"/>
    <w:rsid w:val="00001A9C"/>
    <w:rsid w:val="000038C4"/>
    <w:rsid w:val="00007F7F"/>
    <w:rsid w:val="00010C32"/>
    <w:rsid w:val="00010F48"/>
    <w:rsid w:val="000147CA"/>
    <w:rsid w:val="0001781D"/>
    <w:rsid w:val="0002197D"/>
    <w:rsid w:val="00021DF9"/>
    <w:rsid w:val="0002607F"/>
    <w:rsid w:val="000264BE"/>
    <w:rsid w:val="000268B0"/>
    <w:rsid w:val="00027767"/>
    <w:rsid w:val="0003282D"/>
    <w:rsid w:val="00047F0D"/>
    <w:rsid w:val="00052578"/>
    <w:rsid w:val="00052886"/>
    <w:rsid w:val="00052EB0"/>
    <w:rsid w:val="00053C26"/>
    <w:rsid w:val="00053FE3"/>
    <w:rsid w:val="00054724"/>
    <w:rsid w:val="000548E3"/>
    <w:rsid w:val="0006023C"/>
    <w:rsid w:val="00060990"/>
    <w:rsid w:val="0006108F"/>
    <w:rsid w:val="00061780"/>
    <w:rsid w:val="00065E3D"/>
    <w:rsid w:val="000720AB"/>
    <w:rsid w:val="0007733F"/>
    <w:rsid w:val="000811C5"/>
    <w:rsid w:val="0008236A"/>
    <w:rsid w:val="000929FF"/>
    <w:rsid w:val="00093ACA"/>
    <w:rsid w:val="000A1688"/>
    <w:rsid w:val="000A5071"/>
    <w:rsid w:val="000B4C95"/>
    <w:rsid w:val="000C20DC"/>
    <w:rsid w:val="000C2A2E"/>
    <w:rsid w:val="000C2C28"/>
    <w:rsid w:val="000C4839"/>
    <w:rsid w:val="000D1EC9"/>
    <w:rsid w:val="000D746E"/>
    <w:rsid w:val="000E0B2E"/>
    <w:rsid w:val="000E6444"/>
    <w:rsid w:val="000E6F49"/>
    <w:rsid w:val="000E738E"/>
    <w:rsid w:val="000F2E67"/>
    <w:rsid w:val="000F366F"/>
    <w:rsid w:val="000F7587"/>
    <w:rsid w:val="0010077D"/>
    <w:rsid w:val="00100FFB"/>
    <w:rsid w:val="001012BC"/>
    <w:rsid w:val="0010361A"/>
    <w:rsid w:val="0010375B"/>
    <w:rsid w:val="001054A9"/>
    <w:rsid w:val="00111A8A"/>
    <w:rsid w:val="0011506D"/>
    <w:rsid w:val="001158FB"/>
    <w:rsid w:val="001164E6"/>
    <w:rsid w:val="001217CF"/>
    <w:rsid w:val="00121D0F"/>
    <w:rsid w:val="00122205"/>
    <w:rsid w:val="0012767B"/>
    <w:rsid w:val="00130BEC"/>
    <w:rsid w:val="0014173E"/>
    <w:rsid w:val="00143AFF"/>
    <w:rsid w:val="00144878"/>
    <w:rsid w:val="00151F6B"/>
    <w:rsid w:val="001668F0"/>
    <w:rsid w:val="0017057A"/>
    <w:rsid w:val="001743A1"/>
    <w:rsid w:val="00193826"/>
    <w:rsid w:val="00194AC8"/>
    <w:rsid w:val="001962CD"/>
    <w:rsid w:val="001A1E52"/>
    <w:rsid w:val="001B0D22"/>
    <w:rsid w:val="001B17B9"/>
    <w:rsid w:val="001B3FBE"/>
    <w:rsid w:val="001B506B"/>
    <w:rsid w:val="001B5EDA"/>
    <w:rsid w:val="001B776D"/>
    <w:rsid w:val="001B7A37"/>
    <w:rsid w:val="001C230E"/>
    <w:rsid w:val="001C2863"/>
    <w:rsid w:val="001C36A8"/>
    <w:rsid w:val="001C4440"/>
    <w:rsid w:val="001C533D"/>
    <w:rsid w:val="001D16E1"/>
    <w:rsid w:val="001D27FE"/>
    <w:rsid w:val="001D6882"/>
    <w:rsid w:val="001D69BE"/>
    <w:rsid w:val="001D6BE4"/>
    <w:rsid w:val="001E4BD2"/>
    <w:rsid w:val="001E5885"/>
    <w:rsid w:val="001E5B3B"/>
    <w:rsid w:val="00200486"/>
    <w:rsid w:val="00200CD5"/>
    <w:rsid w:val="0020692F"/>
    <w:rsid w:val="002070AD"/>
    <w:rsid w:val="00207123"/>
    <w:rsid w:val="002079BE"/>
    <w:rsid w:val="0021145F"/>
    <w:rsid w:val="00212BF7"/>
    <w:rsid w:val="00214150"/>
    <w:rsid w:val="0022078A"/>
    <w:rsid w:val="002228D5"/>
    <w:rsid w:val="0022556C"/>
    <w:rsid w:val="00226DAD"/>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438C"/>
    <w:rsid w:val="00287A13"/>
    <w:rsid w:val="00291555"/>
    <w:rsid w:val="00291F7C"/>
    <w:rsid w:val="00292EB7"/>
    <w:rsid w:val="002A09B4"/>
    <w:rsid w:val="002A173B"/>
    <w:rsid w:val="002A264E"/>
    <w:rsid w:val="002A6B9A"/>
    <w:rsid w:val="002B4498"/>
    <w:rsid w:val="002B4C20"/>
    <w:rsid w:val="002B7F6E"/>
    <w:rsid w:val="002D0F7E"/>
    <w:rsid w:val="002D270F"/>
    <w:rsid w:val="002E04CE"/>
    <w:rsid w:val="002E581D"/>
    <w:rsid w:val="002E5B9B"/>
    <w:rsid w:val="002F150A"/>
    <w:rsid w:val="003010A1"/>
    <w:rsid w:val="00302584"/>
    <w:rsid w:val="00302B27"/>
    <w:rsid w:val="00306388"/>
    <w:rsid w:val="00307AF2"/>
    <w:rsid w:val="00312766"/>
    <w:rsid w:val="00315C60"/>
    <w:rsid w:val="0031621F"/>
    <w:rsid w:val="003220A7"/>
    <w:rsid w:val="003250E1"/>
    <w:rsid w:val="00332B82"/>
    <w:rsid w:val="003341A5"/>
    <w:rsid w:val="00342898"/>
    <w:rsid w:val="00344CAA"/>
    <w:rsid w:val="00344DC5"/>
    <w:rsid w:val="0034736F"/>
    <w:rsid w:val="00347E04"/>
    <w:rsid w:val="003573BA"/>
    <w:rsid w:val="00366DC6"/>
    <w:rsid w:val="00374C2C"/>
    <w:rsid w:val="0037552B"/>
    <w:rsid w:val="0038108B"/>
    <w:rsid w:val="003834F8"/>
    <w:rsid w:val="00383935"/>
    <w:rsid w:val="00383DD5"/>
    <w:rsid w:val="0038562C"/>
    <w:rsid w:val="00390067"/>
    <w:rsid w:val="00391655"/>
    <w:rsid w:val="003917D7"/>
    <w:rsid w:val="00394C20"/>
    <w:rsid w:val="003A4FC0"/>
    <w:rsid w:val="003B306B"/>
    <w:rsid w:val="003B63AE"/>
    <w:rsid w:val="003C1B04"/>
    <w:rsid w:val="003C263C"/>
    <w:rsid w:val="003C441A"/>
    <w:rsid w:val="003D1349"/>
    <w:rsid w:val="003D1F22"/>
    <w:rsid w:val="003D38E2"/>
    <w:rsid w:val="003D7FD9"/>
    <w:rsid w:val="003E071A"/>
    <w:rsid w:val="003E74D8"/>
    <w:rsid w:val="003E7E4F"/>
    <w:rsid w:val="003F36AF"/>
    <w:rsid w:val="003F6014"/>
    <w:rsid w:val="003F7794"/>
    <w:rsid w:val="00401FA7"/>
    <w:rsid w:val="00403A79"/>
    <w:rsid w:val="00405880"/>
    <w:rsid w:val="00405A0C"/>
    <w:rsid w:val="004061AF"/>
    <w:rsid w:val="00406379"/>
    <w:rsid w:val="00406503"/>
    <w:rsid w:val="00406D07"/>
    <w:rsid w:val="004110D2"/>
    <w:rsid w:val="0041154D"/>
    <w:rsid w:val="00412020"/>
    <w:rsid w:val="004154E9"/>
    <w:rsid w:val="00417936"/>
    <w:rsid w:val="00423041"/>
    <w:rsid w:val="004232D9"/>
    <w:rsid w:val="004268D5"/>
    <w:rsid w:val="004303C3"/>
    <w:rsid w:val="00431D53"/>
    <w:rsid w:val="00431EA7"/>
    <w:rsid w:val="00434926"/>
    <w:rsid w:val="0043494A"/>
    <w:rsid w:val="004351D8"/>
    <w:rsid w:val="0043742A"/>
    <w:rsid w:val="00441E09"/>
    <w:rsid w:val="00453636"/>
    <w:rsid w:val="00455626"/>
    <w:rsid w:val="0045624E"/>
    <w:rsid w:val="00457B00"/>
    <w:rsid w:val="004625E8"/>
    <w:rsid w:val="00463A64"/>
    <w:rsid w:val="00471036"/>
    <w:rsid w:val="00473B64"/>
    <w:rsid w:val="00477A11"/>
    <w:rsid w:val="004812CB"/>
    <w:rsid w:val="004855FD"/>
    <w:rsid w:val="00486CB6"/>
    <w:rsid w:val="004944DB"/>
    <w:rsid w:val="00496213"/>
    <w:rsid w:val="004A0CD0"/>
    <w:rsid w:val="004C1A8E"/>
    <w:rsid w:val="004C4DBE"/>
    <w:rsid w:val="004C53CF"/>
    <w:rsid w:val="004C72E3"/>
    <w:rsid w:val="004D3913"/>
    <w:rsid w:val="004D48DF"/>
    <w:rsid w:val="004E2A9A"/>
    <w:rsid w:val="004E5922"/>
    <w:rsid w:val="004E59D9"/>
    <w:rsid w:val="004F5D70"/>
    <w:rsid w:val="00502CCA"/>
    <w:rsid w:val="005070D4"/>
    <w:rsid w:val="00510FAF"/>
    <w:rsid w:val="00513A75"/>
    <w:rsid w:val="00524EF4"/>
    <w:rsid w:val="00530D10"/>
    <w:rsid w:val="005325DA"/>
    <w:rsid w:val="00532C41"/>
    <w:rsid w:val="00533490"/>
    <w:rsid w:val="00533519"/>
    <w:rsid w:val="0053382F"/>
    <w:rsid w:val="005364C3"/>
    <w:rsid w:val="00536CF3"/>
    <w:rsid w:val="0054047D"/>
    <w:rsid w:val="00545DD0"/>
    <w:rsid w:val="005523DF"/>
    <w:rsid w:val="00555C6E"/>
    <w:rsid w:val="0056246D"/>
    <w:rsid w:val="00566BFF"/>
    <w:rsid w:val="00570FC0"/>
    <w:rsid w:val="00571DB9"/>
    <w:rsid w:val="00575631"/>
    <w:rsid w:val="0057653D"/>
    <w:rsid w:val="00580A4A"/>
    <w:rsid w:val="00581062"/>
    <w:rsid w:val="005816C5"/>
    <w:rsid w:val="00582047"/>
    <w:rsid w:val="00586ABC"/>
    <w:rsid w:val="005940F0"/>
    <w:rsid w:val="0059492C"/>
    <w:rsid w:val="005A000B"/>
    <w:rsid w:val="005A09AC"/>
    <w:rsid w:val="005A39BB"/>
    <w:rsid w:val="005A3ABC"/>
    <w:rsid w:val="005A58DC"/>
    <w:rsid w:val="005B231B"/>
    <w:rsid w:val="005B5D4C"/>
    <w:rsid w:val="005C295A"/>
    <w:rsid w:val="005C3310"/>
    <w:rsid w:val="005C3678"/>
    <w:rsid w:val="005C510E"/>
    <w:rsid w:val="005C51C0"/>
    <w:rsid w:val="005C55D0"/>
    <w:rsid w:val="005C6602"/>
    <w:rsid w:val="005D010A"/>
    <w:rsid w:val="005D23BD"/>
    <w:rsid w:val="005D55E2"/>
    <w:rsid w:val="005D676E"/>
    <w:rsid w:val="005D7FBC"/>
    <w:rsid w:val="005E4B0A"/>
    <w:rsid w:val="005E6248"/>
    <w:rsid w:val="005F0DAC"/>
    <w:rsid w:val="005F153A"/>
    <w:rsid w:val="005F3C9A"/>
    <w:rsid w:val="005F42CA"/>
    <w:rsid w:val="005F43BC"/>
    <w:rsid w:val="005F6E60"/>
    <w:rsid w:val="005F716F"/>
    <w:rsid w:val="005F7189"/>
    <w:rsid w:val="005F7C2E"/>
    <w:rsid w:val="006006FD"/>
    <w:rsid w:val="00602355"/>
    <w:rsid w:val="00607F0B"/>
    <w:rsid w:val="00611188"/>
    <w:rsid w:val="00616D37"/>
    <w:rsid w:val="006204DB"/>
    <w:rsid w:val="00623E67"/>
    <w:rsid w:val="00624887"/>
    <w:rsid w:val="00626262"/>
    <w:rsid w:val="00630805"/>
    <w:rsid w:val="00635161"/>
    <w:rsid w:val="006367B6"/>
    <w:rsid w:val="0064055B"/>
    <w:rsid w:val="00642B5B"/>
    <w:rsid w:val="006463AB"/>
    <w:rsid w:val="006477FD"/>
    <w:rsid w:val="00656B2D"/>
    <w:rsid w:val="00665F5E"/>
    <w:rsid w:val="0066704D"/>
    <w:rsid w:val="00671D68"/>
    <w:rsid w:val="0067474B"/>
    <w:rsid w:val="00683733"/>
    <w:rsid w:val="00683C44"/>
    <w:rsid w:val="00692A3E"/>
    <w:rsid w:val="00692FA4"/>
    <w:rsid w:val="00696709"/>
    <w:rsid w:val="006978E5"/>
    <w:rsid w:val="006A02E2"/>
    <w:rsid w:val="006A079F"/>
    <w:rsid w:val="006A0E15"/>
    <w:rsid w:val="006A15AC"/>
    <w:rsid w:val="006A2F0C"/>
    <w:rsid w:val="006A37B8"/>
    <w:rsid w:val="006A6D99"/>
    <w:rsid w:val="006B361F"/>
    <w:rsid w:val="006B39E1"/>
    <w:rsid w:val="006B460D"/>
    <w:rsid w:val="006C1682"/>
    <w:rsid w:val="006C2B40"/>
    <w:rsid w:val="006C364F"/>
    <w:rsid w:val="006C5D53"/>
    <w:rsid w:val="006D18A0"/>
    <w:rsid w:val="006D42F1"/>
    <w:rsid w:val="006D5D09"/>
    <w:rsid w:val="006D70C6"/>
    <w:rsid w:val="006E0FF3"/>
    <w:rsid w:val="006E36F1"/>
    <w:rsid w:val="006E39B8"/>
    <w:rsid w:val="006F2163"/>
    <w:rsid w:val="006F5ACB"/>
    <w:rsid w:val="007003D6"/>
    <w:rsid w:val="0070262F"/>
    <w:rsid w:val="00704271"/>
    <w:rsid w:val="00713A1D"/>
    <w:rsid w:val="007156E4"/>
    <w:rsid w:val="00717F6C"/>
    <w:rsid w:val="0072067D"/>
    <w:rsid w:val="00721EED"/>
    <w:rsid w:val="007223F0"/>
    <w:rsid w:val="007270D0"/>
    <w:rsid w:val="00733871"/>
    <w:rsid w:val="007339D5"/>
    <w:rsid w:val="00734285"/>
    <w:rsid w:val="00750401"/>
    <w:rsid w:val="0076010E"/>
    <w:rsid w:val="00764696"/>
    <w:rsid w:val="0077353C"/>
    <w:rsid w:val="00775A12"/>
    <w:rsid w:val="00776D75"/>
    <w:rsid w:val="00783E51"/>
    <w:rsid w:val="0078643F"/>
    <w:rsid w:val="00790E9D"/>
    <w:rsid w:val="007944BB"/>
    <w:rsid w:val="0079453B"/>
    <w:rsid w:val="007962C2"/>
    <w:rsid w:val="00797D46"/>
    <w:rsid w:val="007A5462"/>
    <w:rsid w:val="007A54BE"/>
    <w:rsid w:val="007A72FA"/>
    <w:rsid w:val="007B1D6C"/>
    <w:rsid w:val="007B3243"/>
    <w:rsid w:val="007B3BF2"/>
    <w:rsid w:val="007B5254"/>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622B"/>
    <w:rsid w:val="00853371"/>
    <w:rsid w:val="008543CD"/>
    <w:rsid w:val="00861F9C"/>
    <w:rsid w:val="00872804"/>
    <w:rsid w:val="008749C8"/>
    <w:rsid w:val="0088059A"/>
    <w:rsid w:val="00887F43"/>
    <w:rsid w:val="00891BFC"/>
    <w:rsid w:val="00893BBD"/>
    <w:rsid w:val="00894A9C"/>
    <w:rsid w:val="00897007"/>
    <w:rsid w:val="008A0AAD"/>
    <w:rsid w:val="008A0F72"/>
    <w:rsid w:val="008A2445"/>
    <w:rsid w:val="008A292E"/>
    <w:rsid w:val="008A4F01"/>
    <w:rsid w:val="008B2C85"/>
    <w:rsid w:val="008B56C2"/>
    <w:rsid w:val="008C173B"/>
    <w:rsid w:val="008C2C8E"/>
    <w:rsid w:val="008D18C5"/>
    <w:rsid w:val="008D1B8D"/>
    <w:rsid w:val="008D1DB1"/>
    <w:rsid w:val="008D45D6"/>
    <w:rsid w:val="008E27E9"/>
    <w:rsid w:val="008E28FB"/>
    <w:rsid w:val="008E3915"/>
    <w:rsid w:val="008E74F8"/>
    <w:rsid w:val="008F0348"/>
    <w:rsid w:val="00902E96"/>
    <w:rsid w:val="009039E6"/>
    <w:rsid w:val="0090735D"/>
    <w:rsid w:val="00907F6E"/>
    <w:rsid w:val="00911D35"/>
    <w:rsid w:val="0091462A"/>
    <w:rsid w:val="009152F8"/>
    <w:rsid w:val="009158E2"/>
    <w:rsid w:val="0091691F"/>
    <w:rsid w:val="009208B2"/>
    <w:rsid w:val="00921BD2"/>
    <w:rsid w:val="00925837"/>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A0436"/>
    <w:rsid w:val="009A5599"/>
    <w:rsid w:val="009A68D0"/>
    <w:rsid w:val="009A7E6E"/>
    <w:rsid w:val="009B2CB2"/>
    <w:rsid w:val="009B7A6D"/>
    <w:rsid w:val="009C38EC"/>
    <w:rsid w:val="009C53AB"/>
    <w:rsid w:val="009C7808"/>
    <w:rsid w:val="009D06FA"/>
    <w:rsid w:val="009D6E05"/>
    <w:rsid w:val="009E0E57"/>
    <w:rsid w:val="009E6DA4"/>
    <w:rsid w:val="009E788E"/>
    <w:rsid w:val="009F6474"/>
    <w:rsid w:val="00A004BB"/>
    <w:rsid w:val="00A01278"/>
    <w:rsid w:val="00A017C1"/>
    <w:rsid w:val="00A03373"/>
    <w:rsid w:val="00A034D1"/>
    <w:rsid w:val="00A036B8"/>
    <w:rsid w:val="00A10925"/>
    <w:rsid w:val="00A10EFD"/>
    <w:rsid w:val="00A10EFE"/>
    <w:rsid w:val="00A12C2C"/>
    <w:rsid w:val="00A14D06"/>
    <w:rsid w:val="00A241C3"/>
    <w:rsid w:val="00A26C2E"/>
    <w:rsid w:val="00A26EF2"/>
    <w:rsid w:val="00A3221E"/>
    <w:rsid w:val="00A37145"/>
    <w:rsid w:val="00A40EC9"/>
    <w:rsid w:val="00A4220F"/>
    <w:rsid w:val="00A4381A"/>
    <w:rsid w:val="00A43DBE"/>
    <w:rsid w:val="00A43E66"/>
    <w:rsid w:val="00A46705"/>
    <w:rsid w:val="00A467F7"/>
    <w:rsid w:val="00A47D6B"/>
    <w:rsid w:val="00A53763"/>
    <w:rsid w:val="00A538E3"/>
    <w:rsid w:val="00A5763D"/>
    <w:rsid w:val="00A60890"/>
    <w:rsid w:val="00A62722"/>
    <w:rsid w:val="00A66A91"/>
    <w:rsid w:val="00A66CCC"/>
    <w:rsid w:val="00A70CB6"/>
    <w:rsid w:val="00A714BD"/>
    <w:rsid w:val="00A77A06"/>
    <w:rsid w:val="00A819C3"/>
    <w:rsid w:val="00A8726B"/>
    <w:rsid w:val="00A93C72"/>
    <w:rsid w:val="00A95D42"/>
    <w:rsid w:val="00A962C3"/>
    <w:rsid w:val="00A973E2"/>
    <w:rsid w:val="00AA5CFE"/>
    <w:rsid w:val="00AB1A29"/>
    <w:rsid w:val="00AC37B1"/>
    <w:rsid w:val="00AC6047"/>
    <w:rsid w:val="00AC7956"/>
    <w:rsid w:val="00AD6268"/>
    <w:rsid w:val="00AE72AF"/>
    <w:rsid w:val="00AF2C12"/>
    <w:rsid w:val="00AF50A8"/>
    <w:rsid w:val="00B012E8"/>
    <w:rsid w:val="00B02AB0"/>
    <w:rsid w:val="00B13CEA"/>
    <w:rsid w:val="00B15C66"/>
    <w:rsid w:val="00B22946"/>
    <w:rsid w:val="00B25573"/>
    <w:rsid w:val="00B32122"/>
    <w:rsid w:val="00B33E2C"/>
    <w:rsid w:val="00B36FB3"/>
    <w:rsid w:val="00B46BB7"/>
    <w:rsid w:val="00B50536"/>
    <w:rsid w:val="00B52617"/>
    <w:rsid w:val="00B548BE"/>
    <w:rsid w:val="00B60E2E"/>
    <w:rsid w:val="00B628B6"/>
    <w:rsid w:val="00B648E7"/>
    <w:rsid w:val="00B660AC"/>
    <w:rsid w:val="00B70A2D"/>
    <w:rsid w:val="00B70AF5"/>
    <w:rsid w:val="00B70B6B"/>
    <w:rsid w:val="00B71491"/>
    <w:rsid w:val="00B7485F"/>
    <w:rsid w:val="00B83F99"/>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611D"/>
    <w:rsid w:val="00BB661F"/>
    <w:rsid w:val="00BC1480"/>
    <w:rsid w:val="00BC30E9"/>
    <w:rsid w:val="00BC4228"/>
    <w:rsid w:val="00BD6AF4"/>
    <w:rsid w:val="00BD6DF5"/>
    <w:rsid w:val="00BE175D"/>
    <w:rsid w:val="00BE364F"/>
    <w:rsid w:val="00BE4BC7"/>
    <w:rsid w:val="00BE5EDE"/>
    <w:rsid w:val="00BE71E9"/>
    <w:rsid w:val="00BE7737"/>
    <w:rsid w:val="00BF3543"/>
    <w:rsid w:val="00BF3A0C"/>
    <w:rsid w:val="00C03ACA"/>
    <w:rsid w:val="00C07674"/>
    <w:rsid w:val="00C077B4"/>
    <w:rsid w:val="00C13CAA"/>
    <w:rsid w:val="00C13CBB"/>
    <w:rsid w:val="00C16177"/>
    <w:rsid w:val="00C201B9"/>
    <w:rsid w:val="00C24302"/>
    <w:rsid w:val="00C243FF"/>
    <w:rsid w:val="00C25ADC"/>
    <w:rsid w:val="00C25D00"/>
    <w:rsid w:val="00C318C0"/>
    <w:rsid w:val="00C37F17"/>
    <w:rsid w:val="00C40E80"/>
    <w:rsid w:val="00C4710B"/>
    <w:rsid w:val="00C566CD"/>
    <w:rsid w:val="00C62E1A"/>
    <w:rsid w:val="00C64BBF"/>
    <w:rsid w:val="00C64EB2"/>
    <w:rsid w:val="00C657EE"/>
    <w:rsid w:val="00C70729"/>
    <w:rsid w:val="00C71595"/>
    <w:rsid w:val="00C73FEA"/>
    <w:rsid w:val="00C863F7"/>
    <w:rsid w:val="00C86BA0"/>
    <w:rsid w:val="00C9084A"/>
    <w:rsid w:val="00CA2A06"/>
    <w:rsid w:val="00CA3CB2"/>
    <w:rsid w:val="00CA3F8B"/>
    <w:rsid w:val="00CA5798"/>
    <w:rsid w:val="00CA59F0"/>
    <w:rsid w:val="00CB0190"/>
    <w:rsid w:val="00CB5E62"/>
    <w:rsid w:val="00CB6567"/>
    <w:rsid w:val="00CB7672"/>
    <w:rsid w:val="00CB7CCD"/>
    <w:rsid w:val="00CC2C8B"/>
    <w:rsid w:val="00CC597D"/>
    <w:rsid w:val="00CD01A7"/>
    <w:rsid w:val="00CD04E4"/>
    <w:rsid w:val="00CD098D"/>
    <w:rsid w:val="00CD6E42"/>
    <w:rsid w:val="00CE036F"/>
    <w:rsid w:val="00CF049D"/>
    <w:rsid w:val="00CF1CD3"/>
    <w:rsid w:val="00CF3EA5"/>
    <w:rsid w:val="00D02CC5"/>
    <w:rsid w:val="00D03809"/>
    <w:rsid w:val="00D03FE6"/>
    <w:rsid w:val="00D078F2"/>
    <w:rsid w:val="00D13E8A"/>
    <w:rsid w:val="00D14744"/>
    <w:rsid w:val="00D15326"/>
    <w:rsid w:val="00D15F1E"/>
    <w:rsid w:val="00D1632D"/>
    <w:rsid w:val="00D24CF3"/>
    <w:rsid w:val="00D27EC9"/>
    <w:rsid w:val="00D35A9D"/>
    <w:rsid w:val="00D44BB2"/>
    <w:rsid w:val="00D45050"/>
    <w:rsid w:val="00D452A3"/>
    <w:rsid w:val="00D50491"/>
    <w:rsid w:val="00D5205D"/>
    <w:rsid w:val="00D55BA5"/>
    <w:rsid w:val="00D565B5"/>
    <w:rsid w:val="00D56BEF"/>
    <w:rsid w:val="00D57D04"/>
    <w:rsid w:val="00D60A90"/>
    <w:rsid w:val="00D626A2"/>
    <w:rsid w:val="00D65D0F"/>
    <w:rsid w:val="00D67FAE"/>
    <w:rsid w:val="00D70819"/>
    <w:rsid w:val="00D70C72"/>
    <w:rsid w:val="00D70EE0"/>
    <w:rsid w:val="00D73265"/>
    <w:rsid w:val="00D82F11"/>
    <w:rsid w:val="00D834CC"/>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E6AB7"/>
    <w:rsid w:val="00DF7B4D"/>
    <w:rsid w:val="00E00223"/>
    <w:rsid w:val="00E01D38"/>
    <w:rsid w:val="00E023F8"/>
    <w:rsid w:val="00E02AF4"/>
    <w:rsid w:val="00E04B29"/>
    <w:rsid w:val="00E04BBC"/>
    <w:rsid w:val="00E0648E"/>
    <w:rsid w:val="00E06E45"/>
    <w:rsid w:val="00E1258E"/>
    <w:rsid w:val="00E1668A"/>
    <w:rsid w:val="00E30DF6"/>
    <w:rsid w:val="00E33E37"/>
    <w:rsid w:val="00E44ED4"/>
    <w:rsid w:val="00E450ED"/>
    <w:rsid w:val="00E50795"/>
    <w:rsid w:val="00E507AC"/>
    <w:rsid w:val="00E5592F"/>
    <w:rsid w:val="00E55EFC"/>
    <w:rsid w:val="00E57DBA"/>
    <w:rsid w:val="00E6031C"/>
    <w:rsid w:val="00E6198A"/>
    <w:rsid w:val="00E652C7"/>
    <w:rsid w:val="00E8066A"/>
    <w:rsid w:val="00E87721"/>
    <w:rsid w:val="00E90EA7"/>
    <w:rsid w:val="00E950B1"/>
    <w:rsid w:val="00E95A03"/>
    <w:rsid w:val="00E97D5E"/>
    <w:rsid w:val="00EA1E39"/>
    <w:rsid w:val="00EA3A6C"/>
    <w:rsid w:val="00EA5FFD"/>
    <w:rsid w:val="00EA751F"/>
    <w:rsid w:val="00EB1578"/>
    <w:rsid w:val="00EB47FF"/>
    <w:rsid w:val="00EB67D1"/>
    <w:rsid w:val="00EB7CDE"/>
    <w:rsid w:val="00EC7457"/>
    <w:rsid w:val="00EE27ED"/>
    <w:rsid w:val="00EE2DD2"/>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39FB"/>
    <w:rsid w:val="00F37B8E"/>
    <w:rsid w:val="00F40E12"/>
    <w:rsid w:val="00F45331"/>
    <w:rsid w:val="00F47396"/>
    <w:rsid w:val="00F52927"/>
    <w:rsid w:val="00F55548"/>
    <w:rsid w:val="00F567E9"/>
    <w:rsid w:val="00F57E7D"/>
    <w:rsid w:val="00F60063"/>
    <w:rsid w:val="00F60D6B"/>
    <w:rsid w:val="00F629DB"/>
    <w:rsid w:val="00F63237"/>
    <w:rsid w:val="00F63983"/>
    <w:rsid w:val="00F70AE5"/>
    <w:rsid w:val="00F739A8"/>
    <w:rsid w:val="00F75DE1"/>
    <w:rsid w:val="00F8075E"/>
    <w:rsid w:val="00F810B3"/>
    <w:rsid w:val="00F81790"/>
    <w:rsid w:val="00F84989"/>
    <w:rsid w:val="00F8521F"/>
    <w:rsid w:val="00F85428"/>
    <w:rsid w:val="00F87D4E"/>
    <w:rsid w:val="00F91073"/>
    <w:rsid w:val="00F91B39"/>
    <w:rsid w:val="00F93469"/>
    <w:rsid w:val="00F9347D"/>
    <w:rsid w:val="00F93F8E"/>
    <w:rsid w:val="00FA0E59"/>
    <w:rsid w:val="00FA1C6D"/>
    <w:rsid w:val="00FA3BE3"/>
    <w:rsid w:val="00FA473A"/>
    <w:rsid w:val="00FB022C"/>
    <w:rsid w:val="00FB0912"/>
    <w:rsid w:val="00FB21E2"/>
    <w:rsid w:val="00FC30CC"/>
    <w:rsid w:val="00FD1433"/>
    <w:rsid w:val="00FE1C5A"/>
    <w:rsid w:val="00FE5D70"/>
    <w:rsid w:val="00FE6802"/>
    <w:rsid w:val="00FE6FD2"/>
    <w:rsid w:val="00FF2F3B"/>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699BFAAD-14B9-4E79-AC00-E37EDAA7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705"/>
    <w:rPr>
      <w:rFonts w:ascii="Arial" w:hAnsi="Arial"/>
      <w:sz w:val="22"/>
      <w:szCs w:val="24"/>
      <w:lang w:eastAsia="zh-CN"/>
    </w:rPr>
  </w:style>
  <w:style w:type="paragraph" w:styleId="Heading1">
    <w:name w:val="heading 1"/>
    <w:basedOn w:val="Normal"/>
    <w:next w:val="Normal"/>
    <w:link w:val="Heading1Char"/>
    <w:qFormat/>
    <w:rsid w:val="00BF35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962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16F"/>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semiHidden/>
    <w:unhideWhenUsed/>
    <w:qFormat/>
    <w:rsid w:val="00496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Hyperlink">
    <w:name w:val="Hyperlink"/>
    <w:rsid w:val="006D70C6"/>
    <w:rPr>
      <w:color w:val="0000FF"/>
      <w:u w:val="single"/>
    </w:rPr>
  </w:style>
  <w:style w:type="table" w:styleId="TableGrid">
    <w:name w:val="Table Grid"/>
    <w:basedOn w:val="TableNormal"/>
    <w:uiPriority w:val="39"/>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rsid w:val="005A000B"/>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sz w:val="24"/>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szCs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uiPriority w:val="9"/>
    <w:rsid w:val="005F716F"/>
    <w:rPr>
      <w:rFonts w:eastAsia="Times New Roman"/>
      <w:b/>
      <w:bCs/>
      <w:sz w:val="27"/>
      <w:szCs w:val="27"/>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semiHidden/>
    <w:rsid w:val="00496213"/>
    <w:rPr>
      <w:rFonts w:asciiTheme="majorHAnsi" w:eastAsiaTheme="majorEastAsia" w:hAnsiTheme="majorHAnsi" w:cstheme="majorBidi"/>
      <w:color w:val="2E74B5" w:themeColor="accent1" w:themeShade="BF"/>
      <w:sz w:val="26"/>
      <w:szCs w:val="26"/>
      <w:lang w:eastAsia="zh-CN"/>
    </w:rPr>
  </w:style>
  <w:style w:type="character" w:customStyle="1" w:styleId="Heading4Char">
    <w:name w:val="Heading 4 Char"/>
    <w:basedOn w:val="DefaultParagraphFont"/>
    <w:link w:val="Heading4"/>
    <w:semiHidden/>
    <w:rsid w:val="00496213"/>
    <w:rPr>
      <w:rFonts w:asciiTheme="majorHAnsi" w:eastAsiaTheme="majorEastAsia" w:hAnsiTheme="majorHAnsi" w:cstheme="majorBidi"/>
      <w:i/>
      <w:iCs/>
      <w:color w:val="2E74B5" w:themeColor="accent1" w:themeShade="BF"/>
      <w:sz w:val="22"/>
      <w:szCs w:val="24"/>
      <w:lang w:eastAsia="zh-CN"/>
    </w:rPr>
  </w:style>
  <w:style w:type="paragraph" w:customStyle="1" w:styleId="text-sm-justify">
    <w:name w:val="text-sm-justify"/>
    <w:basedOn w:val="Normal"/>
    <w:rsid w:val="00496213"/>
    <w:pPr>
      <w:spacing w:before="100" w:beforeAutospacing="1" w:after="100" w:afterAutospacing="1"/>
    </w:pPr>
    <w:rPr>
      <w:rFonts w:ascii="Times New Roman" w:eastAsia="Times New Roman" w:hAnsi="Times New Roman"/>
      <w:sz w:val="24"/>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Title1">
    <w:name w:val="Title 1"/>
    <w:basedOn w:val="Normal"/>
    <w:rsid w:val="004625E8"/>
    <w:pPr>
      <w:spacing w:before="120" w:after="360"/>
      <w:jc w:val="center"/>
    </w:pPr>
    <w:rPr>
      <w:rFonts w:asciiTheme="minorHAnsi" w:hAnsiTheme="minorHAns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2.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BB7ADF-EB5F-4537-943F-279F722AEB45}">
  <ds:schemaRef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58A44D27-E0EA-4F40-A0AE-DB603DBFB3FB}">
  <ds:schemaRefs>
    <ds:schemaRef ds:uri="http://schemas.openxmlformats.org/officeDocument/2006/bibliography"/>
  </ds:schemaRefs>
</ds:datastoreItem>
</file>

<file path=customXml/itemProps5.xml><?xml version="1.0" encoding="utf-8"?>
<ds:datastoreItem xmlns:ds="http://schemas.openxmlformats.org/officeDocument/2006/customXml" ds:itemID="{05AA0DD6-D795-4BD4-8965-B353C907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1889</Words>
  <Characters>10547</Characters>
  <Application>Microsoft Office Word</Application>
  <DocSecurity>0</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Contribution by Zimbabwe</vt:lpstr>
      <vt:lpstr>ITU Normal.dot</vt:lpstr>
    </vt:vector>
  </TitlesOfParts>
  <Company>ITU</Company>
  <LinksUpToDate>false</LinksUpToDate>
  <CharactersWithSpaces>12412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Zimbabwe</dc:title>
  <dc:subject>Expert Group on the International Telecommunication Regulations</dc:subject>
  <dc:creator>Brouard, Ricarda</dc:creator>
  <cp:keywords>EG-ITRs</cp:keywords>
  <cp:lastModifiedBy>Janin</cp:lastModifiedBy>
  <cp:revision>4</cp:revision>
  <cp:lastPrinted>2013-07-15T09:23:00Z</cp:lastPrinted>
  <dcterms:created xsi:type="dcterms:W3CDTF">2018-01-04T07:05:00Z</dcterms:created>
  <dcterms:modified xsi:type="dcterms:W3CDTF">2018-01-04T07:21:00Z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