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C42445">
            <w:pPr>
              <w:spacing w:before="0"/>
              <w:rPr>
                <w:b/>
                <w:bCs/>
                <w:szCs w:val="24"/>
              </w:rPr>
            </w:pPr>
            <w:r w:rsidRPr="00C42445">
              <w:rPr>
                <w:b/>
                <w:bCs/>
              </w:rPr>
              <w:t>Tercera reunión – Ginebra, 17-19 de enero de 2018</w:t>
            </w: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C42445">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bookmarkStart w:id="4" w:name="_GoBack"/>
            <w:bookmarkEnd w:id="4"/>
          </w:p>
        </w:tc>
        <w:tc>
          <w:tcPr>
            <w:tcW w:w="3261" w:type="dxa"/>
          </w:tcPr>
          <w:p w:rsidR="00093EEB" w:rsidRPr="00D92832" w:rsidRDefault="00093EEB" w:rsidP="00A77535">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C42445">
              <w:rPr>
                <w:rFonts w:asciiTheme="minorHAnsi" w:hAnsiTheme="minorHAnsi" w:cs="Times New Roman Bold"/>
                <w:b/>
                <w:spacing w:val="-4"/>
                <w:lang w:val="en-US"/>
              </w:rPr>
              <w:t>3</w:t>
            </w:r>
            <w:r w:rsidR="00D92832" w:rsidRPr="00D92832">
              <w:rPr>
                <w:rFonts w:asciiTheme="minorHAnsi" w:hAnsiTheme="minorHAnsi" w:cs="Times New Roman Bold"/>
                <w:b/>
                <w:spacing w:val="-4"/>
                <w:lang w:val="en-US"/>
              </w:rPr>
              <w:t>/</w:t>
            </w:r>
            <w:r w:rsidR="00A77535">
              <w:rPr>
                <w:rFonts w:asciiTheme="minorHAnsi" w:hAnsiTheme="minorHAnsi" w:cs="Times New Roman Bold"/>
                <w:b/>
                <w:spacing w:val="-4"/>
                <w:lang w:val="en-US"/>
              </w:rPr>
              <w:t>9</w:t>
            </w:r>
            <w:r w:rsidR="00D92832" w:rsidRPr="00D92832">
              <w:rPr>
                <w:rFonts w:asciiTheme="minorHAnsi" w:hAnsiTheme="minorHAnsi" w:cs="Times New Roman Bold"/>
                <w:b/>
                <w:spacing w:val="-4"/>
                <w:lang w:val="en-US"/>
              </w:rPr>
              <w:t>-S</w:t>
            </w:r>
          </w:p>
        </w:tc>
      </w:tr>
      <w:tr w:rsidR="00093EEB" w:rsidRPr="000B0D00">
        <w:trPr>
          <w:cantSplit/>
          <w:trHeight w:val="20"/>
        </w:trPr>
        <w:tc>
          <w:tcPr>
            <w:tcW w:w="6912" w:type="dxa"/>
            <w:shd w:val="clear" w:color="auto" w:fill="auto"/>
          </w:tcPr>
          <w:p w:rsidR="00093EEB" w:rsidRPr="00D92832" w:rsidRDefault="00093EEB">
            <w:pPr>
              <w:shd w:val="solid" w:color="FFFFFF" w:fill="FFFFFF"/>
              <w:spacing w:before="0"/>
              <w:rPr>
                <w:smallCaps/>
                <w:szCs w:val="24"/>
                <w:lang w:val="en-US"/>
              </w:rPr>
            </w:pPr>
            <w:bookmarkStart w:id="5" w:name="ddate" w:colFirst="1" w:colLast="1"/>
            <w:bookmarkEnd w:id="2"/>
            <w:bookmarkEnd w:id="3"/>
          </w:p>
        </w:tc>
        <w:tc>
          <w:tcPr>
            <w:tcW w:w="3261" w:type="dxa"/>
          </w:tcPr>
          <w:p w:rsidR="00093EEB" w:rsidRPr="00093EEB" w:rsidRDefault="00C42445" w:rsidP="00A77535">
            <w:pPr>
              <w:spacing w:before="0"/>
              <w:rPr>
                <w:b/>
                <w:bCs/>
                <w:szCs w:val="24"/>
              </w:rPr>
            </w:pPr>
            <w:r>
              <w:rPr>
                <w:b/>
                <w:bCs/>
                <w:szCs w:val="24"/>
              </w:rPr>
              <w:t>2</w:t>
            </w:r>
            <w:r w:rsidR="00A77535">
              <w:rPr>
                <w:b/>
                <w:bCs/>
                <w:szCs w:val="24"/>
              </w:rPr>
              <w:t>8</w:t>
            </w:r>
            <w:r w:rsidR="0077252D">
              <w:rPr>
                <w:b/>
                <w:bCs/>
                <w:szCs w:val="24"/>
              </w:rPr>
              <w:t xml:space="preserve"> </w:t>
            </w:r>
            <w:r w:rsidR="00D92832">
              <w:rPr>
                <w:b/>
                <w:bCs/>
                <w:szCs w:val="24"/>
              </w:rPr>
              <w:t xml:space="preserve">de </w:t>
            </w:r>
            <w:r>
              <w:rPr>
                <w:b/>
                <w:bCs/>
                <w:szCs w:val="24"/>
              </w:rPr>
              <w:t>diciembre</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7354BB">
            <w:pPr>
              <w:spacing w:before="0"/>
              <w:rPr>
                <w:b/>
                <w:bCs/>
                <w:szCs w:val="24"/>
              </w:rPr>
            </w:pPr>
            <w:r>
              <w:rPr>
                <w:b/>
                <w:bCs/>
                <w:szCs w:val="24"/>
              </w:rPr>
              <w:t xml:space="preserve">Original: </w:t>
            </w:r>
            <w:r w:rsidR="007354BB">
              <w:rPr>
                <w:b/>
                <w:bCs/>
                <w:szCs w:val="24"/>
              </w:rPr>
              <w:t>ruso</w:t>
            </w:r>
          </w:p>
        </w:tc>
      </w:tr>
      <w:tr w:rsidR="00093EEB" w:rsidRPr="000B0D00">
        <w:trPr>
          <w:cantSplit/>
        </w:trPr>
        <w:tc>
          <w:tcPr>
            <w:tcW w:w="10173" w:type="dxa"/>
            <w:gridSpan w:val="2"/>
          </w:tcPr>
          <w:p w:rsidR="00093EEB" w:rsidRPr="000B0D00" w:rsidRDefault="003307D8">
            <w:pPr>
              <w:pStyle w:val="Source"/>
            </w:pPr>
            <w:bookmarkStart w:id="7" w:name="dsource" w:colFirst="0" w:colLast="0"/>
            <w:bookmarkEnd w:id="0"/>
            <w:bookmarkEnd w:id="6"/>
            <w:r w:rsidRPr="003307D8">
              <w:t>Contribución de la Federación de Rusia</w:t>
            </w:r>
          </w:p>
        </w:tc>
      </w:tr>
      <w:tr w:rsidR="00093EEB" w:rsidRPr="00A322A1">
        <w:trPr>
          <w:cantSplit/>
        </w:trPr>
        <w:tc>
          <w:tcPr>
            <w:tcW w:w="10173" w:type="dxa"/>
            <w:gridSpan w:val="2"/>
          </w:tcPr>
          <w:p w:rsidR="00093EEB" w:rsidRPr="003307D8" w:rsidRDefault="003307D8" w:rsidP="00A322A1">
            <w:pPr>
              <w:pStyle w:val="Title1"/>
            </w:pPr>
            <w:bookmarkStart w:id="8" w:name="dtitle1" w:colFirst="0" w:colLast="0"/>
            <w:bookmarkEnd w:id="7"/>
            <w:r w:rsidRPr="003307D8">
              <w:t>PROBLEMAS RELACIONADOS LA APLICACIÓN DEL RTI</w:t>
            </w:r>
          </w:p>
        </w:tc>
      </w:tr>
      <w:tr w:rsidR="007354BB" w:rsidRPr="00A322A1">
        <w:trPr>
          <w:cantSplit/>
        </w:trPr>
        <w:tc>
          <w:tcPr>
            <w:tcW w:w="10173" w:type="dxa"/>
            <w:gridSpan w:val="2"/>
          </w:tcPr>
          <w:p w:rsidR="007354BB" w:rsidRPr="003307D8" w:rsidRDefault="007354BB" w:rsidP="007354BB">
            <w:pPr>
              <w:pStyle w:val="Title2"/>
            </w:pPr>
          </w:p>
        </w:tc>
      </w:tr>
    </w:tbl>
    <w:bookmarkEnd w:id="8"/>
    <w:p w:rsidR="003307D8" w:rsidRPr="00B63C01" w:rsidRDefault="003307D8" w:rsidP="003307D8">
      <w:pPr>
        <w:pStyle w:val="Headingb"/>
      </w:pPr>
      <w:r w:rsidRPr="00B63C01">
        <w:t>Introducción</w:t>
      </w:r>
    </w:p>
    <w:p w:rsidR="003307D8" w:rsidRPr="00B63C01" w:rsidRDefault="003307D8" w:rsidP="003307D8">
      <w:r w:rsidRPr="00B63C01">
        <w:t>En el anterior periodo de revisión del Reglamento de las Telecomunicaciones Internacionales (RTI) de 1988, que se inició en 1998 con la Resolución 79 (Minne</w:t>
      </w:r>
      <w:r>
        <w:t>á</w:t>
      </w:r>
      <w:r w:rsidRPr="00B63C01">
        <w:t xml:space="preserve">polis, 1998) de la Conferencia de Plenipotenciarios (PP) y hasta la adopción en la PP-10 de la decisión de la Resolución 171 (Guadalajara, 2010) </w:t>
      </w:r>
      <w:r>
        <w:t>"</w:t>
      </w:r>
      <w:r w:rsidRPr="00B63C01">
        <w:t>Preparación para la Conferencia Mundial de Telecomunicaciones Internacionales de 2012</w:t>
      </w:r>
      <w:r>
        <w:t>"</w:t>
      </w:r>
      <w:r w:rsidRPr="00B63C01">
        <w:t xml:space="preserve">, </w:t>
      </w:r>
      <w:r>
        <w:t>la mayoría de administraciones y operadores</w:t>
      </w:r>
      <w:r w:rsidRPr="00B63C01">
        <w:t>, sobre todo, de los países más desarrollados, plantearon los siguientes importantes problemas</w:t>
      </w:r>
      <w:r>
        <w:t xml:space="preserve"> relacionados con la aplicación del RTI</w:t>
      </w:r>
      <w:r w:rsidRPr="00B63C01">
        <w:t>:</w:t>
      </w:r>
      <w:r>
        <w:t xml:space="preserve"> </w:t>
      </w:r>
    </w:p>
    <w:p w:rsidR="003307D8" w:rsidRPr="00B63C01" w:rsidRDefault="003307D8" w:rsidP="003307D8">
      <w:pPr>
        <w:pStyle w:val="enumlev1"/>
      </w:pPr>
      <w:r w:rsidRPr="00B63C01">
        <w:t>1)</w:t>
      </w:r>
      <w:r w:rsidRPr="00B63C01">
        <w:tab/>
        <w:t xml:space="preserve">La terminología obsoleta del RTI de 1988 y el hecho de que no es coherente con </w:t>
      </w:r>
      <w:r>
        <w:t>los Textos Fundamentales</w:t>
      </w:r>
      <w:r w:rsidRPr="00B63C01">
        <w:t xml:space="preserve"> (Constitución, Convenio, Reglamento de Radiocomunicaciones</w:t>
      </w:r>
      <w:r>
        <w:t xml:space="preserve">) ni </w:t>
      </w:r>
      <w:r w:rsidR="003574E0">
        <w:t xml:space="preserve">con </w:t>
      </w:r>
      <w:r>
        <w:t>otros Documentos de la UIT (</w:t>
      </w:r>
      <w:r w:rsidRPr="00B63C01">
        <w:t>Recomendaciones de la UIT) complica considerablemente la aplicación del RTI de 1988 y cada una de las disposiciones contenidas en él.</w:t>
      </w:r>
    </w:p>
    <w:p w:rsidR="003307D8" w:rsidRPr="00B63C01" w:rsidRDefault="003307D8" w:rsidP="003307D8">
      <w:pPr>
        <w:pStyle w:val="enumlev1"/>
      </w:pPr>
      <w:r w:rsidRPr="00B63C01">
        <w:t>2)</w:t>
      </w:r>
      <w:r w:rsidRPr="00B63C01">
        <w:tab/>
        <w:t xml:space="preserve">El RTI de 1988 no corresponde a la realidad de las telecomunicaciones y las TIC modernas, ni con </w:t>
      </w:r>
      <w:r>
        <w:t>las funciones,</w:t>
      </w:r>
      <w:r w:rsidRPr="00B63C01">
        <w:t xml:space="preserve"> objetivos y </w:t>
      </w:r>
      <w:r>
        <w:t>prácticas</w:t>
      </w:r>
      <w:r w:rsidRPr="00B63C01">
        <w:t xml:space="preserve"> concretas de l</w:t>
      </w:r>
      <w:r>
        <w:t>as administraciones y l</w:t>
      </w:r>
      <w:r w:rsidRPr="00B63C01">
        <w:t xml:space="preserve">os operadores de telecomunicaciones, un hecho que </w:t>
      </w:r>
      <w:r>
        <w:t xml:space="preserve">sigue </w:t>
      </w:r>
      <w:r w:rsidRPr="00B63C01">
        <w:t>impid</w:t>
      </w:r>
      <w:r>
        <w:t>iendo</w:t>
      </w:r>
      <w:r w:rsidRPr="00B63C01">
        <w:t xml:space="preserve"> que l</w:t>
      </w:r>
      <w:r>
        <w:t>as administraciones y l</w:t>
      </w:r>
      <w:r w:rsidRPr="00B63C01">
        <w:t xml:space="preserve">os operadores de telecomunicaciones apliquen el RTI de 1988 de manera eficaz. Las razones principales son las siguientes: </w:t>
      </w:r>
    </w:p>
    <w:p w:rsidR="003307D8" w:rsidRPr="00B63C01" w:rsidRDefault="003307D8" w:rsidP="003307D8">
      <w:pPr>
        <w:pStyle w:val="enumlev2"/>
      </w:pPr>
      <w:r w:rsidRPr="00B63C01">
        <w:t>–</w:t>
      </w:r>
      <w:r w:rsidRPr="00B63C01">
        <w:tab/>
        <w:t xml:space="preserve">los cambios </w:t>
      </w:r>
      <w:r>
        <w:t>fundamentales</w:t>
      </w:r>
      <w:r w:rsidRPr="00B63C01">
        <w:t xml:space="preserve"> del rol y las funciones de l</w:t>
      </w:r>
      <w:r>
        <w:t>as administraciones y l</w:t>
      </w:r>
      <w:r w:rsidRPr="00B63C01">
        <w:t>os operadores de telecomunicaciones durante la liberalización mundial de los mercados de telecomunicaciones, la privatización de los operadores nacionales monopolísticos y un importante incremento del número de participantes en las telecomunicaciones internacionales con la aparición de nuevos operadores</w:t>
      </w:r>
      <w:r>
        <w:t>;</w:t>
      </w:r>
      <w:r w:rsidRPr="00B63C01">
        <w:t xml:space="preserve"> </w:t>
      </w:r>
    </w:p>
    <w:p w:rsidR="003307D8" w:rsidRPr="00B63C01" w:rsidRDefault="003307D8" w:rsidP="003307D8">
      <w:pPr>
        <w:pStyle w:val="enumlev2"/>
      </w:pPr>
      <w:r w:rsidRPr="00B63C01">
        <w:t>–</w:t>
      </w:r>
      <w:r w:rsidRPr="00B63C01">
        <w:tab/>
        <w:t xml:space="preserve">cambios significativos, en el rol y las funciones de los Estados Miembros de la UIT en lo relativo a la prestación de servicios internacionales de telecomunicaciones. En el pasado (antes de 1988), en la mayoría de los países, el </w:t>
      </w:r>
      <w:r>
        <w:t>gobierno</w:t>
      </w:r>
      <w:r w:rsidRPr="00B63C01">
        <w:t xml:space="preserve"> construía las infraestructuras de telecomunicaciones, era dueño de los operadores monopolísticos, y regulaba las telecomunicaciones. Desde 1990, sin embargo, los </w:t>
      </w:r>
      <w:r>
        <w:t>gobiernos</w:t>
      </w:r>
      <w:r w:rsidRPr="00B63C01">
        <w:t xml:space="preserve"> han, básicamente, regulado y concedido licencias para las telecomunicaciones internacionales, dejando la construcción de infraestructura y la operación de los </w:t>
      </w:r>
      <w:r w:rsidRPr="00B63C01">
        <w:lastRenderedPageBreak/>
        <w:t xml:space="preserve">sistemas de </w:t>
      </w:r>
      <w:r>
        <w:t>tele</w:t>
      </w:r>
      <w:r w:rsidRPr="00B63C01">
        <w:t>comunicaciones a operadores y compañías de telecomunicaciones privados</w:t>
      </w:r>
      <w:r>
        <w:t xml:space="preserve">; </w:t>
      </w:r>
    </w:p>
    <w:p w:rsidR="003307D8" w:rsidRPr="00B63C01" w:rsidRDefault="003307D8" w:rsidP="003307D8">
      <w:pPr>
        <w:pStyle w:val="enumlev2"/>
      </w:pPr>
      <w:r w:rsidRPr="00B63C01">
        <w:t>–</w:t>
      </w:r>
      <w:r w:rsidRPr="00B63C01">
        <w:tab/>
        <w:t xml:space="preserve">cambios en la infraestructura de telecomunicaciones y en de las operaciones y </w:t>
      </w:r>
      <w:r>
        <w:t>la prestación de</w:t>
      </w:r>
      <w:r w:rsidRPr="00B63C01">
        <w:t xml:space="preserve"> servicios internacionales de las telecomunicaciones</w:t>
      </w:r>
      <w:r>
        <w:t>;</w:t>
      </w:r>
    </w:p>
    <w:p w:rsidR="003307D8" w:rsidRPr="00B63C01" w:rsidRDefault="003307D8" w:rsidP="003307D8">
      <w:pPr>
        <w:pStyle w:val="enumlev2"/>
      </w:pPr>
      <w:r w:rsidRPr="00B63C01">
        <w:t>–</w:t>
      </w:r>
      <w:r w:rsidRPr="00B63C01">
        <w:tab/>
        <w:t>aparición de nuevos servicios internacionales de telecomunicaciones, en especial en el campo de las telecomunicaciones móviles inalámbricas (incluida la itinerancia entre operadores de diferentes Estados)</w:t>
      </w:r>
      <w:r>
        <w:t>;</w:t>
      </w:r>
    </w:p>
    <w:p w:rsidR="003307D8" w:rsidRPr="00B63C01" w:rsidRDefault="003307D8" w:rsidP="003307D8">
      <w:pPr>
        <w:pStyle w:val="enumlev2"/>
      </w:pPr>
      <w:r w:rsidRPr="00B63C01">
        <w:t>–</w:t>
      </w:r>
      <w:r w:rsidRPr="00B63C01">
        <w:tab/>
        <w:t xml:space="preserve">ausencia de un enfoque común que permita, en el interés de los usuarios finales, una cooperación eficaz entre los Estados Miembros de la UIT y los operadores de telecomunicaciones sobre los asuntos que surgen </w:t>
      </w:r>
      <w:r>
        <w:t>como resultado d</w:t>
      </w:r>
      <w:r w:rsidRPr="00B63C01">
        <w:t>el entorno cambiante y de rápido desarrollo de las telecomunicaciones y las TIC.</w:t>
      </w:r>
    </w:p>
    <w:p w:rsidR="003307D8" w:rsidRPr="00B63C01" w:rsidRDefault="003307D8" w:rsidP="003307D8">
      <w:pPr>
        <w:pStyle w:val="enumlev1"/>
      </w:pPr>
      <w:r w:rsidRPr="00B63C01">
        <w:t>3)</w:t>
      </w:r>
      <w:r w:rsidRPr="00B63C01">
        <w:tab/>
        <w:t>El hecho de que las disposiciones del RTI de 1988 no corresponden con las condiciones actuales de trabajo de l</w:t>
      </w:r>
      <w:r>
        <w:t>as administraciones y l</w:t>
      </w:r>
      <w:r w:rsidRPr="00B63C01">
        <w:t>os operadores de telecomunicaciones, en un entorno de tecnologías de telecomunicaci</w:t>
      </w:r>
      <w:r>
        <w:t>ones/TIC</w:t>
      </w:r>
      <w:r w:rsidRPr="00B63C01">
        <w:t xml:space="preserve"> de rápido desarrollo e introducción en las redes internacionales de telecomunicaciones; esta situación afecta en concreto a la aplicación de las disposiciones del RTI en lo relativo a: </w:t>
      </w:r>
    </w:p>
    <w:p w:rsidR="003307D8" w:rsidRPr="00B63C01" w:rsidRDefault="003307D8" w:rsidP="003307D8">
      <w:pPr>
        <w:pStyle w:val="enumlev2"/>
      </w:pPr>
      <w:r w:rsidRPr="00B63C01">
        <w:t>–</w:t>
      </w:r>
      <w:r w:rsidRPr="00B63C01">
        <w:tab/>
        <w:t>la organización y la selección del encaminamiento del tráfico internacional de telecomunicaciones;</w:t>
      </w:r>
    </w:p>
    <w:p w:rsidR="003307D8" w:rsidRPr="00B63C01" w:rsidRDefault="003307D8" w:rsidP="003307D8">
      <w:pPr>
        <w:pStyle w:val="enumlev2"/>
      </w:pPr>
      <w:r w:rsidRPr="00B63C01">
        <w:t>–</w:t>
      </w:r>
      <w:r w:rsidRPr="00B63C01">
        <w:tab/>
        <w:t>la comunicación del número de la parte llamante, la identificación de línea llamante internacional e identificación de origen;</w:t>
      </w:r>
    </w:p>
    <w:p w:rsidR="003307D8" w:rsidRPr="00B63C01" w:rsidRDefault="003307D8" w:rsidP="003307D8">
      <w:pPr>
        <w:pStyle w:val="enumlev2"/>
      </w:pPr>
      <w:r w:rsidRPr="00B63C01">
        <w:t>–</w:t>
      </w:r>
      <w:r w:rsidRPr="00B63C01">
        <w:tab/>
        <w:t>el establecimiento de tarifas, los plazos y procedimientos para la liquidación de los saldos de las cuentas;</w:t>
      </w:r>
    </w:p>
    <w:p w:rsidR="003307D8" w:rsidRPr="00B63C01" w:rsidRDefault="003307D8" w:rsidP="003307D8">
      <w:pPr>
        <w:pStyle w:val="enumlev2"/>
      </w:pPr>
      <w:r w:rsidRPr="00B63C01">
        <w:t>–</w:t>
      </w:r>
      <w:r w:rsidRPr="00B63C01">
        <w:tab/>
        <w:t>cuestiones relativas a la itinerancia, los problemas de la itinerancia inadvertida y las liquidaciones entre operadores.</w:t>
      </w:r>
    </w:p>
    <w:p w:rsidR="003307D8" w:rsidRPr="00B63C01" w:rsidRDefault="003307D8" w:rsidP="003307D8">
      <w:pPr>
        <w:pStyle w:val="enumlev1"/>
      </w:pPr>
      <w:r w:rsidRPr="00B63C01">
        <w:t>4)</w:t>
      </w:r>
      <w:r w:rsidRPr="00B63C01">
        <w:tab/>
        <w:t xml:space="preserve">La adopción de nuevas Resoluciones y Recomendaciones de la UIT sobre asuntos que atañen al RTI de 1988 o </w:t>
      </w:r>
      <w:r>
        <w:t>el análisis de</w:t>
      </w:r>
      <w:r w:rsidRPr="00B63C01">
        <w:t xml:space="preserve"> cuestiones que es necesario reflejar en el RTI para</w:t>
      </w:r>
      <w:r>
        <w:t xml:space="preserve"> crear las condiciones necesarias para</w:t>
      </w:r>
      <w:r w:rsidRPr="00B63C01">
        <w:t xml:space="preserve"> la introducción de nuevas tecnologías y servicios de telecomunicaciones/TIC para todos los usuarios. </w:t>
      </w:r>
    </w:p>
    <w:p w:rsidR="003307D8" w:rsidRPr="00B63C01" w:rsidRDefault="003307D8" w:rsidP="003307D8">
      <w:r w:rsidRPr="00B63C01">
        <w:t xml:space="preserve">A pesar de que existía una divergencia de opiniones sobre el futuro del RTI, como también existe en la actualidad, se adoptó en 2010, entre todas las partes presentes en el debate, la decisión de revisar el RTI de 1988, celebrando la reunión de 2012 de la CMTI con este objetivo. </w:t>
      </w:r>
    </w:p>
    <w:p w:rsidR="003307D8" w:rsidRPr="00B63C01" w:rsidRDefault="003307D8" w:rsidP="003307D8">
      <w:r w:rsidRPr="00B63C01">
        <w:t>Sin embargo, como el RTI no se había revisado en los 24 años anteriores a 2012, la CMTI-12 no fue capaz, por razones obvias, de debatir adecuadamente y de conseguir alcanzar un compromiso sobre todas las propuestas recibidas de los Estados Miembros y los Miembros de Sector de la UIT que tenían en cuenta todas las tendencias actuales de las telecomunicaciones</w:t>
      </w:r>
      <w:r>
        <w:t>/TIC</w:t>
      </w:r>
      <w:r>
        <w:t>.</w:t>
      </w:r>
    </w:p>
    <w:p w:rsidR="003307D8" w:rsidRPr="00B63C01" w:rsidRDefault="003307D8" w:rsidP="003307D8">
      <w:r w:rsidRPr="00B63C01">
        <w:t xml:space="preserve">Como resultado, en la actualidad se ha establecido una cierta dicotomía en la aplicación de las dos versiones del RTI: por una parte, todos los Estados Miembros han acordado la necesidad de revisar el RTI de 1988, pero, por otra parte, algunas administraciones declararon en la CMTI-12 que no sería posible aceptar el RTI revisado en 2012 y en los años posteriores. </w:t>
      </w:r>
    </w:p>
    <w:p w:rsidR="003307D8" w:rsidRPr="00B63C01" w:rsidRDefault="003307D8" w:rsidP="003307D8">
      <w:r w:rsidRPr="00B63C01">
        <w:t>Esta situación, además de los problemas anteriores relativos a la aplicación eficaz del RTI de 1988, plantea nuevas dificultades a l</w:t>
      </w:r>
      <w:r>
        <w:t>as administraciones y l</w:t>
      </w:r>
      <w:r w:rsidRPr="00B63C01">
        <w:t xml:space="preserve">os operadores de telecomunicaciones cuando colaboran con otras partes de países en los se aplican diferentes versiones del RTI (1988 y 2012) a nivel nacional. </w:t>
      </w:r>
    </w:p>
    <w:p w:rsidR="003307D8" w:rsidRPr="00B63C01" w:rsidRDefault="003307D8" w:rsidP="003307D8">
      <w:r w:rsidRPr="00B63C01">
        <w:lastRenderedPageBreak/>
        <w:t xml:space="preserve">Al mismo tiempo, </w:t>
      </w:r>
      <w:r>
        <w:t>en las dos versiones d</w:t>
      </w:r>
      <w:r w:rsidRPr="00B63C01">
        <w:t xml:space="preserve">el RTI </w:t>
      </w:r>
      <w:r>
        <w:t>se</w:t>
      </w:r>
      <w:r w:rsidRPr="00B63C01">
        <w:t xml:space="preserve"> incluye</w:t>
      </w:r>
      <w:r>
        <w:t>, entre otras cosas,</w:t>
      </w:r>
      <w:r w:rsidRPr="00B63C01">
        <w:t xml:space="preserve"> un cierto número de disposiciones importantes </w:t>
      </w:r>
      <w:r>
        <w:t>sobre los aspectos económicos de la prestación de servicios de telecomunicaciones/TIC, incluso para los usuarios finales, a saber</w:t>
      </w:r>
      <w:r w:rsidRPr="00B63C01">
        <w:t>:</w:t>
      </w:r>
    </w:p>
    <w:p w:rsidR="003307D8" w:rsidRPr="00B63C01" w:rsidRDefault="003307D8" w:rsidP="003307D8">
      <w:pPr>
        <w:pStyle w:val="enumlev1"/>
      </w:pPr>
      <w:r>
        <w:t>1)</w:t>
      </w:r>
      <w:r>
        <w:tab/>
      </w:r>
      <w:r w:rsidRPr="00B63C01">
        <w:t>Eliminación de la doble imposición.</w:t>
      </w:r>
    </w:p>
    <w:p w:rsidR="003307D8" w:rsidRPr="00B63C01" w:rsidRDefault="003307D8" w:rsidP="003307D8">
      <w:pPr>
        <w:pStyle w:val="enumlev1"/>
      </w:pPr>
      <w:r>
        <w:t>2</w:t>
      </w:r>
      <w:r w:rsidRPr="00B63C01">
        <w:t>)</w:t>
      </w:r>
      <w:r w:rsidRPr="00B63C01">
        <w:tab/>
        <w:t xml:space="preserve">Aplicación de mecanismos para la liquidación </w:t>
      </w:r>
      <w:r>
        <w:t xml:space="preserve">(compensación) </w:t>
      </w:r>
      <w:r w:rsidRPr="00B63C01">
        <w:t>de cuentas de servicios internacionales de telecomunicaciones</w:t>
      </w:r>
      <w:r>
        <w:t>/TIC</w:t>
      </w:r>
      <w:r w:rsidRPr="00B63C01">
        <w:t>.</w:t>
      </w:r>
    </w:p>
    <w:p w:rsidR="003307D8" w:rsidRPr="00B63C01" w:rsidRDefault="003307D8" w:rsidP="003307D8">
      <w:pPr>
        <w:pStyle w:val="enumlev1"/>
      </w:pPr>
      <w:r>
        <w:t>3</w:t>
      </w:r>
      <w:r w:rsidRPr="00B63C01">
        <w:t>)</w:t>
      </w:r>
      <w:r w:rsidRPr="00B63C01">
        <w:tab/>
        <w:t>Prestación del servicio internacional (técnico) de telecomunicaciones con exención de tasas.</w:t>
      </w:r>
    </w:p>
    <w:p w:rsidR="003307D8" w:rsidRDefault="003307D8" w:rsidP="003307D8">
      <w:pPr>
        <w:pStyle w:val="enumlev1"/>
      </w:pPr>
      <w:r>
        <w:t>4</w:t>
      </w:r>
      <w:r w:rsidRPr="00B63C01">
        <w:t>)</w:t>
      </w:r>
      <w:r w:rsidRPr="00B63C01">
        <w:tab/>
        <w:t>Procedimientos para la emisión de facturas y la liquidación de los servicios interna</w:t>
      </w:r>
      <w:r w:rsidR="003574E0">
        <w:t>cionales de telecomunicaciones.</w:t>
      </w:r>
    </w:p>
    <w:p w:rsidR="003574E0" w:rsidRPr="00B63C01" w:rsidRDefault="003574E0" w:rsidP="003307D8">
      <w:pPr>
        <w:pStyle w:val="enumlev1"/>
      </w:pPr>
      <w:r>
        <w:t>5)</w:t>
      </w:r>
      <w:r>
        <w:tab/>
      </w:r>
      <w:r w:rsidRPr="003574E0">
        <w:t>Procedimientos para la emisión de facturas y la liquidación d</w:t>
      </w:r>
      <w:r>
        <w:t xml:space="preserve">e </w:t>
      </w:r>
      <w:r w:rsidRPr="003574E0">
        <w:t>las telecomunicaciones marítimas internacionales</w:t>
      </w:r>
      <w:r>
        <w:t>.</w:t>
      </w:r>
    </w:p>
    <w:p w:rsidR="003307D8" w:rsidRPr="00B63C01" w:rsidRDefault="003574E0" w:rsidP="003307D8">
      <w:pPr>
        <w:pStyle w:val="enumlev1"/>
      </w:pPr>
      <w:r>
        <w:t>6</w:t>
      </w:r>
      <w:r w:rsidR="003307D8" w:rsidRPr="00B63C01">
        <w:t>)</w:t>
      </w:r>
      <w:r w:rsidR="003307D8" w:rsidRPr="00B63C01">
        <w:tab/>
        <w:t>Aplicación de liquidaciones entre operadores para los servicios internacionales de telecomunicaciones a través de una tercera parte (</w:t>
      </w:r>
      <w:r w:rsidR="003307D8">
        <w:t>"</w:t>
      </w:r>
      <w:r w:rsidR="003307D8" w:rsidRPr="00B63C01">
        <w:t>autoridad encargada de la contabilidad</w:t>
      </w:r>
      <w:r w:rsidR="003307D8">
        <w:t>"</w:t>
      </w:r>
      <w:r w:rsidR="003307D8" w:rsidRPr="00B63C01">
        <w:t>).</w:t>
      </w:r>
    </w:p>
    <w:p w:rsidR="003307D8" w:rsidRPr="00B63C01" w:rsidRDefault="003307D8" w:rsidP="003307D8">
      <w:r w:rsidRPr="00B63C01">
        <w:t>No todas las disposiciones anteriores aparecen en las dos versiones del RTI, creando posibles riesgos adicionales de pérdidas económicas por los motivos siguientes:</w:t>
      </w:r>
    </w:p>
    <w:p w:rsidR="003307D8" w:rsidRPr="00B63C01" w:rsidRDefault="003307D8" w:rsidP="003307D8">
      <w:pPr>
        <w:pStyle w:val="enumlev1"/>
      </w:pPr>
      <w:r w:rsidRPr="00B63C01">
        <w:t>–</w:t>
      </w:r>
      <w:r w:rsidRPr="00B63C01">
        <w:tab/>
        <w:t>la imposibilidad de aplicar el RTI de 1988 porque sus disposiciones han quedado obsoletas;</w:t>
      </w:r>
    </w:p>
    <w:p w:rsidR="003307D8" w:rsidRPr="00B63C01" w:rsidRDefault="003307D8" w:rsidP="003307D8">
      <w:pPr>
        <w:pStyle w:val="enumlev1"/>
      </w:pPr>
      <w:r w:rsidRPr="00B63C01">
        <w:t>–</w:t>
      </w:r>
      <w:r w:rsidRPr="00B63C01">
        <w:tab/>
        <w:t>el hecho de que no todos los Estados Miembros de</w:t>
      </w:r>
      <w:r w:rsidR="003574E0">
        <w:t xml:space="preserve"> </w:t>
      </w:r>
      <w:r w:rsidRPr="00B63C01">
        <w:t>l</w:t>
      </w:r>
      <w:r w:rsidR="003574E0">
        <w:t>a</w:t>
      </w:r>
      <w:r w:rsidRPr="00B63C01">
        <w:t xml:space="preserve"> UIT están adheridos al RTI de 2012;</w:t>
      </w:r>
    </w:p>
    <w:p w:rsidR="003307D8" w:rsidRPr="00B63C01" w:rsidRDefault="003307D8" w:rsidP="003307D8">
      <w:pPr>
        <w:pStyle w:val="enumlev1"/>
      </w:pPr>
      <w:r w:rsidRPr="00B63C01">
        <w:t>–</w:t>
      </w:r>
      <w:r w:rsidRPr="00B63C01">
        <w:tab/>
        <w:t xml:space="preserve">la </w:t>
      </w:r>
      <w:r>
        <w:t>falta de claridad acerca de la posible aplicación de</w:t>
      </w:r>
      <w:r w:rsidRPr="00B63C01">
        <w:t xml:space="preserve"> los dos RTI</w:t>
      </w:r>
      <w:r>
        <w:t>, el</w:t>
      </w:r>
      <w:r w:rsidRPr="00B63C01">
        <w:t xml:space="preserve"> de 1988 y </w:t>
      </w:r>
      <w:r>
        <w:t xml:space="preserve">el </w:t>
      </w:r>
      <w:r w:rsidRPr="00B63C01">
        <w:t xml:space="preserve">de 2012. </w:t>
      </w:r>
    </w:p>
    <w:p w:rsidR="003307D8" w:rsidRPr="00B63C01" w:rsidRDefault="003307D8" w:rsidP="003307D8">
      <w:pPr>
        <w:pStyle w:val="Headingb"/>
      </w:pPr>
      <w:r w:rsidRPr="00B63C01">
        <w:t>Propuestas</w:t>
      </w:r>
    </w:p>
    <w:p w:rsidR="003307D8" w:rsidRPr="00B63C01" w:rsidRDefault="003307D8" w:rsidP="003307D8">
      <w:r w:rsidRPr="00B63C01">
        <w:t>Habida cuenta de los puntos anteriores, proponemos la incorporación de l</w:t>
      </w:r>
      <w:r>
        <w:t>o</w:t>
      </w:r>
      <w:r w:rsidRPr="00B63C01">
        <w:t>s siguientes p</w:t>
      </w:r>
      <w:r>
        <w:t>untos</w:t>
      </w:r>
      <w:r w:rsidRPr="00B63C01">
        <w:t xml:space="preserve"> en el Informe final del GE-RTI: </w:t>
      </w:r>
    </w:p>
    <w:p w:rsidR="003307D8" w:rsidRDefault="003307D8" w:rsidP="003307D8">
      <w:pPr>
        <w:pStyle w:val="enumlev1"/>
      </w:pPr>
      <w:r>
        <w:t>1</w:t>
      </w:r>
      <w:r w:rsidRPr="00B63C01">
        <w:t>)</w:t>
      </w:r>
      <w:r w:rsidRPr="00B63C01">
        <w:tab/>
        <w:t xml:space="preserve">Destacar la importancia de que </w:t>
      </w:r>
      <w:r>
        <w:t xml:space="preserve">haya un único RTI (por analogía con el Reglamento de Radiocomunicaciones) para </w:t>
      </w:r>
      <w:r w:rsidRPr="00B63C01">
        <w:t xml:space="preserve">todos los Estados Miembros con el fin de crear un entorno propicio que fomente políticas y decisiones de apoyo, transparentes, en favor de la competencia y predecibles, así como un marco reglamentario y legal que proporcione los incentivos necesarios para la inversión en el desarrollo de las telecomunicaciones y las TIC y de la sociedad de la información en general, en el interés del usuario final. </w:t>
      </w:r>
    </w:p>
    <w:p w:rsidR="003307D8" w:rsidRPr="00B63C01" w:rsidRDefault="003307D8" w:rsidP="003307D8">
      <w:pPr>
        <w:pStyle w:val="enumlev1"/>
      </w:pPr>
      <w:r>
        <w:t>2)</w:t>
      </w:r>
      <w:r>
        <w:tab/>
        <w:t>Señalar la actual falta de claridad acerca de la posibilidad de aplicar tanto el RTI de 1988 como el de 2012, o sólo uno de ellos, mediante la colaboración entre las administraciones y operadores de los Estados Miembros que apliquen versiones distintas del RTI (RTI de 1988 o RTI de 2012, según el caso).</w:t>
      </w:r>
    </w:p>
    <w:p w:rsidR="003307D8" w:rsidRDefault="003307D8" w:rsidP="003307D8">
      <w:pPr>
        <w:pStyle w:val="enumlev1"/>
      </w:pPr>
      <w:r>
        <w:t>3</w:t>
      </w:r>
      <w:r>
        <w:t>)</w:t>
      </w:r>
      <w:r w:rsidRPr="00B63C01">
        <w:tab/>
      </w:r>
      <w:r>
        <w:t>Indicar la necesidad de celebrar una nueva CMTI, en tanto que único foro legítimo, s</w:t>
      </w:r>
      <w:r w:rsidRPr="00B63C01">
        <w:t xml:space="preserve">i </w:t>
      </w:r>
      <w:r>
        <w:t xml:space="preserve">en la PP-18 </w:t>
      </w:r>
      <w:r w:rsidRPr="00B63C01">
        <w:t xml:space="preserve">no es posible alcanzar un consenso para eliminar las discrepancias que aparecen en </w:t>
      </w:r>
      <w:r>
        <w:t xml:space="preserve">la aplicación de </w:t>
      </w:r>
      <w:r w:rsidRPr="00B63C01">
        <w:t>los RTI de 1988 y 2012, y con el fin de llegar a un amplio consenso sobre un texto de RTI único</w:t>
      </w:r>
      <w:r>
        <w:t>. Una manera de resolver las dificultades sería que la mayoría de los Estados Miembros de la UIT se adhiriese al RTI de 2012</w:t>
      </w:r>
      <w:r w:rsidRPr="00B63C01">
        <w:t>.</w:t>
      </w:r>
    </w:p>
    <w:p w:rsidR="003307D8" w:rsidRDefault="003307D8" w:rsidP="003307D8">
      <w:pPr>
        <w:pStyle w:val="enumlev1"/>
      </w:pPr>
      <w:r>
        <w:t>4)</w:t>
      </w:r>
      <w:r>
        <w:tab/>
        <w:t>Para facilitar la organización de los trabajos de preparación del Informe final del Grupo, el GE-RTI ha preparado una comparación artículo por artículo de los RTI de 1988 y de 2012 (véase el Anexo), que proponemos se incluya en la Sección 2.3, Posibles conflictos, del proyecto de Informe final.</w:t>
      </w:r>
      <w:r w:rsidRPr="00B63C01">
        <w:t xml:space="preserve"> </w:t>
      </w:r>
    </w:p>
    <w:p w:rsidR="007354BB" w:rsidRDefault="007354BB" w:rsidP="007354BB">
      <w:r>
        <w:br w:type="page"/>
      </w:r>
    </w:p>
    <w:p w:rsidR="007354BB" w:rsidRDefault="007354BB" w:rsidP="007354BB">
      <w:pPr>
        <w:pStyle w:val="AnnexNo"/>
      </w:pPr>
      <w:bookmarkStart w:id="9" w:name="lt_pId055"/>
      <w:r>
        <w:lastRenderedPageBreak/>
        <w:t>anexo</w:t>
      </w:r>
    </w:p>
    <w:p w:rsidR="003307D8" w:rsidRPr="004F251F" w:rsidRDefault="003307D8" w:rsidP="00BD15CC">
      <w:pPr>
        <w:pStyle w:val="Annextitle"/>
      </w:pPr>
      <w:r w:rsidRPr="004F251F">
        <w:t>Comparación artículo por artículo de los RTI de 19</w:t>
      </w:r>
      <w:r w:rsidR="00BD15CC">
        <w:t>8</w:t>
      </w:r>
      <w:r w:rsidRPr="004F251F">
        <w:t>8 y de 2012</w:t>
      </w:r>
      <w:bookmarkEnd w:id="9"/>
    </w:p>
    <w:p w:rsidR="003307D8" w:rsidRPr="004F251F" w:rsidRDefault="003307D8" w:rsidP="007354BB">
      <w:pPr>
        <w:pStyle w:val="Note"/>
      </w:pPr>
      <w:bookmarkStart w:id="10" w:name="lt_pId056"/>
      <w:r w:rsidRPr="004F251F">
        <w:t>Nota:</w:t>
      </w:r>
      <w:bookmarkEnd w:id="10"/>
    </w:p>
    <w:p w:rsidR="003307D8" w:rsidRPr="004F251F" w:rsidRDefault="003307D8" w:rsidP="007354BB">
      <w:pPr>
        <w:pStyle w:val="Note"/>
      </w:pPr>
      <w:bookmarkStart w:id="11" w:name="lt_pId057"/>
      <w:r w:rsidRPr="004F251F">
        <w:t>En el cuadro se utilizan los siguientes convenios:</w:t>
      </w:r>
      <w:bookmarkEnd w:id="11"/>
    </w:p>
    <w:p w:rsidR="003307D8" w:rsidRPr="004F251F" w:rsidRDefault="007354BB" w:rsidP="007C4B98">
      <w:pPr>
        <w:pStyle w:val="Note"/>
      </w:pPr>
      <w:bookmarkStart w:id="12" w:name="lt_pId058"/>
      <w:r>
        <w:t>–</w:t>
      </w:r>
      <w:r>
        <w:tab/>
      </w:r>
      <w:r w:rsidR="003307D8" w:rsidRPr="004F251F">
        <w:t xml:space="preserve">las disposiciones con modificaciones formales se indican en </w:t>
      </w:r>
      <w:r w:rsidR="003307D8" w:rsidRPr="004F251F">
        <w:rPr>
          <w:i/>
          <w:iCs/>
        </w:rPr>
        <w:t>cursiva</w:t>
      </w:r>
      <w:r w:rsidR="003307D8" w:rsidRPr="004F251F">
        <w:t>;</w:t>
      </w:r>
    </w:p>
    <w:p w:rsidR="003307D8" w:rsidRPr="004F251F" w:rsidRDefault="007354BB" w:rsidP="003574E0">
      <w:pPr>
        <w:pStyle w:val="Note"/>
        <w:spacing w:after="240"/>
      </w:pPr>
      <w:bookmarkStart w:id="13" w:name="lt_pId059"/>
      <w:bookmarkEnd w:id="12"/>
      <w:r>
        <w:t>–</w:t>
      </w:r>
      <w:r>
        <w:tab/>
      </w:r>
      <w:r w:rsidR="003307D8" w:rsidRPr="004F251F">
        <w:t xml:space="preserve">las disposiciones nuevas del RTI </w:t>
      </w:r>
      <w:r w:rsidR="00BD15CC">
        <w:t xml:space="preserve">de </w:t>
      </w:r>
      <w:r w:rsidR="003307D8" w:rsidRPr="004F251F">
        <w:t xml:space="preserve">2012 se </w:t>
      </w:r>
      <w:r w:rsidR="003307D8">
        <w:t>indican</w:t>
      </w:r>
      <w:r w:rsidR="003307D8" w:rsidRPr="004F251F">
        <w:t xml:space="preserve"> en </w:t>
      </w:r>
      <w:r w:rsidR="003307D8" w:rsidRPr="004F251F">
        <w:rPr>
          <w:b/>
          <w:bCs/>
          <w:i/>
          <w:iCs/>
        </w:rPr>
        <w:t>negrita cursiva</w:t>
      </w:r>
      <w:r w:rsidR="003307D8" w:rsidRPr="004F251F">
        <w:rPr>
          <w:b/>
          <w:i/>
        </w:rPr>
        <w:t>.</w:t>
      </w:r>
      <w:bookmarkEnd w:id="13"/>
    </w:p>
    <w:tbl>
      <w:tblPr>
        <w:tblW w:w="10314" w:type="dxa"/>
        <w:tblCellMar>
          <w:left w:w="0" w:type="dxa"/>
          <w:right w:w="0" w:type="dxa"/>
        </w:tblCellMar>
        <w:tblLook w:val="04A0" w:firstRow="1" w:lastRow="0" w:firstColumn="1" w:lastColumn="0" w:noHBand="0" w:noVBand="1"/>
      </w:tblPr>
      <w:tblGrid>
        <w:gridCol w:w="5070"/>
        <w:gridCol w:w="5244"/>
      </w:tblGrid>
      <w:tr w:rsidR="003307D8" w:rsidRPr="001C0671" w:rsidTr="002E722B">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7354BB">
            <w:pPr>
              <w:pStyle w:val="Tablehead"/>
              <w:rPr>
                <w:lang w:val="fr-CH"/>
              </w:rPr>
            </w:pPr>
            <w:bookmarkStart w:id="14" w:name="lt_pId060"/>
            <w:r w:rsidRPr="001C0671">
              <w:t xml:space="preserve">RTI </w:t>
            </w:r>
            <w:r w:rsidR="00BD15CC">
              <w:t xml:space="preserve">de </w:t>
            </w:r>
            <w:r w:rsidRPr="001C0671">
              <w:rPr>
                <w:lang w:val="ru-RU"/>
              </w:rPr>
              <w:t>1988</w:t>
            </w:r>
            <w:bookmarkEnd w:id="14"/>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7354BB">
            <w:pPr>
              <w:pStyle w:val="Tablehead"/>
              <w:rPr>
                <w:lang w:val="fr-CH"/>
              </w:rPr>
            </w:pPr>
            <w:bookmarkStart w:id="15" w:name="lt_pId061"/>
            <w:r w:rsidRPr="001C0671">
              <w:t xml:space="preserve">RTI </w:t>
            </w:r>
            <w:r w:rsidR="00BD15CC">
              <w:t xml:space="preserve">de </w:t>
            </w:r>
            <w:r w:rsidRPr="001C0671">
              <w:rPr>
                <w:lang w:val="ru-RU"/>
              </w:rPr>
              <w:t>2012</w:t>
            </w:r>
            <w:bookmarkEnd w:id="15"/>
          </w:p>
        </w:tc>
      </w:tr>
      <w:tr w:rsidR="003307D8" w:rsidRPr="001C0671" w:rsidTr="002E722B">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D24228">
            <w:pPr>
              <w:pStyle w:val="Tabletext"/>
              <w:spacing w:before="120" w:after="120"/>
              <w:jc w:val="center"/>
            </w:pPr>
            <w:bookmarkStart w:id="16" w:name="lt_pId062"/>
            <w:r w:rsidRPr="001C0671">
              <w:t>PREÁMBULO</w:t>
            </w:r>
            <w:bookmarkEnd w:id="16"/>
          </w:p>
          <w:p w:rsidR="003307D8" w:rsidRPr="001C0671" w:rsidRDefault="003307D8" w:rsidP="00E62DB6">
            <w:pPr>
              <w:pStyle w:val="Tabletext"/>
              <w:rPr>
                <w:b/>
                <w:bCs/>
              </w:rPr>
            </w:pPr>
            <w:r w:rsidRPr="001C0671">
              <w:rPr>
                <w:b/>
                <w:bCs/>
              </w:rPr>
              <w:t>1</w:t>
            </w:r>
            <w:bookmarkStart w:id="17" w:name="lt_pId064"/>
            <w:r w:rsidR="007354BB" w:rsidRPr="001C0671">
              <w:tab/>
            </w:r>
            <w:r w:rsidRPr="001C0671">
              <w: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bookmarkEnd w:id="17"/>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D24228">
            <w:pPr>
              <w:pStyle w:val="Tabletext"/>
              <w:spacing w:before="120" w:after="120"/>
              <w:jc w:val="center"/>
            </w:pPr>
            <w:bookmarkStart w:id="18" w:name="_Toc351752228"/>
            <w:bookmarkEnd w:id="18"/>
            <w:r w:rsidRPr="001C0671">
              <w:t>PREÁMBULO</w:t>
            </w:r>
          </w:p>
          <w:p w:rsidR="003307D8" w:rsidRPr="001C0671" w:rsidRDefault="003307D8" w:rsidP="00E62DB6">
            <w:pPr>
              <w:pStyle w:val="Tabletext"/>
              <w:rPr>
                <w:rFonts w:cstheme="majorBidi"/>
                <w:szCs w:val="22"/>
                <w:lang w:eastAsia="zh-CN"/>
              </w:rPr>
            </w:pPr>
            <w:r w:rsidRPr="001C0671">
              <w:rPr>
                <w:rFonts w:cstheme="majorBidi"/>
                <w:b/>
                <w:bCs/>
                <w:szCs w:val="22"/>
                <w:lang w:eastAsia="zh-CN"/>
              </w:rPr>
              <w:t>1</w:t>
            </w:r>
            <w:r w:rsidR="007354BB" w:rsidRPr="001C0671">
              <w:rPr>
                <w:rFonts w:cstheme="majorBidi"/>
                <w:b/>
                <w:bCs/>
                <w:szCs w:val="22"/>
                <w:lang w:eastAsia="zh-CN"/>
              </w:rPr>
              <w:tab/>
            </w:r>
            <w:r w:rsidRPr="001C0671">
              <w: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r w:rsidRPr="001C0671">
              <w:rPr>
                <w:rFonts w:cstheme="majorBidi"/>
                <w:szCs w:val="22"/>
                <w:lang w:eastAsia="zh-CN"/>
              </w:rPr>
              <w:t>.</w:t>
            </w:r>
          </w:p>
          <w:p w:rsidR="003307D8" w:rsidRPr="001C0671" w:rsidRDefault="003307D8" w:rsidP="00E62DB6">
            <w:pPr>
              <w:pStyle w:val="Tabletext"/>
              <w:rPr>
                <w:rFonts w:cstheme="majorBidi"/>
                <w:b/>
                <w:bCs/>
                <w:i/>
                <w:iCs/>
                <w:szCs w:val="22"/>
                <w:lang w:eastAsia="zh-CN"/>
              </w:rPr>
            </w:pPr>
            <w:r w:rsidRPr="001C0671">
              <w:rPr>
                <w:rFonts w:cstheme="majorBidi"/>
                <w:b/>
                <w:bCs/>
                <w:szCs w:val="22"/>
                <w:lang w:eastAsia="zh-CN"/>
              </w:rPr>
              <w:t>2</w:t>
            </w:r>
            <w:r w:rsidR="004F4CD1" w:rsidRPr="001C0671">
              <w:rPr>
                <w:rFonts w:cstheme="majorBidi"/>
                <w:b/>
                <w:bCs/>
                <w:szCs w:val="22"/>
                <w:lang w:eastAsia="zh-CN"/>
              </w:rPr>
              <w:tab/>
            </w:r>
            <w:r w:rsidRPr="001C0671">
              <w:rPr>
                <w:b/>
                <w:bCs/>
                <w:i/>
                <w:iCs/>
              </w:rPr>
              <w:t>Los Estados Miembros reafirman su compromiso de aplicar el presente Reglamento en el respeto y el cumplimiento de sus obligaciones en materia de derechos humanos</w:t>
            </w:r>
            <w:r w:rsidRPr="001C0671">
              <w:rPr>
                <w:rFonts w:cstheme="majorBidi"/>
                <w:b/>
                <w:bCs/>
                <w:i/>
                <w:iCs/>
                <w:szCs w:val="22"/>
                <w:lang w:eastAsia="zh-CN"/>
              </w:rPr>
              <w:t>.</w:t>
            </w:r>
          </w:p>
          <w:p w:rsidR="003307D8" w:rsidRPr="001C0671" w:rsidRDefault="003307D8" w:rsidP="00E62DB6">
            <w:pPr>
              <w:pStyle w:val="Tabletext"/>
              <w:rPr>
                <w:rFonts w:cstheme="majorBidi"/>
                <w:szCs w:val="22"/>
                <w:lang w:eastAsia="zh-CN"/>
              </w:rPr>
            </w:pPr>
            <w:r w:rsidRPr="001C0671">
              <w:rPr>
                <w:rFonts w:cstheme="majorBidi"/>
                <w:b/>
                <w:bCs/>
                <w:szCs w:val="22"/>
                <w:lang w:eastAsia="zh-CN"/>
              </w:rPr>
              <w:t>3</w:t>
            </w:r>
            <w:r w:rsidR="004F4CD1" w:rsidRPr="001C0671">
              <w:rPr>
                <w:rFonts w:cstheme="majorBidi"/>
                <w:b/>
                <w:bCs/>
                <w:szCs w:val="22"/>
                <w:lang w:eastAsia="zh-CN"/>
              </w:rPr>
              <w:tab/>
            </w:r>
            <w:r w:rsidRPr="001C0671">
              <w:rPr>
                <w:b/>
                <w:bCs/>
                <w:i/>
                <w:iCs/>
              </w:rPr>
              <w:t>El presente Reglamento reconoce el derecho de acceso de los Estados Miembros a los servicios internacionales de telecomunicación</w:t>
            </w:r>
            <w:r w:rsidRPr="001C0671">
              <w:rPr>
                <w:rFonts w:cstheme="majorBidi"/>
                <w:b/>
                <w:bCs/>
                <w:i/>
                <w:iCs/>
                <w:szCs w:val="22"/>
                <w:lang w:eastAsia="zh-CN"/>
              </w:rPr>
              <w:t>.</w:t>
            </w:r>
          </w:p>
        </w:tc>
      </w:tr>
      <w:tr w:rsidR="003307D8" w:rsidRPr="001C0671" w:rsidTr="002E722B">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7354BB">
            <w:pPr>
              <w:pStyle w:val="Tabletext"/>
            </w:pPr>
            <w:bookmarkStart w:id="19" w:name="lt_pId071"/>
            <w:r w:rsidRPr="001C0671">
              <w:rPr>
                <w:b/>
                <w:bCs/>
              </w:rPr>
              <w:t>Comentario:</w:t>
            </w:r>
            <w:bookmarkEnd w:id="19"/>
            <w:r w:rsidRPr="001C0671">
              <w:rPr>
                <w:b/>
                <w:bCs/>
              </w:rPr>
              <w:t xml:space="preserve"> </w:t>
            </w:r>
            <w:bookmarkStart w:id="20" w:name="lt_pId072"/>
            <w:r w:rsidRPr="001C0671">
              <w:t xml:space="preserve">El número 2 del Preámbulo del RTI </w:t>
            </w:r>
            <w:r w:rsidR="00BD15CC">
              <w:t xml:space="preserve">de </w:t>
            </w:r>
            <w:r w:rsidRPr="001C0671">
              <w:t xml:space="preserve">2012 no es de carácter técnico ni reglamentario y afirma la necesidad de respetar los derechos humanos, como la privacidad de las comunicaciones, el derecho a transmitir datos libremente y la protección de los datos personales. El número 3 del RTI </w:t>
            </w:r>
            <w:r w:rsidR="00BD15CC">
              <w:t xml:space="preserve">de </w:t>
            </w:r>
            <w:r w:rsidRPr="001C0671">
              <w:t>2012 refleja el espíritu y la letra de la Constitución y el Convenio de la UIT.</w:t>
            </w:r>
            <w:bookmarkEnd w:id="20"/>
          </w:p>
        </w:tc>
      </w:tr>
      <w:tr w:rsidR="003307D8" w:rsidRPr="001C0671" w:rsidTr="00D24228">
        <w:trPr>
          <w:cantSplit/>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307D8" w:rsidRPr="001C0671" w:rsidRDefault="003307D8" w:rsidP="007656D8">
            <w:pPr>
              <w:pStyle w:val="Tabletext"/>
              <w:jc w:val="center"/>
              <w:rPr>
                <w:b/>
                <w:bCs/>
              </w:rPr>
            </w:pPr>
            <w:r w:rsidRPr="001C0671">
              <w:rPr>
                <w:b/>
                <w:bCs/>
              </w:rPr>
              <w:lastRenderedPageBreak/>
              <w:t>A</w:t>
            </w:r>
            <w:r w:rsidR="007354BB" w:rsidRPr="001C0671">
              <w:rPr>
                <w:b/>
                <w:bCs/>
              </w:rPr>
              <w:t>RT</w:t>
            </w:r>
            <w:r w:rsidRPr="001C0671">
              <w:rPr>
                <w:b/>
                <w:bCs/>
              </w:rPr>
              <w:t>ÍCULO 1</w:t>
            </w:r>
          </w:p>
          <w:p w:rsidR="003307D8" w:rsidRPr="001C0671" w:rsidRDefault="003307D8" w:rsidP="008701EF">
            <w:pPr>
              <w:pStyle w:val="Tabletext"/>
              <w:spacing w:after="120"/>
              <w:jc w:val="center"/>
              <w:rPr>
                <w:b/>
                <w:bCs/>
              </w:rPr>
            </w:pPr>
            <w:r w:rsidRPr="001C0671">
              <w:rPr>
                <w:b/>
                <w:bCs/>
              </w:rPr>
              <w:t>Finalidad y alcance del Reglamento</w:t>
            </w:r>
          </w:p>
          <w:p w:rsidR="003307D8" w:rsidRPr="001C0671" w:rsidRDefault="003307D8" w:rsidP="00E62DB6">
            <w:pPr>
              <w:pStyle w:val="Tabletext"/>
            </w:pPr>
            <w:r w:rsidRPr="001C0671">
              <w:rPr>
                <w:rStyle w:val="Artdef"/>
                <w:rFonts w:cstheme="majorBidi"/>
                <w:szCs w:val="22"/>
              </w:rPr>
              <w:t>2</w:t>
            </w:r>
            <w:r w:rsidRPr="001C0671">
              <w:tab/>
              <w:t>1.1</w:t>
            </w:r>
            <w:r w:rsidR="00BD15CC">
              <w:t xml:space="preserve"> </w:t>
            </w:r>
            <w:r w:rsidRPr="001C0671">
              <w:rPr>
                <w:i/>
                <w:iCs/>
              </w:rPr>
              <w:t>a)</w:t>
            </w:r>
            <w:r w:rsidRPr="001C0671">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t>
            </w:r>
            <w:r w:rsidRPr="001C0671">
              <w:rPr>
                <w:rStyle w:val="FootnoteReference"/>
              </w:rPr>
              <w:footnoteReference w:customMarkFollows="1" w:id="1"/>
              <w:t>*</w:t>
            </w:r>
            <w:r w:rsidRPr="001C0671">
              <w: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3307D8" w:rsidRPr="001C0671" w:rsidRDefault="003307D8" w:rsidP="007656D8">
            <w:pPr>
              <w:pStyle w:val="Tabletext"/>
              <w:jc w:val="center"/>
              <w:rPr>
                <w:b/>
                <w:bCs/>
              </w:rPr>
            </w:pPr>
            <w:r w:rsidRPr="001C0671">
              <w:rPr>
                <w:b/>
                <w:bCs/>
              </w:rPr>
              <w:t>ARTÍCULO 1</w:t>
            </w:r>
          </w:p>
          <w:p w:rsidR="003307D8" w:rsidRPr="001C0671" w:rsidRDefault="003307D8" w:rsidP="008701EF">
            <w:pPr>
              <w:pStyle w:val="Tabletext"/>
              <w:spacing w:after="120"/>
              <w:jc w:val="center"/>
              <w:rPr>
                <w:b/>
                <w:bCs/>
                <w:color w:val="000000"/>
              </w:rPr>
            </w:pPr>
            <w:r w:rsidRPr="001C0671">
              <w:rPr>
                <w:b/>
                <w:bCs/>
              </w:rPr>
              <w:t>Finalidad y alcance del Reglamento</w:t>
            </w:r>
          </w:p>
          <w:p w:rsidR="003307D8" w:rsidRPr="001C0671" w:rsidRDefault="003307D8" w:rsidP="00E62DB6">
            <w:pPr>
              <w:pStyle w:val="Tabletext"/>
              <w:rPr>
                <w:rFonts w:cs="Calibri"/>
                <w:b/>
                <w:bCs/>
                <w:i/>
                <w:iCs/>
                <w:lang w:eastAsia="zh-CN"/>
              </w:rPr>
            </w:pPr>
            <w:r w:rsidRPr="001C0671">
              <w:rPr>
                <w:rFonts w:cs="Calibri"/>
                <w:b/>
                <w:bCs/>
                <w:lang w:eastAsia="zh-CN"/>
              </w:rPr>
              <w:t>4</w:t>
            </w:r>
            <w:r w:rsidR="007656D8" w:rsidRPr="001C0671">
              <w:rPr>
                <w:rFonts w:cs="Calibri"/>
                <w:lang w:eastAsia="zh-CN"/>
              </w:rPr>
              <w:tab/>
            </w:r>
            <w:r w:rsidRPr="001C0671">
              <w:rPr>
                <w:rFonts w:cs="Calibri"/>
                <w:lang w:eastAsia="zh-CN"/>
              </w:rPr>
              <w:t>1.1</w:t>
            </w:r>
            <w:r w:rsidR="003574E0">
              <w:rPr>
                <w:rFonts w:cs="Calibri"/>
                <w:lang w:eastAsia="zh-CN"/>
              </w:rPr>
              <w:t xml:space="preserve"> </w:t>
            </w:r>
            <w:r w:rsidRPr="001C0671">
              <w:rPr>
                <w:rFonts w:cs="Calibri"/>
                <w:i/>
                <w:iCs/>
                <w:lang w:eastAsia="zh-CN"/>
              </w:rPr>
              <w:t>a)</w:t>
            </w:r>
            <w:r w:rsidR="004F4CD1" w:rsidRPr="001C0671">
              <w:rPr>
                <w:rFonts w:cs="Calibri"/>
                <w:lang w:eastAsia="zh-CN"/>
              </w:rPr>
              <w:tab/>
            </w:r>
            <w:r w:rsidRPr="001C0671">
              <w:t xml:space="preserve">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w:t>
            </w:r>
            <w:r w:rsidRPr="001C0671">
              <w:rPr>
                <w:b/>
                <w:bCs/>
                <w:i/>
                <w:iCs/>
              </w:rPr>
              <w:t>El presente Reglamento no atañe a los aspectos de contenido de las telecomunicaciones</w:t>
            </w:r>
            <w:r w:rsidRPr="001C0671">
              <w:rPr>
                <w:rFonts w:cs="Calibri"/>
                <w:b/>
                <w:bCs/>
                <w:i/>
                <w:iCs/>
                <w:lang w:eastAsia="zh-CN"/>
              </w:rPr>
              <w:t>.</w:t>
            </w:r>
          </w:p>
          <w:p w:rsidR="003307D8" w:rsidRPr="001C0671" w:rsidRDefault="003307D8" w:rsidP="00E62DB6">
            <w:pPr>
              <w:pStyle w:val="Tabletext"/>
              <w:rPr>
                <w:rFonts w:cs="Calibri"/>
                <w:lang w:eastAsia="zh-CN"/>
              </w:rPr>
            </w:pPr>
            <w:bookmarkStart w:id="21" w:name="lt_pId085"/>
            <w:r w:rsidRPr="001C0671">
              <w:rPr>
                <w:b/>
                <w:bCs/>
                <w:color w:val="000000"/>
              </w:rPr>
              <w:t>5</w:t>
            </w:r>
            <w:r w:rsidR="004F4CD1" w:rsidRPr="001C0671">
              <w:tab/>
            </w:r>
            <w:r w:rsidRPr="001C0671">
              <w:rPr>
                <w:i/>
                <w:iCs/>
              </w:rPr>
              <w:t>b)</w:t>
            </w:r>
            <w:r w:rsidR="004F4CD1" w:rsidRPr="001C0671">
              <w:tab/>
            </w:r>
            <w:r w:rsidRPr="001C0671">
              <w:t>El presente Reglamento contiene asimismo disposiciones aplicables a las empresas de explotación, autorizadas o reconocidas por un Estado Miembro para establecer, explotar y prestar servicios internacionales de telecomunicación destinados al público, en adelante denominadas "</w:t>
            </w:r>
            <w:r w:rsidRPr="001C0671">
              <w:rPr>
                <w:i/>
                <w:iCs/>
              </w:rPr>
              <w:t>empresas de explotación autorizadas</w:t>
            </w:r>
            <w:r w:rsidRPr="001C0671">
              <w:t>"</w:t>
            </w:r>
            <w:r w:rsidRPr="001C0671">
              <w:rPr>
                <w:rFonts w:cs="Calibri"/>
                <w:lang w:eastAsia="zh-CN"/>
              </w:rPr>
              <w:t>.</w:t>
            </w:r>
            <w:bookmarkEnd w:id="21"/>
          </w:p>
        </w:tc>
      </w:tr>
      <w:tr w:rsidR="003307D8" w:rsidRPr="001C0671" w:rsidTr="002E722B">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7354BB">
            <w:pPr>
              <w:pStyle w:val="Tabletext"/>
              <w:rPr>
                <w:bCs/>
              </w:rPr>
            </w:pPr>
            <w:bookmarkStart w:id="22" w:name="lt_pId086"/>
            <w:r w:rsidRPr="001C0671">
              <w:rPr>
                <w:b/>
                <w:bCs/>
              </w:rPr>
              <w:t>Comentario:</w:t>
            </w:r>
            <w:bookmarkEnd w:id="22"/>
            <w:r w:rsidRPr="001C0671">
              <w:rPr>
                <w:b/>
                <w:bCs/>
              </w:rPr>
              <w:t xml:space="preserve"> </w:t>
            </w:r>
            <w:bookmarkStart w:id="23" w:name="lt_pId087"/>
            <w:r w:rsidRPr="001C0671">
              <w:t xml:space="preserve">El número 5 </w:t>
            </w:r>
            <w:r w:rsidRPr="001C0671">
              <w:rPr>
                <w:i/>
                <w:iCs/>
              </w:rPr>
              <w:t>b)</w:t>
            </w:r>
            <w:r w:rsidRPr="001C0671">
              <w:t xml:space="preserve"> del RTI </w:t>
            </w:r>
            <w:r w:rsidR="00BD15CC">
              <w:t xml:space="preserve">de </w:t>
            </w:r>
            <w:r w:rsidRPr="001C0671">
              <w:t xml:space="preserve">2012 refleja los cambios acaecidos en las telecomunicaciones en las últimas décadas. En la actualidad, la prestación de los servicios de telecomunicaciones internacionales depende no sólo de las empresas de explotación reconocidas, sino también de muchos operadores privados que poseen las licencias pertinentes, pero no son </w:t>
            </w:r>
            <w:r w:rsidR="00D24228" w:rsidRPr="001C0671">
              <w:t>"</w:t>
            </w:r>
            <w:r w:rsidRPr="001C0671">
              <w:t>empresa</w:t>
            </w:r>
            <w:r w:rsidR="00D24228" w:rsidRPr="001C0671">
              <w:t xml:space="preserve">s de explotación reconocidas". </w:t>
            </w:r>
            <w:r w:rsidRPr="001C0671">
              <w:t xml:space="preserve">En el RTI </w:t>
            </w:r>
            <w:r w:rsidR="00BD15CC">
              <w:t xml:space="preserve">de </w:t>
            </w:r>
            <w:r w:rsidRPr="001C0671">
              <w:t xml:space="preserve">1988 más o menos se excluye del sistema de telecomunicaciones internacionales a los operadores no incluidos en la lista de </w:t>
            </w:r>
            <w:r w:rsidR="00D24228" w:rsidRPr="001C0671">
              <w:t>"</w:t>
            </w:r>
            <w:r w:rsidRPr="001C0671">
              <w:t>reconocidos</w:t>
            </w:r>
            <w:r w:rsidR="00D24228" w:rsidRPr="001C0671">
              <w:t>"</w:t>
            </w:r>
            <w:r w:rsidRPr="001C0671">
              <w:t xml:space="preserve">. Este comentario se aplica a todas las disposiciones del RTI en que aparece el término </w:t>
            </w:r>
            <w:r w:rsidR="00D24228" w:rsidRPr="001C0671">
              <w:t>"</w:t>
            </w:r>
            <w:r w:rsidRPr="001C0671">
              <w:t>empresas privadas de explotación</w:t>
            </w:r>
            <w:r w:rsidR="00D24228" w:rsidRPr="001C0671">
              <w:t>"</w:t>
            </w:r>
            <w:r w:rsidRPr="001C0671">
              <w:t>.</w:t>
            </w:r>
            <w:bookmarkEnd w:id="23"/>
          </w:p>
        </w:tc>
      </w:tr>
      <w:tr w:rsidR="003307D8" w:rsidRPr="001C0671" w:rsidTr="002E722B">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theme="majorBidi"/>
                <w:szCs w:val="22"/>
              </w:rPr>
            </w:pPr>
            <w:r w:rsidRPr="001C0671">
              <w:rPr>
                <w:rFonts w:cstheme="majorBidi"/>
                <w:b/>
                <w:bCs/>
                <w:szCs w:val="22"/>
              </w:rPr>
              <w:t>6</w:t>
            </w:r>
            <w:r w:rsidR="004F4CD1" w:rsidRPr="001C0671">
              <w:rPr>
                <w:rFonts w:cstheme="majorBidi"/>
                <w:szCs w:val="22"/>
              </w:rPr>
              <w:tab/>
            </w:r>
            <w:r w:rsidRPr="001C0671">
              <w:rPr>
                <w:rFonts w:cstheme="majorBidi"/>
                <w:szCs w:val="22"/>
              </w:rPr>
              <w:t>1.4</w:t>
            </w:r>
            <w:r w:rsidRPr="001C0671">
              <w:rPr>
                <w:rFonts w:cstheme="majorBidi"/>
                <w:szCs w:val="22"/>
              </w:rPr>
              <w:tab/>
            </w:r>
            <w:r w:rsidRPr="001C0671">
              <w:t xml:space="preserve">Ninguna referencia a las </w:t>
            </w:r>
            <w:r w:rsidRPr="001C0671">
              <w:rPr>
                <w:i/>
                <w:iCs/>
              </w:rPr>
              <w:t>Recomendaciones del CCITT y a las Instrucciones</w:t>
            </w:r>
            <w:r w:rsidRPr="001C0671">
              <w:t xml:space="preserve"> contenida en el presente Reglamento se interpretará en el sentido de que confiere a tales Recomendaciones o Instrucciones la misma condición jurídica que tiene el Reglamento</w:t>
            </w:r>
            <w:r w:rsidRPr="001C0671">
              <w:rPr>
                <w:rFonts w:cstheme="majorBidi"/>
                <w:szCs w:val="22"/>
              </w:rPr>
              <w:t>.</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szCs w:val="22"/>
                <w:lang w:eastAsia="zh-CN"/>
              </w:rPr>
            </w:pPr>
            <w:bookmarkStart w:id="24" w:name="lt_pId094"/>
            <w:r w:rsidRPr="001C0671">
              <w:rPr>
                <w:rFonts w:cstheme="majorBidi"/>
                <w:b/>
                <w:bCs/>
                <w:color w:val="000000"/>
                <w:szCs w:val="22"/>
              </w:rPr>
              <w:t>9</w:t>
            </w:r>
            <w:r w:rsidR="004F4CD1" w:rsidRPr="001C0671">
              <w:rPr>
                <w:rFonts w:cstheme="majorBidi"/>
                <w:szCs w:val="22"/>
              </w:rPr>
              <w:tab/>
            </w:r>
            <w:r w:rsidRPr="001C0671">
              <w:rPr>
                <w:rFonts w:cstheme="majorBidi"/>
                <w:szCs w:val="22"/>
              </w:rPr>
              <w:t>1.4</w:t>
            </w:r>
            <w:bookmarkEnd w:id="24"/>
            <w:r w:rsidR="004F4CD1" w:rsidRPr="001C0671">
              <w:rPr>
                <w:rFonts w:cstheme="majorBidi"/>
                <w:szCs w:val="22"/>
              </w:rPr>
              <w:tab/>
            </w:r>
            <w:r w:rsidRPr="001C0671">
              <w:t xml:space="preserve">Ninguna referencia a las </w:t>
            </w:r>
            <w:r w:rsidRPr="001C0671">
              <w:rPr>
                <w:i/>
                <w:iCs/>
              </w:rPr>
              <w:t>Recomendaciones del Sector de Normalización de las Telecomunicaciones de la UIT (UIT-T)</w:t>
            </w:r>
            <w:r w:rsidRPr="001C0671">
              <w:t xml:space="preserve"> contenida en el presente Reglamento se interpretará en el sentido de que confiere a tales Recomendaciones la misma condición jurídica que tiene el Reglamento</w:t>
            </w:r>
            <w:r w:rsidRPr="001C0671">
              <w:rPr>
                <w:rFonts w:cs="Calibri"/>
                <w:szCs w:val="22"/>
                <w:lang w:eastAsia="zh-CN"/>
              </w:rPr>
              <w:t>.</w:t>
            </w:r>
          </w:p>
        </w:tc>
      </w:tr>
      <w:tr w:rsidR="003307D8" w:rsidRPr="001C0671" w:rsidTr="002E722B">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7656D8">
            <w:pPr>
              <w:pStyle w:val="Tabletext"/>
              <w:rPr>
                <w:b/>
                <w:bCs/>
                <w:color w:val="000000"/>
              </w:rPr>
            </w:pPr>
            <w:bookmarkStart w:id="25" w:name="lt_pId095"/>
            <w:r w:rsidRPr="001C0671">
              <w:rPr>
                <w:b/>
              </w:rPr>
              <w:t>Comentario</w:t>
            </w:r>
            <w:r w:rsidRPr="001C0671">
              <w:t>:</w:t>
            </w:r>
            <w:bookmarkEnd w:id="25"/>
            <w:r w:rsidRPr="001C0671">
              <w:t xml:space="preserve"> Actualización de una disposición obsoleta.</w:t>
            </w:r>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theme="majorBidi"/>
                <w:szCs w:val="22"/>
              </w:rPr>
            </w:pPr>
            <w:r w:rsidRPr="001C0671">
              <w:rPr>
                <w:rFonts w:cstheme="majorBidi"/>
                <w:b/>
                <w:bCs/>
                <w:szCs w:val="22"/>
              </w:rPr>
              <w:t>7</w:t>
            </w:r>
            <w:r w:rsidR="004F4CD1" w:rsidRPr="001C0671">
              <w:rPr>
                <w:rFonts w:cstheme="majorBidi"/>
                <w:szCs w:val="22"/>
              </w:rPr>
              <w:tab/>
            </w:r>
            <w:r w:rsidRPr="001C0671">
              <w:rPr>
                <w:rFonts w:cstheme="majorBidi"/>
                <w:szCs w:val="22"/>
              </w:rPr>
              <w:t>1.5</w:t>
            </w:r>
            <w:r w:rsidRPr="001C0671">
              <w:rPr>
                <w:rFonts w:cstheme="majorBidi"/>
                <w:szCs w:val="22"/>
              </w:rPr>
              <w:tab/>
            </w:r>
            <w:r w:rsidRPr="001C0671">
              <w:t xml:space="preserve">En el ámbito del presente Reglamento, la prestación y explotación de los servicios internacionales de telecomunicación </w:t>
            </w:r>
            <w:r w:rsidRPr="001C0671">
              <w:rPr>
                <w:i/>
                <w:iCs/>
              </w:rPr>
              <w:t>en cada relación se efectuarán mediante acuerdos mutuos entre las administraciones</w:t>
            </w:r>
            <w:r w:rsidR="004F4CD1" w:rsidRPr="001C0671">
              <w:rPr>
                <w:rStyle w:val="FootnoteReference"/>
              </w:rPr>
              <w:t>*</w:t>
            </w:r>
            <w:r w:rsidR="004F4CD1" w:rsidRPr="001C0671">
              <w:rPr>
                <w:rFonts w:cstheme="majorBidi"/>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4F4CD1" w:rsidP="00E62DB6">
            <w:pPr>
              <w:pStyle w:val="Tabletext"/>
              <w:rPr>
                <w:rFonts w:cs="Calibri"/>
                <w:szCs w:val="22"/>
                <w:lang w:eastAsia="zh-CN"/>
              </w:rPr>
            </w:pPr>
            <w:bookmarkStart w:id="26" w:name="lt_pId099"/>
            <w:r w:rsidRPr="001C0671">
              <w:rPr>
                <w:rFonts w:cstheme="majorBidi"/>
                <w:b/>
                <w:bCs/>
                <w:szCs w:val="22"/>
              </w:rPr>
              <w:t>10</w:t>
            </w:r>
            <w:r w:rsidRPr="001C0671">
              <w:rPr>
                <w:rFonts w:cstheme="majorBidi"/>
                <w:szCs w:val="22"/>
              </w:rPr>
              <w:tab/>
            </w:r>
            <w:r w:rsidR="003307D8" w:rsidRPr="001C0671">
              <w:rPr>
                <w:rFonts w:cstheme="majorBidi"/>
                <w:szCs w:val="22"/>
              </w:rPr>
              <w:t>1.5</w:t>
            </w:r>
            <w:bookmarkEnd w:id="26"/>
            <w:r w:rsidRPr="001C0671">
              <w:rPr>
                <w:rFonts w:cstheme="majorBidi"/>
                <w:szCs w:val="22"/>
              </w:rPr>
              <w:tab/>
            </w:r>
            <w:r w:rsidR="003307D8" w:rsidRPr="001C0671">
              <w:t xml:space="preserve">En el ámbito del presente Reglamento, la prestación y explotación de los servicios internacionales de telecomunicación en cada relación </w:t>
            </w:r>
            <w:r w:rsidR="003307D8" w:rsidRPr="001C0671">
              <w:rPr>
                <w:i/>
                <w:iCs/>
              </w:rPr>
              <w:t>se efectuarán mediante acuerdos mutuos entre las empresas de explotación autorizadas</w:t>
            </w:r>
            <w:r w:rsidR="003307D8" w:rsidRPr="001C0671">
              <w:rPr>
                <w:rFonts w:cs="Calibri"/>
                <w:szCs w:val="22"/>
                <w:lang w:eastAsia="zh-CN"/>
              </w:rPr>
              <w:t>.</w:t>
            </w:r>
          </w:p>
        </w:tc>
      </w:tr>
      <w:tr w:rsidR="003307D8" w:rsidRPr="001C0671" w:rsidTr="002E722B">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7656D8">
            <w:pPr>
              <w:pStyle w:val="Tabletext"/>
              <w:rPr>
                <w:b/>
                <w:bCs/>
                <w:color w:val="000000"/>
              </w:rPr>
            </w:pPr>
            <w:bookmarkStart w:id="27" w:name="lt_pId100"/>
            <w:r w:rsidRPr="001C0671">
              <w:rPr>
                <w:b/>
              </w:rPr>
              <w:t>Comentario</w:t>
            </w:r>
            <w:r w:rsidRPr="001C0671">
              <w:t>:</w:t>
            </w:r>
            <w:bookmarkEnd w:id="27"/>
            <w:r w:rsidRPr="001C0671">
              <w:t xml:space="preserve"> Actualización de una disposición obsoleta.</w:t>
            </w:r>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szCs w:val="22"/>
              </w:rPr>
            </w:pPr>
            <w:r w:rsidRPr="001C0671">
              <w:rPr>
                <w:rFonts w:cstheme="majorBidi"/>
                <w:b/>
                <w:bCs/>
                <w:szCs w:val="22"/>
              </w:rPr>
              <w:t>8</w:t>
            </w:r>
            <w:r w:rsidR="004F4CD1" w:rsidRPr="001C0671">
              <w:rPr>
                <w:rFonts w:cstheme="majorBidi"/>
                <w:szCs w:val="22"/>
              </w:rPr>
              <w:tab/>
            </w:r>
            <w:r w:rsidRPr="001C0671">
              <w:rPr>
                <w:rFonts w:cstheme="majorBidi"/>
                <w:szCs w:val="22"/>
              </w:rPr>
              <w:t>1.6</w:t>
            </w:r>
            <w:r w:rsidRPr="001C0671">
              <w:rPr>
                <w:rFonts w:cstheme="majorBidi"/>
                <w:szCs w:val="22"/>
              </w:rPr>
              <w:tab/>
            </w:r>
            <w:r w:rsidRPr="001C0671">
              <w:t>Al aplicar los principios de este Reglamento, las administraciones</w:t>
            </w:r>
            <w:r w:rsidR="001C0671" w:rsidRPr="001C0671">
              <w:rPr>
                <w:rStyle w:val="FootnoteReference"/>
              </w:rPr>
              <w:t>*</w:t>
            </w:r>
            <w:r w:rsidRPr="001C0671">
              <w:t xml:space="preserve"> deberían ajustarse en la mayor medida posible a las Recomendaciones pertinentes del CCITT, así como a las Instrucciones que formen parte o se deriven de dichas Recomendaciones</w:t>
            </w:r>
            <w:r w:rsidRPr="001C0671">
              <w:rPr>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szCs w:val="22"/>
                <w:lang w:eastAsia="zh-CN"/>
              </w:rPr>
            </w:pPr>
            <w:r w:rsidRPr="001C0671">
              <w:rPr>
                <w:rFonts w:cstheme="majorBidi"/>
                <w:b/>
                <w:bCs/>
                <w:color w:val="000000"/>
                <w:szCs w:val="22"/>
              </w:rPr>
              <w:t>11</w:t>
            </w:r>
            <w:r w:rsidR="004F4CD1" w:rsidRPr="001C0671">
              <w:rPr>
                <w:rFonts w:cstheme="majorBidi"/>
                <w:szCs w:val="22"/>
              </w:rPr>
              <w:tab/>
            </w:r>
            <w:r w:rsidRPr="001C0671">
              <w:rPr>
                <w:rFonts w:cstheme="majorBidi"/>
                <w:szCs w:val="22"/>
              </w:rPr>
              <w:t>1.6</w:t>
            </w:r>
            <w:r w:rsidRPr="001C0671">
              <w:rPr>
                <w:rFonts w:cstheme="majorBidi"/>
                <w:szCs w:val="22"/>
              </w:rPr>
              <w:tab/>
            </w:r>
            <w:r w:rsidRPr="001C0671">
              <w:t>Al aplicar los principios de este Reglamento, las empresas de explotación autorizadas deben ajustarse en la mayor medida posible a las Recomendaciones UIT-T pertinentes</w:t>
            </w:r>
            <w:r w:rsidRPr="001C0671">
              <w:rPr>
                <w:rFonts w:cs="Calibri"/>
                <w:szCs w:val="22"/>
                <w:lang w:eastAsia="zh-CN"/>
              </w:rPr>
              <w:t>.</w:t>
            </w:r>
          </w:p>
        </w:tc>
      </w:tr>
      <w:tr w:rsidR="003307D8" w:rsidRPr="001C0671" w:rsidTr="002E722B">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7656D8">
            <w:pPr>
              <w:pStyle w:val="Tabletext"/>
              <w:rPr>
                <w:b/>
                <w:bCs/>
                <w:color w:val="000000"/>
              </w:rPr>
            </w:pPr>
            <w:r w:rsidRPr="001C0671">
              <w:rPr>
                <w:b/>
              </w:rPr>
              <w:t>Comentario</w:t>
            </w:r>
            <w:r w:rsidRPr="001C0671">
              <w:t>: Actualización de una disposición obsoleta.</w:t>
            </w:r>
          </w:p>
        </w:tc>
      </w:tr>
      <w:tr w:rsidR="003307D8" w:rsidRPr="001C0671" w:rsidTr="002E722B">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07D8" w:rsidRPr="001C0671" w:rsidRDefault="003307D8" w:rsidP="00E62DB6">
            <w:pPr>
              <w:pStyle w:val="Tabletext"/>
              <w:rPr>
                <w:szCs w:val="22"/>
              </w:rPr>
            </w:pPr>
            <w:bookmarkStart w:id="28" w:name="lt_pId108"/>
            <w:r w:rsidRPr="001C0671">
              <w:rPr>
                <w:rFonts w:cstheme="majorBidi"/>
                <w:b/>
                <w:bCs/>
                <w:color w:val="000000"/>
                <w:szCs w:val="22"/>
              </w:rPr>
              <w:lastRenderedPageBreak/>
              <w:t>9</w:t>
            </w:r>
            <w:r w:rsidR="004F4CD1" w:rsidRPr="001C0671">
              <w:rPr>
                <w:rFonts w:cstheme="majorBidi"/>
                <w:szCs w:val="22"/>
              </w:rPr>
              <w:tab/>
            </w:r>
            <w:r w:rsidRPr="001C0671">
              <w:rPr>
                <w:rFonts w:cstheme="majorBidi"/>
                <w:szCs w:val="22"/>
              </w:rPr>
              <w:t>1.7</w:t>
            </w:r>
            <w:r w:rsidR="00BD15CC">
              <w:rPr>
                <w:rFonts w:cstheme="majorBidi"/>
                <w:szCs w:val="22"/>
              </w:rPr>
              <w:t xml:space="preserve"> </w:t>
            </w:r>
            <w:r w:rsidRPr="001C0671">
              <w:rPr>
                <w:rFonts w:cstheme="majorBidi"/>
                <w:i/>
                <w:iCs/>
                <w:szCs w:val="22"/>
              </w:rPr>
              <w:t>a</w:t>
            </w:r>
            <w:bookmarkEnd w:id="28"/>
            <w:r w:rsidR="002E722B" w:rsidRPr="001C0671">
              <w:rPr>
                <w:rFonts w:cstheme="majorBidi"/>
                <w:i/>
                <w:iCs/>
                <w:szCs w:val="22"/>
              </w:rPr>
              <w:t>)</w:t>
            </w:r>
            <w:r w:rsidR="004F4CD1" w:rsidRPr="001C0671">
              <w:rPr>
                <w:rFonts w:cstheme="majorBidi"/>
                <w:i/>
                <w:iCs/>
                <w:szCs w:val="22"/>
              </w:rPr>
              <w:tab/>
            </w:r>
            <w:r w:rsidRPr="001C0671">
              <w:t xml:space="preserve">En el presente Reglamento se reconoce a todo Miembro el derecho a exigir, en aplicación de su legislación nacional y si así lo decide, que las administraciones y </w:t>
            </w:r>
            <w:r w:rsidRPr="001C0671">
              <w:rPr>
                <w:i/>
                <w:iCs/>
              </w:rPr>
              <w:t>empresas privadas de explotación</w:t>
            </w:r>
            <w:r w:rsidRPr="001C0671">
              <w:t xml:space="preserve"> que funcionen en su territorio y presten un servicio internacional de telecomunicación al público estén autorizadas por ese Miembro</w:t>
            </w:r>
            <w:r w:rsidRPr="001C0671">
              <w:rPr>
                <w:szCs w:val="22"/>
              </w:rPr>
              <w:t>.</w:t>
            </w:r>
          </w:p>
          <w:p w:rsidR="003307D8" w:rsidRPr="001C0671" w:rsidRDefault="003307D8" w:rsidP="00E62DB6">
            <w:pPr>
              <w:pStyle w:val="Tabletext"/>
              <w:rPr>
                <w:rFonts w:cstheme="majorBidi"/>
                <w:szCs w:val="22"/>
              </w:rPr>
            </w:pPr>
            <w:bookmarkStart w:id="29" w:name="lt_pId109"/>
            <w:r w:rsidRPr="001C0671">
              <w:rPr>
                <w:rFonts w:cstheme="majorBidi"/>
                <w:b/>
                <w:bCs/>
                <w:szCs w:val="22"/>
              </w:rPr>
              <w:t>10</w:t>
            </w:r>
            <w:r w:rsidR="004F4CD1" w:rsidRPr="001C0671">
              <w:rPr>
                <w:rFonts w:cstheme="majorBidi"/>
                <w:szCs w:val="22"/>
              </w:rPr>
              <w:tab/>
            </w:r>
            <w:r w:rsidRPr="001C0671">
              <w:rPr>
                <w:rFonts w:cstheme="majorBidi"/>
                <w:i/>
                <w:iCs/>
                <w:szCs w:val="22"/>
              </w:rPr>
              <w:t>b)</w:t>
            </w:r>
            <w:bookmarkEnd w:id="29"/>
            <w:r w:rsidRPr="001C0671">
              <w:rPr>
                <w:rFonts w:cstheme="majorBidi"/>
                <w:szCs w:val="22"/>
              </w:rPr>
              <w:tab/>
            </w:r>
            <w:r w:rsidRPr="001C0671">
              <w:t>El Miembro interesado promoverá, según proceda, la aplicación de las Recomendaciones pertinentes del CCITT por tales proveedores de servicios</w:t>
            </w:r>
            <w:r w:rsidRPr="001C0671">
              <w:rPr>
                <w:szCs w:val="22"/>
              </w:rPr>
              <w:t>.</w:t>
            </w:r>
          </w:p>
          <w:p w:rsidR="003307D8" w:rsidRPr="001C0671" w:rsidRDefault="003307D8" w:rsidP="00E62DB6">
            <w:pPr>
              <w:pStyle w:val="Tabletext"/>
              <w:rPr>
                <w:rFonts w:cstheme="majorBidi"/>
                <w:szCs w:val="22"/>
              </w:rPr>
            </w:pPr>
            <w:bookmarkStart w:id="30" w:name="lt_pId111"/>
            <w:r w:rsidRPr="001C0671">
              <w:rPr>
                <w:rFonts w:cstheme="majorBidi"/>
                <w:b/>
                <w:bCs/>
                <w:szCs w:val="22"/>
              </w:rPr>
              <w:t>11</w:t>
            </w:r>
            <w:r w:rsidR="004F4CD1" w:rsidRPr="001C0671">
              <w:rPr>
                <w:rFonts w:cstheme="majorBidi"/>
                <w:szCs w:val="22"/>
              </w:rPr>
              <w:tab/>
            </w:r>
            <w:r w:rsidRPr="001C0671">
              <w:rPr>
                <w:rFonts w:cstheme="majorBidi"/>
                <w:szCs w:val="22"/>
                <w:lang w:val="ru-RU"/>
              </w:rPr>
              <w:t>с</w:t>
            </w:r>
            <w:r w:rsidRPr="001C0671">
              <w:rPr>
                <w:rFonts w:cstheme="majorBidi"/>
                <w:szCs w:val="22"/>
              </w:rPr>
              <w:t>)</w:t>
            </w:r>
            <w:bookmarkEnd w:id="30"/>
            <w:r w:rsidRPr="001C0671">
              <w:rPr>
                <w:rFonts w:cstheme="majorBidi"/>
                <w:szCs w:val="22"/>
              </w:rPr>
              <w:tab/>
            </w:r>
            <w:r w:rsidRPr="001C0671">
              <w:t>Los Miembros cooperarán, en su caso, en la aplicación del Reglamento de las Telecomunicaciones Internacionales</w:t>
            </w:r>
            <w:r w:rsidRPr="001C0671">
              <w:rPr>
                <w:szCs w:val="22"/>
              </w:rPr>
              <w:t>.</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07D8" w:rsidRPr="001C0671" w:rsidRDefault="003307D8" w:rsidP="00E62DB6">
            <w:pPr>
              <w:pStyle w:val="Tabletext"/>
              <w:rPr>
                <w:rFonts w:cs="Calibri"/>
                <w:szCs w:val="22"/>
                <w:lang w:eastAsia="zh-CN"/>
              </w:rPr>
            </w:pPr>
            <w:bookmarkStart w:id="31" w:name="lt_pId113"/>
            <w:r w:rsidRPr="001C0671">
              <w:rPr>
                <w:rFonts w:cstheme="majorBidi"/>
                <w:b/>
                <w:bCs/>
                <w:color w:val="000000"/>
                <w:szCs w:val="22"/>
              </w:rPr>
              <w:t>12</w:t>
            </w:r>
            <w:r w:rsidR="004F4CD1" w:rsidRPr="001C0671">
              <w:rPr>
                <w:rFonts w:cstheme="majorBidi"/>
                <w:szCs w:val="22"/>
              </w:rPr>
              <w:tab/>
            </w:r>
            <w:r w:rsidRPr="001C0671">
              <w:rPr>
                <w:rFonts w:cstheme="majorBidi"/>
                <w:szCs w:val="22"/>
              </w:rPr>
              <w:t>1.7</w:t>
            </w:r>
            <w:r w:rsidR="003574E0">
              <w:rPr>
                <w:rFonts w:cstheme="majorBidi"/>
                <w:szCs w:val="22"/>
              </w:rPr>
              <w:t xml:space="preserve"> </w:t>
            </w:r>
            <w:r w:rsidRPr="001C0671">
              <w:rPr>
                <w:rFonts w:cstheme="majorBidi"/>
                <w:i/>
                <w:iCs/>
                <w:szCs w:val="22"/>
              </w:rPr>
              <w:t>a)</w:t>
            </w:r>
            <w:r w:rsidR="004F4CD1" w:rsidRPr="001C0671">
              <w:rPr>
                <w:rFonts w:cstheme="majorBidi"/>
                <w:szCs w:val="22"/>
              </w:rPr>
              <w:tab/>
            </w:r>
            <w:r w:rsidRPr="001C0671">
              <w:t xml:space="preserve">En el presente Reglamento se reconoce a todo Estado Miembro el derecho a exigir, en </w:t>
            </w:r>
            <w:r w:rsidRPr="001C0671">
              <w:rPr>
                <w:rFonts w:asciiTheme="minorHAnsi" w:eastAsia="Batang" w:hAnsiTheme="minorHAnsi"/>
              </w:rPr>
              <w:t>aplicación</w:t>
            </w:r>
            <w:r w:rsidRPr="001C0671">
              <w:t xml:space="preserve"> de su legislación nacional y si así lo decide, que las </w:t>
            </w:r>
            <w:r w:rsidRPr="001C0671">
              <w:rPr>
                <w:i/>
                <w:iCs/>
              </w:rPr>
              <w:t>empresas de explotación autorizadas</w:t>
            </w:r>
            <w:r w:rsidRPr="001C0671">
              <w:t xml:space="preserve"> que funcionen en su territorio y presten un servicio internacional de telecomunicación al público estén autorizadas por ese Estado Miembro</w:t>
            </w:r>
            <w:r w:rsidRPr="001C0671">
              <w:rPr>
                <w:rFonts w:cs="Calibri"/>
                <w:szCs w:val="22"/>
                <w:lang w:eastAsia="zh-CN"/>
              </w:rPr>
              <w:t>.</w:t>
            </w:r>
            <w:bookmarkEnd w:id="31"/>
          </w:p>
          <w:p w:rsidR="003307D8" w:rsidRPr="001C0671" w:rsidRDefault="003307D8" w:rsidP="00E62DB6">
            <w:pPr>
              <w:pStyle w:val="Tabletext"/>
              <w:rPr>
                <w:rFonts w:cs="Calibri"/>
                <w:szCs w:val="22"/>
                <w:lang w:eastAsia="zh-CN"/>
              </w:rPr>
            </w:pPr>
            <w:bookmarkStart w:id="32" w:name="lt_pId114"/>
            <w:r w:rsidRPr="001C0671">
              <w:rPr>
                <w:rFonts w:cstheme="majorBidi"/>
                <w:b/>
                <w:bCs/>
                <w:color w:val="000000"/>
                <w:szCs w:val="22"/>
              </w:rPr>
              <w:t>13</w:t>
            </w:r>
            <w:r w:rsidR="004F4CD1" w:rsidRPr="001C0671">
              <w:rPr>
                <w:rFonts w:cstheme="majorBidi"/>
                <w:color w:val="000000"/>
                <w:szCs w:val="22"/>
              </w:rPr>
              <w:tab/>
            </w:r>
            <w:r w:rsidRPr="001C0671">
              <w:rPr>
                <w:rFonts w:cstheme="majorBidi"/>
                <w:i/>
                <w:iCs/>
                <w:szCs w:val="22"/>
              </w:rPr>
              <w:t>b)</w:t>
            </w:r>
            <w:bookmarkEnd w:id="32"/>
            <w:r w:rsidRPr="001C0671">
              <w:rPr>
                <w:rFonts w:cstheme="majorBidi"/>
                <w:szCs w:val="22"/>
              </w:rPr>
              <w:tab/>
            </w:r>
            <w:r w:rsidRPr="001C0671">
              <w:t>El Estado Miembro interesado promoverá, en su caso, la aplicación de las Recomendaciones UIT-T pertinentes por tales proveedores de servicios</w:t>
            </w:r>
            <w:r w:rsidRPr="001C0671">
              <w:rPr>
                <w:rFonts w:cs="Calibri"/>
                <w:szCs w:val="22"/>
                <w:lang w:eastAsia="zh-CN"/>
              </w:rPr>
              <w:t>.</w:t>
            </w:r>
            <w:bookmarkStart w:id="33" w:name="lt_pId116"/>
          </w:p>
          <w:p w:rsidR="003307D8" w:rsidRPr="001C0671" w:rsidRDefault="003307D8" w:rsidP="00E62DB6">
            <w:pPr>
              <w:pStyle w:val="Tabletext"/>
              <w:rPr>
                <w:rFonts w:cs="Calibri"/>
                <w:szCs w:val="22"/>
                <w:lang w:eastAsia="zh-CN"/>
              </w:rPr>
            </w:pPr>
            <w:r w:rsidRPr="001C0671">
              <w:rPr>
                <w:rFonts w:cstheme="majorBidi"/>
                <w:b/>
                <w:bCs/>
                <w:color w:val="000000"/>
                <w:szCs w:val="22"/>
              </w:rPr>
              <w:t>14</w:t>
            </w:r>
            <w:r w:rsidR="004F4CD1" w:rsidRPr="001C0671">
              <w:rPr>
                <w:rFonts w:cstheme="majorBidi"/>
                <w:color w:val="000000"/>
                <w:szCs w:val="22"/>
              </w:rPr>
              <w:tab/>
            </w:r>
            <w:r w:rsidRPr="001C0671">
              <w:rPr>
                <w:rFonts w:cstheme="majorBidi"/>
                <w:i/>
                <w:iCs/>
                <w:szCs w:val="22"/>
              </w:rPr>
              <w:t>c)</w:t>
            </w:r>
            <w:bookmarkEnd w:id="33"/>
            <w:r w:rsidRPr="001C0671">
              <w:rPr>
                <w:rFonts w:cstheme="majorBidi"/>
                <w:szCs w:val="22"/>
              </w:rPr>
              <w:tab/>
            </w:r>
            <w:r w:rsidRPr="001C0671">
              <w:t xml:space="preserve">Los Estados Miembros cooperarán, en su </w:t>
            </w:r>
            <w:r w:rsidRPr="00E62DB6">
              <w:rPr>
                <w:rFonts w:cstheme="majorBidi"/>
                <w:color w:val="000000"/>
                <w:szCs w:val="22"/>
              </w:rPr>
              <w:t>caso</w:t>
            </w:r>
            <w:r w:rsidRPr="001C0671">
              <w:t xml:space="preserve">, en la aplicación del presente </w:t>
            </w:r>
            <w:r w:rsidRPr="001C0671">
              <w:rPr>
                <w:rFonts w:eastAsia="Batang"/>
              </w:rPr>
              <w:t>Reglamento</w:t>
            </w:r>
            <w:r w:rsidRPr="001C0671">
              <w:rPr>
                <w:rFonts w:cs="Calibri"/>
                <w:szCs w:val="22"/>
                <w:lang w:eastAsia="zh-CN"/>
              </w:rPr>
              <w:t>.</w:t>
            </w:r>
          </w:p>
        </w:tc>
      </w:tr>
      <w:tr w:rsidR="003307D8" w:rsidRPr="001C0671" w:rsidTr="002E722B">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3307D8" w:rsidRPr="001C0671" w:rsidRDefault="003307D8" w:rsidP="007656D8">
            <w:pPr>
              <w:pStyle w:val="Tabletext"/>
              <w:jc w:val="center"/>
              <w:rPr>
                <w:b/>
                <w:bCs/>
              </w:rPr>
            </w:pPr>
            <w:r w:rsidRPr="001C0671">
              <w:rPr>
                <w:b/>
                <w:bCs/>
              </w:rPr>
              <w:t>ARTÍCULO 2</w:t>
            </w:r>
          </w:p>
          <w:p w:rsidR="003307D8" w:rsidRPr="001C0671" w:rsidRDefault="003307D8" w:rsidP="00D11D45">
            <w:pPr>
              <w:pStyle w:val="Tabletext"/>
              <w:spacing w:after="120"/>
              <w:jc w:val="center"/>
              <w:rPr>
                <w:b/>
                <w:bCs/>
              </w:rPr>
            </w:pPr>
            <w:r w:rsidRPr="001C0671">
              <w:rPr>
                <w:b/>
                <w:bCs/>
              </w:rPr>
              <w:t>Definiciones</w:t>
            </w:r>
          </w:p>
          <w:p w:rsidR="003307D8" w:rsidRPr="001C0671" w:rsidRDefault="003307D8" w:rsidP="007656D8">
            <w:pPr>
              <w:pStyle w:val="Tabletext"/>
              <w:rPr>
                <w:bCs/>
                <w:color w:val="000000"/>
              </w:rPr>
            </w:pPr>
            <w:r w:rsidRPr="001C0671">
              <w:rPr>
                <w:bCs/>
                <w:color w:val="000000"/>
              </w:rPr>
              <w:t>…</w:t>
            </w:r>
          </w:p>
          <w:p w:rsidR="003307D8" w:rsidRPr="001C0671" w:rsidRDefault="003307D8" w:rsidP="00E62DB6">
            <w:pPr>
              <w:pStyle w:val="Tabletext"/>
            </w:pPr>
            <w:r w:rsidRPr="001C0671">
              <w:rPr>
                <w:b/>
                <w:bCs/>
              </w:rPr>
              <w:t>15</w:t>
            </w:r>
            <w:r w:rsidR="004F4CD1" w:rsidRPr="001C0671">
              <w:tab/>
            </w:r>
            <w:r w:rsidRPr="001C0671">
              <w:t>2.2</w:t>
            </w:r>
            <w:r w:rsidRPr="001C0671">
              <w:tab/>
            </w:r>
            <w:bookmarkStart w:id="34" w:name="lt_pId122"/>
            <w:r w:rsidRPr="001C0671">
              <w:rPr>
                <w:i/>
                <w:iCs/>
              </w:rPr>
              <w:t>Servicio internacional de telecomunicación:</w:t>
            </w:r>
            <w:r w:rsidRPr="001C0671">
              <w:t xml:space="preserve"> Prestación de telecomunicación </w:t>
            </w:r>
            <w:r w:rsidRPr="001C0671">
              <w:rPr>
                <w:rFonts w:cstheme="majorBidi"/>
                <w:color w:val="000000"/>
                <w:szCs w:val="22"/>
              </w:rPr>
              <w:t>entre</w:t>
            </w:r>
            <w:r w:rsidRPr="001C0671">
              <w:t xml:space="preserve"> oficinas o estaciones de telecomunicación de cualquier naturaleza, situadas en países distintos o pertenecientes a países distintos.</w:t>
            </w:r>
            <w:bookmarkEnd w:id="34"/>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3307D8" w:rsidRPr="001C0671" w:rsidRDefault="003307D8" w:rsidP="007656D8">
            <w:pPr>
              <w:pStyle w:val="Tabletext"/>
              <w:jc w:val="center"/>
              <w:rPr>
                <w:b/>
                <w:bCs/>
              </w:rPr>
            </w:pPr>
            <w:r w:rsidRPr="001C0671">
              <w:rPr>
                <w:b/>
                <w:bCs/>
              </w:rPr>
              <w:t>ARTÍCULO 2</w:t>
            </w:r>
          </w:p>
          <w:p w:rsidR="003307D8" w:rsidRPr="001C0671" w:rsidRDefault="003307D8" w:rsidP="00D11D45">
            <w:pPr>
              <w:pStyle w:val="Tabletext"/>
              <w:spacing w:after="120"/>
              <w:jc w:val="center"/>
              <w:rPr>
                <w:b/>
                <w:bCs/>
              </w:rPr>
            </w:pPr>
            <w:r w:rsidRPr="001C0671">
              <w:rPr>
                <w:b/>
                <w:bCs/>
              </w:rPr>
              <w:t>Definiciones</w:t>
            </w:r>
            <w:bookmarkStart w:id="35" w:name="lt_pId127"/>
          </w:p>
          <w:p w:rsidR="0007223F" w:rsidRPr="001C0671" w:rsidRDefault="0007223F" w:rsidP="0007223F">
            <w:pPr>
              <w:pStyle w:val="Tabletext"/>
            </w:pPr>
          </w:p>
          <w:p w:rsidR="003307D8" w:rsidRPr="001C0671" w:rsidRDefault="003307D8" w:rsidP="00E62DB6">
            <w:pPr>
              <w:pStyle w:val="Tabletext"/>
              <w:rPr>
                <w:rFonts w:cs="Calibri"/>
                <w:lang w:eastAsia="zh-CN"/>
              </w:rPr>
            </w:pPr>
            <w:r w:rsidRPr="001C0671">
              <w:rPr>
                <w:b/>
                <w:color w:val="000000"/>
              </w:rPr>
              <w:t>18</w:t>
            </w:r>
            <w:r w:rsidR="004F4CD1" w:rsidRPr="001C0671">
              <w:tab/>
            </w:r>
            <w:r w:rsidRPr="001C0671">
              <w:t>2.3</w:t>
            </w:r>
            <w:bookmarkEnd w:id="35"/>
            <w:r w:rsidR="004F4CD1" w:rsidRPr="001C0671">
              <w:tab/>
            </w:r>
            <w:r w:rsidRPr="001C0671">
              <w:rPr>
                <w:i/>
                <w:iCs/>
              </w:rPr>
              <w:t>Servicio internacional de telecomunicación:</w:t>
            </w:r>
            <w:r w:rsidRPr="001C0671">
              <w:t xml:space="preserve"> Prestación de telecomunicación entre oficinas o estaciones de telecomunicación de cualquier naturaleza, situadas en países distintos o pertenecientes a países distintos</w:t>
            </w:r>
            <w:r w:rsidRPr="001C0671">
              <w:rPr>
                <w:rFonts w:cs="Calibri"/>
                <w:lang w:eastAsia="zh-CN"/>
              </w:rPr>
              <w:t>.</w:t>
            </w:r>
          </w:p>
        </w:tc>
      </w:tr>
      <w:tr w:rsidR="003307D8" w:rsidRPr="001C0671" w:rsidTr="002E722B">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307D8" w:rsidRPr="001C0671" w:rsidRDefault="003307D8" w:rsidP="00D11D45">
            <w:pPr>
              <w:pStyle w:val="Tabletext"/>
              <w:rPr>
                <w:b/>
              </w:rPr>
            </w:pPr>
            <w:bookmarkStart w:id="36" w:name="lt_pId129"/>
            <w:r w:rsidRPr="001C0671">
              <w:rPr>
                <w:b/>
              </w:rPr>
              <w:t>Comentario</w:t>
            </w:r>
            <w:r w:rsidRPr="001C0671">
              <w:t>:</w:t>
            </w:r>
            <w:bookmarkEnd w:id="36"/>
            <w:r w:rsidRPr="001C0671">
              <w:t xml:space="preserve"> </w:t>
            </w:r>
            <w:bookmarkStart w:id="37" w:name="lt_pId130"/>
            <w:r w:rsidRPr="001C0671">
              <w:t xml:space="preserve">Las definiciones en la versión inglesa del RTI de 1988 y de 2012 son idénticas. En la versión rusa del RTI de 2012 se traduce correctamente el término </w:t>
            </w:r>
            <w:r w:rsidR="00D11D45" w:rsidRPr="001C0671">
              <w:t>"</w:t>
            </w:r>
            <w:r w:rsidRPr="001C0671">
              <w:t>servicio</w:t>
            </w:r>
            <w:r w:rsidR="00D11D45" w:rsidRPr="001C0671">
              <w:t>"</w:t>
            </w:r>
            <w:r w:rsidRPr="001C0671">
              <w:t xml:space="preserve"> por </w:t>
            </w:r>
            <w:bookmarkStart w:id="38" w:name="lt_pId131"/>
            <w:bookmarkEnd w:id="37"/>
            <w:r w:rsidR="00D11D45" w:rsidRPr="001C0671">
              <w:t>"</w:t>
            </w:r>
            <w:r w:rsidRPr="001C0671">
              <w:rPr>
                <w:lang w:val="ru-RU"/>
              </w:rPr>
              <w:t>услуга</w:t>
            </w:r>
            <w:bookmarkEnd w:id="38"/>
            <w:r w:rsidR="00D11D45" w:rsidRPr="001C0671">
              <w:t>"</w:t>
            </w:r>
            <w:r w:rsidRPr="001C0671">
              <w:t>.</w:t>
            </w:r>
          </w:p>
        </w:tc>
      </w:tr>
      <w:tr w:rsidR="003307D8" w:rsidRPr="001C0671" w:rsidTr="002E722B">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theme="majorBidi"/>
              </w:rPr>
            </w:pPr>
            <w:r w:rsidRPr="001C0671">
              <w:rPr>
                <w:rFonts w:cstheme="majorBidi"/>
                <w:b/>
                <w:bCs/>
              </w:rPr>
              <w:t>16</w:t>
            </w:r>
            <w:r w:rsidR="004F4CD1" w:rsidRPr="001C0671">
              <w:rPr>
                <w:rFonts w:cstheme="majorBidi"/>
              </w:rPr>
              <w:tab/>
            </w:r>
            <w:r w:rsidRPr="001C0671">
              <w:rPr>
                <w:rFonts w:cstheme="majorBidi"/>
              </w:rPr>
              <w:t>2.3</w:t>
            </w:r>
            <w:r w:rsidRPr="001C0671">
              <w:rPr>
                <w:rFonts w:cstheme="majorBidi"/>
              </w:rPr>
              <w:tab/>
            </w:r>
            <w:r w:rsidRPr="001C0671">
              <w:rPr>
                <w:i/>
                <w:iCs/>
              </w:rPr>
              <w:t>Telecomunicación de Estado</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theme="majorBidi"/>
              </w:rPr>
            </w:pPr>
            <w:r w:rsidRPr="001C0671">
              <w:rPr>
                <w:rFonts w:cstheme="majorBidi"/>
                <w:b/>
                <w:bCs/>
                <w:color w:val="000000"/>
              </w:rPr>
              <w:t>19</w:t>
            </w:r>
            <w:r w:rsidR="004F4CD1" w:rsidRPr="001C0671">
              <w:rPr>
                <w:rFonts w:cstheme="majorBidi"/>
              </w:rPr>
              <w:tab/>
            </w:r>
            <w:r w:rsidRPr="001C0671">
              <w:rPr>
                <w:rFonts w:cstheme="majorBidi"/>
              </w:rPr>
              <w:t>2.4</w:t>
            </w:r>
            <w:r w:rsidRPr="001C0671">
              <w:rPr>
                <w:rFonts w:cstheme="majorBidi"/>
              </w:rPr>
              <w:tab/>
            </w:r>
            <w:r w:rsidRPr="001C0671">
              <w:rPr>
                <w:rFonts w:cstheme="majorBidi"/>
                <w:i/>
                <w:iCs/>
              </w:rPr>
              <w:t>Telecomunicación de Estado</w:t>
            </w:r>
          </w:p>
        </w:tc>
      </w:tr>
      <w:tr w:rsidR="003307D8" w:rsidRPr="001C0671" w:rsidTr="002E722B">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E62DB6">
            <w:pPr>
              <w:pStyle w:val="Tabletext"/>
              <w:rPr>
                <w:bCs/>
              </w:rPr>
            </w:pPr>
            <w:bookmarkStart w:id="39" w:name="lt_pId136"/>
            <w:bookmarkStart w:id="40" w:name="_Toc489351305"/>
            <w:bookmarkStart w:id="41" w:name="_Toc489351519"/>
            <w:bookmarkStart w:id="42" w:name="_Toc489351643"/>
            <w:r w:rsidRPr="001C0671">
              <w:rPr>
                <w:b/>
                <w:bCs/>
                <w:color w:val="000000"/>
              </w:rPr>
              <w:t>17</w:t>
            </w:r>
            <w:r w:rsidR="004F4CD1" w:rsidRPr="001C0671">
              <w:tab/>
            </w:r>
            <w:r w:rsidRPr="001C0671">
              <w:t>2.4</w:t>
            </w:r>
            <w:bookmarkEnd w:id="39"/>
            <w:bookmarkEnd w:id="40"/>
            <w:bookmarkEnd w:id="41"/>
            <w:bookmarkEnd w:id="42"/>
            <w:r w:rsidR="004F4CD1" w:rsidRPr="001C0671">
              <w:tab/>
            </w:r>
            <w:r w:rsidRPr="001C0671">
              <w:t>Telecomunicación de servicio</w:t>
            </w:r>
          </w:p>
          <w:p w:rsidR="003307D8" w:rsidRPr="001C0671" w:rsidRDefault="003307D8" w:rsidP="002E722B">
            <w:pPr>
              <w:pStyle w:val="Tabletext"/>
              <w:tabs>
                <w:tab w:val="left" w:pos="430"/>
                <w:tab w:val="left" w:pos="1016"/>
              </w:tabs>
            </w:pPr>
            <w:r w:rsidRPr="001C0671">
              <w:t>Telecomunicación relativa a las telecomunicaciones públicas internacionales y cursada entre las personas o entidades siguientes:</w:t>
            </w:r>
          </w:p>
          <w:p w:rsidR="003307D8" w:rsidRPr="001C0671" w:rsidRDefault="003307D8" w:rsidP="00E62DB6">
            <w:pPr>
              <w:pStyle w:val="Tabletext"/>
            </w:pPr>
            <w:bookmarkStart w:id="43" w:name="lt_pId138"/>
            <w:r w:rsidRPr="001C0671">
              <w:t>–</w:t>
            </w:r>
            <w:r w:rsidR="004F4CD1" w:rsidRPr="001C0671">
              <w:tab/>
            </w:r>
            <w:r w:rsidRPr="001C0671">
              <w:t>las administraciones;</w:t>
            </w:r>
            <w:bookmarkEnd w:id="43"/>
          </w:p>
          <w:p w:rsidR="003307D8" w:rsidRPr="001C0671" w:rsidRDefault="003307D8" w:rsidP="00E62DB6">
            <w:pPr>
              <w:pStyle w:val="Tabletext"/>
              <w:ind w:left="720" w:hanging="720"/>
              <w:rPr>
                <w:color w:val="000000"/>
              </w:rPr>
            </w:pPr>
            <w:bookmarkStart w:id="44" w:name="lt_pId139"/>
            <w:r w:rsidRPr="001C0671">
              <w:t>–</w:t>
            </w:r>
            <w:r w:rsidR="004F4CD1" w:rsidRPr="001C0671">
              <w:tab/>
            </w:r>
            <w:r w:rsidRPr="001C0671">
              <w:rPr>
                <w:i/>
                <w:iCs/>
              </w:rPr>
              <w:t>las empresas privadas de explotación reconocidas</w:t>
            </w:r>
            <w:r w:rsidRPr="001C0671">
              <w:t>;</w:t>
            </w:r>
            <w:bookmarkEnd w:id="44"/>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E62DB6">
            <w:pPr>
              <w:pStyle w:val="Tabletext"/>
              <w:rPr>
                <w:rFonts w:cs="Calibri"/>
                <w:szCs w:val="22"/>
                <w:lang w:eastAsia="zh-CN"/>
              </w:rPr>
            </w:pPr>
            <w:bookmarkStart w:id="45" w:name="lt_pId140"/>
            <w:r w:rsidRPr="00E62DB6">
              <w:rPr>
                <w:rFonts w:cstheme="majorBidi"/>
                <w:b/>
                <w:bCs/>
                <w:szCs w:val="22"/>
                <w:lang w:eastAsia="zh-CN"/>
              </w:rPr>
              <w:t>20</w:t>
            </w:r>
            <w:r w:rsidR="004F4CD1" w:rsidRPr="001C0671">
              <w:rPr>
                <w:rFonts w:cstheme="majorBidi"/>
                <w:szCs w:val="22"/>
              </w:rPr>
              <w:tab/>
            </w:r>
            <w:r w:rsidRPr="001C0671">
              <w:rPr>
                <w:rFonts w:cstheme="majorBidi"/>
                <w:szCs w:val="22"/>
              </w:rPr>
              <w:t>2.5</w:t>
            </w:r>
            <w:bookmarkEnd w:id="45"/>
            <w:r w:rsidR="004F4CD1" w:rsidRPr="001C0671">
              <w:rPr>
                <w:rFonts w:cstheme="majorBidi"/>
                <w:szCs w:val="22"/>
              </w:rPr>
              <w:tab/>
            </w:r>
            <w:r w:rsidRPr="001C0671">
              <w:rPr>
                <w:rStyle w:val="Artdef"/>
                <w:b w:val="0"/>
                <w:bCs/>
                <w:i/>
                <w:iCs/>
              </w:rPr>
              <w:t>Telecomunicación de servicio:</w:t>
            </w:r>
            <w:r w:rsidRPr="001C0671">
              <w:rPr>
                <w:rStyle w:val="Artdef"/>
                <w:b w:val="0"/>
              </w:rPr>
              <w:t xml:space="preserve"> </w:t>
            </w:r>
            <w:r w:rsidRPr="001C0671">
              <w:rPr>
                <w:bCs/>
              </w:rPr>
              <w:t xml:space="preserve">Telecomunicación relativa a las </w:t>
            </w:r>
            <w:r w:rsidRPr="001C0671">
              <w:t>telecomunicaciones públicas internacionales y cursada entre las personas o entidades</w:t>
            </w:r>
            <w:r w:rsidRPr="001C0671">
              <w:rPr>
                <w:bCs/>
              </w:rPr>
              <w:t xml:space="preserve"> siguientes</w:t>
            </w:r>
            <w:bookmarkStart w:id="46" w:name="lt_pId141"/>
            <w:r w:rsidRPr="001C0671">
              <w:rPr>
                <w:rFonts w:cs="Calibri"/>
                <w:szCs w:val="22"/>
                <w:lang w:eastAsia="zh-CN"/>
              </w:rPr>
              <w:t>:</w:t>
            </w:r>
            <w:bookmarkEnd w:id="46"/>
          </w:p>
          <w:p w:rsidR="003307D8" w:rsidRPr="001C0671" w:rsidRDefault="0007223F" w:rsidP="00E62DB6">
            <w:pPr>
              <w:pStyle w:val="Tabletext"/>
              <w:rPr>
                <w:rFonts w:cstheme="majorBidi"/>
              </w:rPr>
            </w:pPr>
            <w:bookmarkStart w:id="47" w:name="lt_pId142"/>
            <w:r w:rsidRPr="001C0671">
              <w:t>–</w:t>
            </w:r>
            <w:r w:rsidRPr="001C0671">
              <w:tab/>
            </w:r>
            <w:r w:rsidR="003307D8" w:rsidRPr="001C0671">
              <w:rPr>
                <w:rFonts w:cstheme="majorBidi"/>
              </w:rPr>
              <w:t>Estados Miembros;</w:t>
            </w:r>
            <w:bookmarkEnd w:id="47"/>
          </w:p>
          <w:p w:rsidR="003307D8" w:rsidRPr="001C0671" w:rsidRDefault="0007223F" w:rsidP="00E62DB6">
            <w:pPr>
              <w:pStyle w:val="Tabletext"/>
              <w:rPr>
                <w:rFonts w:cstheme="majorBidi"/>
              </w:rPr>
            </w:pPr>
            <w:bookmarkStart w:id="48" w:name="lt_pId143"/>
            <w:r w:rsidRPr="001C0671">
              <w:t>–</w:t>
            </w:r>
            <w:r w:rsidRPr="001C0671">
              <w:tab/>
            </w:r>
            <w:r w:rsidR="003307D8" w:rsidRPr="001C0671">
              <w:rPr>
                <w:rFonts w:cstheme="majorBidi"/>
                <w:i/>
                <w:iCs/>
              </w:rPr>
              <w:t>empresas de explotación autorizadas</w:t>
            </w:r>
            <w:r w:rsidR="003307D8" w:rsidRPr="001C0671">
              <w:rPr>
                <w:rFonts w:cstheme="majorBidi"/>
              </w:rPr>
              <w:t>; y</w:t>
            </w:r>
            <w:bookmarkEnd w:id="48"/>
          </w:p>
          <w:p w:rsidR="003307D8" w:rsidRPr="001C0671" w:rsidRDefault="0007223F" w:rsidP="00E62DB6">
            <w:pPr>
              <w:pStyle w:val="Tabletext"/>
              <w:rPr>
                <w:rFonts w:cstheme="majorBidi"/>
              </w:rPr>
            </w:pPr>
            <w:r w:rsidRPr="001C0671">
              <w:t>–</w:t>
            </w:r>
            <w:r w:rsidRPr="001C0671">
              <w:tab/>
            </w:r>
            <w:r w:rsidR="003307D8" w:rsidRPr="001C0671">
              <w:rPr>
                <w:rFonts w:cstheme="majorBidi"/>
              </w:rPr>
              <w:t>…</w:t>
            </w:r>
          </w:p>
        </w:tc>
      </w:tr>
      <w:tr w:rsidR="003307D8" w:rsidRPr="001C0671" w:rsidTr="002E722B">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4F4CD1">
            <w:pPr>
              <w:pStyle w:val="Tabletext"/>
            </w:pPr>
            <w:bookmarkStart w:id="49" w:name="lt_pId145"/>
            <w:r w:rsidRPr="001C0671">
              <w:rPr>
                <w:b/>
              </w:rPr>
              <w:t>Comentario</w:t>
            </w:r>
            <w:r w:rsidRPr="001C0671">
              <w:t>:</w:t>
            </w:r>
            <w:bookmarkEnd w:id="49"/>
            <w:r w:rsidRPr="001C0671">
              <w:t xml:space="preserve"> </w:t>
            </w:r>
            <w:bookmarkStart w:id="50" w:name="lt_pId146"/>
            <w:r w:rsidRPr="001C0671">
              <w:t>Se han de definir todos los términos utilizados en el RTI y así se hizo en el RTI de 2012.</w:t>
            </w:r>
          </w:p>
          <w:p w:rsidR="003307D8" w:rsidRPr="001C0671" w:rsidRDefault="003307D8" w:rsidP="004F4CD1">
            <w:pPr>
              <w:pStyle w:val="Tabletext"/>
              <w:rPr>
                <w:i/>
              </w:rPr>
            </w:pPr>
            <w:r w:rsidRPr="001C0671">
              <w:t>Que no haya una definición en el RTI de 1988 resta claridad en la solución de controversias de orden jurídico.</w:t>
            </w:r>
            <w:bookmarkEnd w:id="50"/>
          </w:p>
        </w:tc>
      </w:tr>
      <w:tr w:rsidR="003307D8" w:rsidRPr="001C0671" w:rsidTr="002E722B">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theme="majorBidi"/>
              </w:rPr>
            </w:pPr>
            <w:r w:rsidRPr="001C0671">
              <w:rPr>
                <w:rFonts w:cstheme="majorBidi"/>
                <w:b/>
                <w:bCs/>
              </w:rPr>
              <w:t>18</w:t>
            </w:r>
            <w:r w:rsidR="004F4CD1" w:rsidRPr="001C0671">
              <w:rPr>
                <w:rFonts w:cstheme="majorBidi"/>
              </w:rPr>
              <w:tab/>
            </w:r>
            <w:r w:rsidRPr="001C0671">
              <w:rPr>
                <w:rFonts w:cstheme="majorBidi"/>
              </w:rPr>
              <w:t>2.5</w:t>
            </w:r>
            <w:r w:rsidRPr="001C0671">
              <w:rPr>
                <w:rFonts w:cstheme="majorBidi"/>
              </w:rPr>
              <w:tab/>
            </w:r>
            <w:r w:rsidRPr="001C0671">
              <w:rPr>
                <w:i/>
                <w:iCs/>
              </w:rPr>
              <w:t>Telecomunicación privilegiada</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r w:rsidRPr="001C0671">
              <w:t>Definición suprimida.</w:t>
            </w:r>
          </w:p>
        </w:tc>
      </w:tr>
      <w:tr w:rsidR="003307D8" w:rsidRPr="001C0671" w:rsidTr="00D24228">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b/>
              </w:rPr>
            </w:pPr>
            <w:bookmarkStart w:id="51" w:name="lt_pId151"/>
            <w:r w:rsidRPr="001C0671">
              <w:rPr>
                <w:b/>
                <w:bCs/>
              </w:rPr>
              <w:lastRenderedPageBreak/>
              <w:t>22</w:t>
            </w:r>
            <w:r w:rsidR="004F4CD1" w:rsidRPr="001C0671">
              <w:tab/>
            </w:r>
            <w:r w:rsidRPr="001C0671">
              <w:t>2.7</w:t>
            </w:r>
            <w:bookmarkEnd w:id="51"/>
            <w:r w:rsidR="004F4CD1" w:rsidRPr="001C0671">
              <w:tab/>
            </w:r>
            <w:r w:rsidRPr="001C0671">
              <w:rPr>
                <w:i/>
                <w:iCs/>
              </w:rPr>
              <w:t>Relación</w:t>
            </w:r>
          </w:p>
          <w:p w:rsidR="003307D8" w:rsidRPr="001C0671" w:rsidRDefault="003307D8" w:rsidP="00E62DB6">
            <w:pPr>
              <w:pStyle w:val="Tabletext"/>
            </w:pPr>
            <w:r w:rsidRPr="001C0671">
              <w:rPr>
                <w:b/>
                <w:bCs/>
              </w:rPr>
              <w:t>25</w:t>
            </w:r>
            <w:r w:rsidR="004F4CD1" w:rsidRPr="001C0671">
              <w:tab/>
            </w:r>
            <w:r w:rsidRPr="001C0671">
              <w:t>2.8</w:t>
            </w:r>
            <w:r w:rsidRPr="001C0671">
              <w:tab/>
            </w:r>
            <w:r w:rsidRPr="001C0671">
              <w:rPr>
                <w:i/>
              </w:rPr>
              <w:t>Tasa de distribución</w:t>
            </w:r>
            <w:r w:rsidRPr="001C0671">
              <w:rPr>
                <w:iCs/>
              </w:rPr>
              <w:t>:</w:t>
            </w:r>
            <w:r w:rsidRPr="001C0671">
              <w:t xml:space="preserve"> Tasa fijada por acuerdo entre administraciones</w:t>
            </w:r>
            <w:r w:rsidR="002E722B" w:rsidRPr="001C0671">
              <w:rPr>
                <w:rStyle w:val="FootnoteReference"/>
              </w:rPr>
              <w:footnoteReference w:customMarkFollows="1" w:id="2"/>
              <w:t>*</w:t>
            </w:r>
            <w:r w:rsidRPr="001C0671">
              <w:t xml:space="preserve"> en una relación dada y que sirve para el establecimiento de las cuentas internacionales.</w:t>
            </w:r>
          </w:p>
          <w:p w:rsidR="003307D8" w:rsidRPr="001C0671" w:rsidRDefault="003307D8" w:rsidP="00E62DB6">
            <w:pPr>
              <w:pStyle w:val="Tabletext"/>
            </w:pPr>
            <w:r w:rsidRPr="001C0671">
              <w:rPr>
                <w:b/>
                <w:bCs/>
              </w:rPr>
              <w:t>26</w:t>
            </w:r>
            <w:r w:rsidR="002E722B" w:rsidRPr="001C0671">
              <w:tab/>
            </w:r>
            <w:r w:rsidRPr="001C0671">
              <w:t>2.9</w:t>
            </w:r>
            <w:r w:rsidRPr="001C0671">
              <w:tab/>
            </w:r>
            <w:r w:rsidRPr="001C0671">
              <w:rPr>
                <w:i/>
              </w:rPr>
              <w:t>Tasa de percepción</w:t>
            </w:r>
            <w:r w:rsidRPr="001C0671">
              <w:rPr>
                <w:iCs/>
              </w:rPr>
              <w:t>:</w:t>
            </w:r>
            <w:r w:rsidRPr="001C0671">
              <w:t xml:space="preserve"> Tasa que las administraciones</w:t>
            </w:r>
            <w:r w:rsidR="001C0671" w:rsidRPr="001C0671">
              <w:rPr>
                <w:rStyle w:val="FootnoteReference"/>
              </w:rPr>
              <w:t>*</w:t>
            </w:r>
            <w:r w:rsidRPr="001C0671">
              <w:t xml:space="preserve"> establecen y perciben de sus clientes por la utilización de los servicios internacionales de telecomunicación.</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b/>
              </w:rPr>
            </w:pPr>
            <w:r w:rsidRPr="001C0671">
              <w:rPr>
                <w:b/>
                <w:bCs/>
              </w:rPr>
              <w:t>22</w:t>
            </w:r>
            <w:r w:rsidR="004F4CD1" w:rsidRPr="001C0671">
              <w:rPr>
                <w:b/>
                <w:bCs/>
              </w:rPr>
              <w:tab/>
            </w:r>
            <w:r w:rsidRPr="001C0671">
              <w:t>2.7</w:t>
            </w:r>
            <w:r w:rsidRPr="001C0671">
              <w:tab/>
            </w:r>
            <w:r w:rsidRPr="001C0671">
              <w:rPr>
                <w:i/>
                <w:iCs/>
              </w:rPr>
              <w:t>Relación</w:t>
            </w:r>
          </w:p>
          <w:p w:rsidR="003307D8" w:rsidRPr="001C0671" w:rsidRDefault="00D24228" w:rsidP="00E62DB6">
            <w:pPr>
              <w:pStyle w:val="Tabletext"/>
              <w:rPr>
                <w:rFonts w:cs="Calibri"/>
                <w:lang w:eastAsia="zh-CN"/>
              </w:rPr>
            </w:pPr>
            <w:r w:rsidRPr="001C0671">
              <w:rPr>
                <w:b/>
                <w:bCs/>
              </w:rPr>
              <w:t>25</w:t>
            </w:r>
            <w:r w:rsidR="004F4CD1" w:rsidRPr="001C0671">
              <w:rPr>
                <w:b/>
                <w:bCs/>
              </w:rPr>
              <w:tab/>
            </w:r>
            <w:r w:rsidR="003307D8" w:rsidRPr="001C0671">
              <w:t>2.8</w:t>
            </w:r>
            <w:r w:rsidR="003307D8" w:rsidRPr="001C0671">
              <w:tab/>
            </w:r>
            <w:r w:rsidR="003307D8" w:rsidRPr="001C0671">
              <w:rPr>
                <w:i/>
                <w:iCs/>
              </w:rPr>
              <w:t>Tasa de distribución</w:t>
            </w:r>
            <w:r w:rsidR="003307D8" w:rsidRPr="001C0671">
              <w:t>: Tasa fijada por acuerdo entre empresas de explotación autorizadas en una relación dada y que sirve para el establecimiento de las cuentas internacionales</w:t>
            </w:r>
            <w:r w:rsidR="003307D8" w:rsidRPr="001C0671">
              <w:rPr>
                <w:rFonts w:cs="Calibri"/>
                <w:lang w:eastAsia="zh-CN"/>
              </w:rPr>
              <w:t>.</w:t>
            </w:r>
          </w:p>
          <w:p w:rsidR="003307D8" w:rsidRPr="001C0671" w:rsidRDefault="003307D8" w:rsidP="00E62DB6">
            <w:pPr>
              <w:pStyle w:val="Tabletext"/>
              <w:rPr>
                <w:rFonts w:cs="Calibri"/>
                <w:lang w:eastAsia="zh-CN"/>
              </w:rPr>
            </w:pPr>
            <w:r w:rsidRPr="001C0671">
              <w:rPr>
                <w:b/>
                <w:bCs/>
              </w:rPr>
              <w:t>26</w:t>
            </w:r>
            <w:r w:rsidR="004F4CD1" w:rsidRPr="001C0671">
              <w:rPr>
                <w:b/>
                <w:bCs/>
              </w:rPr>
              <w:tab/>
            </w:r>
            <w:r w:rsidRPr="001C0671">
              <w:t>2.9</w:t>
            </w:r>
            <w:r w:rsidRPr="001C0671">
              <w:tab/>
            </w:r>
            <w:r w:rsidRPr="001C0671">
              <w:rPr>
                <w:i/>
                <w:iCs/>
              </w:rPr>
              <w:t>Tasa de percepción</w:t>
            </w:r>
            <w:r w:rsidRPr="001C0671">
              <w:t>: Tasa que las empresas de explotación autorizadas establecen y perciben de sus clientes por la utilización de los servicios internacionales de telecomunicación</w:t>
            </w:r>
            <w:r w:rsidRPr="001C0671">
              <w:rPr>
                <w:rFonts w:cs="Calibri"/>
                <w:lang w:eastAsia="zh-CN"/>
              </w:rPr>
              <w:t>.</w:t>
            </w:r>
          </w:p>
        </w:tc>
      </w:tr>
      <w:tr w:rsidR="003307D8" w:rsidRPr="001C0671" w:rsidTr="002E722B">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rPr>
                <w:b/>
                <w:bCs/>
              </w:rPr>
            </w:pPr>
            <w:bookmarkStart w:id="52" w:name="lt_pId166"/>
            <w:r w:rsidRPr="001C0671">
              <w:rPr>
                <w:b/>
                <w:bCs/>
              </w:rPr>
              <w:t>Comentario:</w:t>
            </w:r>
            <w:bookmarkEnd w:id="52"/>
          </w:p>
          <w:p w:rsidR="003307D8" w:rsidRPr="001C0671" w:rsidRDefault="003307D8" w:rsidP="00D11D45">
            <w:pPr>
              <w:pStyle w:val="Tabletext"/>
            </w:pPr>
            <w:r w:rsidRPr="001C0671">
              <w:t xml:space="preserve">En la versiones inglesas de 1988 y 2012 se utilizan los mismos términos: </w:t>
            </w:r>
            <w:r w:rsidR="00D11D45" w:rsidRPr="001C0671">
              <w:t>"</w:t>
            </w:r>
            <w:r w:rsidRPr="001C0671">
              <w:t>relation</w:t>
            </w:r>
            <w:r w:rsidR="00D11D45" w:rsidRPr="001C0671">
              <w:t>"</w:t>
            </w:r>
            <w:r w:rsidRPr="001C0671">
              <w:t xml:space="preserve">, </w:t>
            </w:r>
            <w:r w:rsidR="00D11D45" w:rsidRPr="001C0671">
              <w:t>"</w:t>
            </w:r>
            <w:r w:rsidRPr="001C0671">
              <w:t>accounting rate</w:t>
            </w:r>
            <w:r w:rsidR="00D11D45" w:rsidRPr="001C0671">
              <w:t>"</w:t>
            </w:r>
            <w:r w:rsidRPr="001C0671">
              <w:t xml:space="preserve"> y </w:t>
            </w:r>
            <w:r w:rsidR="00D11D45" w:rsidRPr="001C0671">
              <w:t>"</w:t>
            </w:r>
            <w:r w:rsidRPr="001C0671">
              <w:t>collection charge</w:t>
            </w:r>
            <w:r w:rsidR="00D11D45" w:rsidRPr="001C0671">
              <w:t>"</w:t>
            </w:r>
            <w:r w:rsidRPr="001C0671">
              <w:t>. En la versión rusa de 2012 se utilizan las traducciones correctas de esos términos.</w:t>
            </w:r>
          </w:p>
          <w:p w:rsidR="003307D8" w:rsidRPr="001C0671" w:rsidRDefault="003307D8" w:rsidP="008701EF">
            <w:pPr>
              <w:pStyle w:val="Tabletext"/>
            </w:pPr>
            <w:r w:rsidRPr="001C0671">
              <w:t>Las definiciones del RTI de 2012 sólo se refieren a las empresas de explotación autorizadas.</w:t>
            </w:r>
          </w:p>
        </w:tc>
      </w:tr>
      <w:tr w:rsidR="003307D8" w:rsidRPr="001C0671" w:rsidTr="00D11D45">
        <w:trPr>
          <w:cantSplit/>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theme="majorBidi"/>
                <w:szCs w:val="22"/>
              </w:rPr>
            </w:pPr>
            <w:r w:rsidRPr="001C0671">
              <w:rPr>
                <w:rFonts w:cstheme="majorBidi"/>
                <w:b/>
                <w:bCs/>
                <w:szCs w:val="22"/>
              </w:rPr>
              <w:t>27</w:t>
            </w:r>
            <w:r w:rsidR="002E722B" w:rsidRPr="001C0671">
              <w:rPr>
                <w:rFonts w:cstheme="majorBidi"/>
                <w:szCs w:val="22"/>
              </w:rPr>
              <w:tab/>
            </w:r>
            <w:r w:rsidRPr="001C0671">
              <w:rPr>
                <w:rFonts w:cstheme="majorBidi"/>
                <w:szCs w:val="22"/>
              </w:rPr>
              <w:t>2.10</w:t>
            </w:r>
            <w:r w:rsidRPr="001C0671">
              <w:rPr>
                <w:rFonts w:cstheme="majorBidi"/>
                <w:szCs w:val="22"/>
              </w:rPr>
              <w:tab/>
            </w:r>
            <w:r w:rsidRPr="001C0671">
              <w:rPr>
                <w:i/>
                <w:iCs/>
              </w:rPr>
              <w:t>Instrucciones:</w:t>
            </w:r>
            <w:r w:rsidRPr="001C0671">
              <w:t xml:space="preserve"> Conjunto de disposiciones tomadas de una o varias Recomendaciones del CCITT relativas a procedimientos prácticos de explotación para el despacho del tráfico de telecomunicaciones (por ejemplo, admisión, transmisión, contabilidad)</w:t>
            </w:r>
            <w:r w:rsidRPr="001C0671">
              <w:rPr>
                <w:szCs w:val="22"/>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r w:rsidRPr="001C0671">
              <w:t>Definición suprimida.</w:t>
            </w:r>
          </w:p>
        </w:tc>
      </w:tr>
      <w:tr w:rsidR="003307D8" w:rsidRPr="001C0671" w:rsidTr="002E722B">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307D8" w:rsidRPr="001C0671" w:rsidRDefault="003307D8" w:rsidP="008701EF">
            <w:pPr>
              <w:pStyle w:val="Tabletext"/>
              <w:jc w:val="center"/>
              <w:rPr>
                <w:b/>
                <w:bCs/>
              </w:rPr>
            </w:pPr>
            <w:r w:rsidRPr="001C0671">
              <w:rPr>
                <w:b/>
                <w:bCs/>
              </w:rPr>
              <w:t>ARTÍCULO 3</w:t>
            </w:r>
          </w:p>
          <w:p w:rsidR="003307D8" w:rsidRPr="001C0671" w:rsidRDefault="003307D8" w:rsidP="008701EF">
            <w:pPr>
              <w:pStyle w:val="Tabletext"/>
              <w:spacing w:after="120"/>
              <w:jc w:val="center"/>
              <w:rPr>
                <w:b/>
                <w:bCs/>
              </w:rPr>
            </w:pPr>
            <w:r w:rsidRPr="001C0671">
              <w:rPr>
                <w:b/>
                <w:bCs/>
              </w:rPr>
              <w:t>Red internacional</w:t>
            </w:r>
          </w:p>
          <w:p w:rsidR="003307D8" w:rsidRPr="001C0671" w:rsidRDefault="001C0671" w:rsidP="008701EF">
            <w:pPr>
              <w:pStyle w:val="Tabletext"/>
              <w:rPr>
                <w:bCs/>
                <w:color w:val="000000"/>
              </w:rPr>
            </w:pPr>
            <w:bookmarkStart w:id="53" w:name="lt_pId176"/>
            <w:r w:rsidRPr="003574E0">
              <w:rPr>
                <w:bCs/>
                <w:color w:val="000000"/>
              </w:rPr>
              <w:t xml:space="preserve">Los </w:t>
            </w:r>
            <w:r w:rsidR="003307D8" w:rsidRPr="003574E0">
              <w:rPr>
                <w:bCs/>
                <w:color w:val="000000"/>
              </w:rPr>
              <w:t>§ 3.1 – 3.4</w:t>
            </w:r>
            <w:r w:rsidR="003307D8" w:rsidRPr="001C0671">
              <w:rPr>
                <w:bCs/>
                <w:color w:val="000000"/>
              </w:rPr>
              <w:t xml:space="preserve"> se refieren a las administraciones o empresas privadas de explotación reconocidas</w:t>
            </w:r>
            <w:bookmarkEnd w:id="53"/>
            <w:r w:rsidR="003307D8" w:rsidRPr="001C0671">
              <w:rPr>
                <w:bCs/>
                <w:color w:val="000000"/>
              </w:rPr>
              <w:t>.</w:t>
            </w:r>
          </w:p>
        </w:tc>
        <w:tc>
          <w:tcPr>
            <w:tcW w:w="5244" w:type="dxa"/>
            <w:tcBorders>
              <w:top w:val="nil"/>
              <w:left w:val="nil"/>
              <w:bottom w:val="single" w:sz="4" w:space="0" w:color="auto"/>
              <w:right w:val="single" w:sz="8" w:space="0" w:color="auto"/>
            </w:tcBorders>
            <w:tcMar>
              <w:top w:w="0" w:type="dxa"/>
              <w:left w:w="108" w:type="dxa"/>
              <w:bottom w:w="0" w:type="dxa"/>
              <w:right w:w="108" w:type="dxa"/>
            </w:tcMar>
            <w:hideMark/>
          </w:tcPr>
          <w:p w:rsidR="003307D8" w:rsidRPr="001C0671" w:rsidRDefault="003307D8" w:rsidP="008701EF">
            <w:pPr>
              <w:pStyle w:val="Tabletext"/>
              <w:jc w:val="center"/>
              <w:rPr>
                <w:b/>
                <w:bCs/>
              </w:rPr>
            </w:pPr>
            <w:r w:rsidRPr="001C0671">
              <w:rPr>
                <w:b/>
                <w:bCs/>
              </w:rPr>
              <w:t>ARTÍCULO 3</w:t>
            </w:r>
          </w:p>
          <w:p w:rsidR="003307D8" w:rsidRPr="001C0671" w:rsidRDefault="003307D8" w:rsidP="008701EF">
            <w:pPr>
              <w:pStyle w:val="Tabletext"/>
              <w:spacing w:after="120"/>
              <w:jc w:val="center"/>
              <w:rPr>
                <w:b/>
                <w:bCs/>
              </w:rPr>
            </w:pPr>
            <w:r w:rsidRPr="001C0671">
              <w:rPr>
                <w:rFonts w:cs="Calibri,Bold"/>
                <w:b/>
                <w:bCs/>
                <w:lang w:eastAsia="zh-CN"/>
              </w:rPr>
              <w:t>Red internacional</w:t>
            </w:r>
          </w:p>
          <w:p w:rsidR="003307D8" w:rsidRPr="001C0671" w:rsidRDefault="001C0671" w:rsidP="008701EF">
            <w:pPr>
              <w:pStyle w:val="Tabletext"/>
              <w:rPr>
                <w:bCs/>
              </w:rPr>
            </w:pPr>
            <w:r w:rsidRPr="001C0671">
              <w:rPr>
                <w:bCs/>
              </w:rPr>
              <w:t xml:space="preserve">Los </w:t>
            </w:r>
            <w:r w:rsidR="003307D8" w:rsidRPr="001C0671">
              <w:rPr>
                <w:bCs/>
              </w:rPr>
              <w:t>§ 3.1 – 3.</w:t>
            </w:r>
            <w:r w:rsidR="003307D8" w:rsidRPr="003574E0">
              <w:rPr>
                <w:bCs/>
              </w:rPr>
              <w:t>4 ya no se refieren a</w:t>
            </w:r>
            <w:r w:rsidR="003307D8" w:rsidRPr="001C0671">
              <w:rPr>
                <w:bCs/>
              </w:rPr>
              <w:t xml:space="preserve"> las empresas privadas de explotación reconocidas, sino a las </w:t>
            </w:r>
            <w:r w:rsidR="00D24228" w:rsidRPr="001C0671">
              <w:rPr>
                <w:bCs/>
              </w:rPr>
              <w:t>"</w:t>
            </w:r>
            <w:r w:rsidR="003307D8" w:rsidRPr="001C0671">
              <w:rPr>
                <w:bCs/>
              </w:rPr>
              <w:t>empresas de explotación autorizadas</w:t>
            </w:r>
            <w:r w:rsidR="00D24228" w:rsidRPr="001C0671">
              <w:rPr>
                <w:bCs/>
              </w:rPr>
              <w:t>"</w:t>
            </w:r>
            <w:r w:rsidR="003307D8" w:rsidRPr="001C0671">
              <w:rPr>
                <w:bCs/>
              </w:rPr>
              <w:t>.</w:t>
            </w:r>
          </w:p>
        </w:tc>
      </w:tr>
      <w:tr w:rsidR="003307D8" w:rsidRPr="001C0671" w:rsidTr="001C0671">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bookmarkStart w:id="54" w:name="lt_pId181"/>
            <w:r w:rsidRPr="001C0671">
              <w:t>No hay disposiciones análogas.</w:t>
            </w:r>
            <w:bookmarkEnd w:id="54"/>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b/>
                <w:bCs/>
                <w:i/>
                <w:iCs/>
                <w:szCs w:val="22"/>
                <w:lang w:eastAsia="zh-CN"/>
              </w:rPr>
            </w:pPr>
            <w:bookmarkStart w:id="55" w:name="lt_pId182"/>
            <w:r w:rsidRPr="001C0671">
              <w:rPr>
                <w:rFonts w:cstheme="majorBidi"/>
                <w:b/>
                <w:bCs/>
                <w:color w:val="000000"/>
                <w:szCs w:val="22"/>
              </w:rPr>
              <w:t>31</w:t>
            </w:r>
            <w:r w:rsidR="002E722B" w:rsidRPr="001C0671">
              <w:rPr>
                <w:rFonts w:cstheme="majorBidi"/>
                <w:b/>
                <w:bCs/>
                <w:i/>
                <w:iCs/>
                <w:szCs w:val="22"/>
              </w:rPr>
              <w:tab/>
            </w:r>
            <w:r w:rsidRPr="001C0671">
              <w:rPr>
                <w:rFonts w:cstheme="majorBidi"/>
                <w:b/>
                <w:bCs/>
                <w:i/>
                <w:iCs/>
                <w:szCs w:val="22"/>
              </w:rPr>
              <w:t>3.5</w:t>
            </w:r>
            <w:bookmarkEnd w:id="55"/>
            <w:r w:rsidR="002E722B" w:rsidRPr="001C0671">
              <w:rPr>
                <w:rFonts w:cstheme="majorBidi"/>
                <w:b/>
                <w:bCs/>
                <w:i/>
                <w:iCs/>
                <w:szCs w:val="22"/>
              </w:rPr>
              <w:tab/>
            </w:r>
            <w:r w:rsidRPr="001C0671">
              <w:rPr>
                <w:b/>
                <w:bCs/>
                <w:i/>
                <w:iCs/>
              </w:rPr>
              <w:t>Los Estados Miembros procurarán velar por que los recursos de numeración de telecomunicaciones internacionales especificados en las Recomendaciones UIT-T sean utilizados exclusivamente por los asignatarios y con el único propósito para los que fueron asignados; y por que no se utilicen recursos no asignados</w:t>
            </w:r>
            <w:r w:rsidRPr="001C0671">
              <w:rPr>
                <w:rFonts w:cs="Calibri"/>
                <w:b/>
                <w:bCs/>
                <w:i/>
                <w:iCs/>
                <w:szCs w:val="22"/>
                <w:lang w:eastAsia="zh-CN"/>
              </w:rPr>
              <w:t>.</w:t>
            </w:r>
            <w:bookmarkStart w:id="56" w:name="lt_pId183"/>
          </w:p>
          <w:p w:rsidR="003307D8" w:rsidRPr="001C0671" w:rsidRDefault="003307D8" w:rsidP="00E62DB6">
            <w:pPr>
              <w:pStyle w:val="Tabletext"/>
              <w:rPr>
                <w:rFonts w:cstheme="majorBidi"/>
                <w:b/>
                <w:bCs/>
                <w:i/>
                <w:iCs/>
                <w:szCs w:val="22"/>
              </w:rPr>
            </w:pPr>
            <w:r w:rsidRPr="001C0671">
              <w:rPr>
                <w:rFonts w:cstheme="majorBidi"/>
                <w:b/>
                <w:bCs/>
                <w:color w:val="000000"/>
                <w:szCs w:val="22"/>
              </w:rPr>
              <w:t>32</w:t>
            </w:r>
            <w:r w:rsidR="002E722B" w:rsidRPr="001C0671">
              <w:rPr>
                <w:rFonts w:cstheme="majorBidi"/>
                <w:b/>
                <w:bCs/>
                <w:i/>
                <w:iCs/>
                <w:color w:val="000000"/>
                <w:szCs w:val="22"/>
              </w:rPr>
              <w:tab/>
            </w:r>
            <w:r w:rsidRPr="001C0671">
              <w:rPr>
                <w:rFonts w:cstheme="majorBidi"/>
                <w:b/>
                <w:bCs/>
                <w:i/>
                <w:iCs/>
                <w:szCs w:val="22"/>
              </w:rPr>
              <w:t>3.6</w:t>
            </w:r>
            <w:r w:rsidR="002E722B" w:rsidRPr="001C0671">
              <w:rPr>
                <w:rFonts w:cstheme="majorBidi"/>
                <w:b/>
                <w:bCs/>
                <w:i/>
                <w:iCs/>
                <w:szCs w:val="22"/>
              </w:rPr>
              <w:tab/>
            </w:r>
            <w:r w:rsidRPr="001C0671">
              <w:rPr>
                <w:b/>
                <w:bCs/>
                <w:i/>
                <w:iCs/>
              </w:rPr>
              <w:t>Los Estados Miembros procurarán asegurar que la identificación de línea llamante internacional (CLI) se proporcione de acuerdo con las Recomendaciones UIT-T pertinentes</w:t>
            </w:r>
            <w:r w:rsidRPr="001C0671">
              <w:rPr>
                <w:rFonts w:cs="Calibri"/>
                <w:b/>
                <w:bCs/>
                <w:i/>
                <w:iCs/>
                <w:szCs w:val="22"/>
                <w:lang w:eastAsia="zh-CN"/>
              </w:rPr>
              <w:t>.</w:t>
            </w:r>
          </w:p>
          <w:p w:rsidR="003307D8" w:rsidRPr="001C0671" w:rsidRDefault="003307D8" w:rsidP="00E62DB6">
            <w:pPr>
              <w:pStyle w:val="Tabletext"/>
              <w:rPr>
                <w:rFonts w:cstheme="majorBidi"/>
                <w:b/>
                <w:bCs/>
                <w:i/>
                <w:iCs/>
                <w:szCs w:val="22"/>
                <w:highlight w:val="yellow"/>
              </w:rPr>
            </w:pPr>
            <w:bookmarkStart w:id="57" w:name="lt_pId184"/>
            <w:bookmarkEnd w:id="56"/>
            <w:r w:rsidRPr="001C0671">
              <w:rPr>
                <w:rFonts w:cstheme="majorBidi"/>
                <w:b/>
                <w:bCs/>
                <w:color w:val="000000"/>
                <w:szCs w:val="22"/>
              </w:rPr>
              <w:t>33</w:t>
            </w:r>
            <w:r w:rsidR="002E722B" w:rsidRPr="001C0671">
              <w:rPr>
                <w:rFonts w:cstheme="majorBidi"/>
                <w:b/>
                <w:bCs/>
                <w:i/>
                <w:iCs/>
                <w:color w:val="000000"/>
                <w:szCs w:val="22"/>
              </w:rPr>
              <w:tab/>
            </w:r>
            <w:r w:rsidRPr="001C0671">
              <w:rPr>
                <w:rFonts w:cstheme="majorBidi"/>
                <w:b/>
                <w:bCs/>
                <w:i/>
                <w:iCs/>
                <w:szCs w:val="22"/>
              </w:rPr>
              <w:t>3.7</w:t>
            </w:r>
            <w:r w:rsidR="002E722B" w:rsidRPr="001C0671">
              <w:rPr>
                <w:rFonts w:cstheme="majorBidi"/>
                <w:b/>
                <w:bCs/>
                <w:i/>
                <w:iCs/>
                <w:szCs w:val="22"/>
              </w:rPr>
              <w:tab/>
            </w:r>
            <w:r w:rsidRPr="001C0671">
              <w:rPr>
                <w:b/>
                <w:bCs/>
                <w:i/>
                <w:iCs/>
              </w:rPr>
              <w:t xml:space="preserve">Los Estados Miembros deben </w:t>
            </w:r>
            <w:r w:rsidRPr="001C0671">
              <w:rPr>
                <w:b/>
                <w:bCs/>
                <w:i/>
                <w:iCs/>
                <w:color w:val="000000" w:themeColor="text1"/>
              </w:rPr>
              <w:t xml:space="preserve">crear un entorno propicio a la implantación de </w:t>
            </w:r>
            <w:r w:rsidRPr="001C0671">
              <w:rPr>
                <w:b/>
                <w:bCs/>
                <w:i/>
                <w:iCs/>
              </w:rPr>
              <w:t>centrales</w:t>
            </w:r>
            <w:r w:rsidRPr="001C0671">
              <w:rPr>
                <w:b/>
                <w:bCs/>
                <w:i/>
                <w:iCs/>
                <w:color w:val="000000" w:themeColor="text1"/>
              </w:rPr>
              <w:t xml:space="preserve"> regionales de intercambio de tráfico de telecomunicación con el fin de mejorar la calidad, aumentar la conectividad y resistencia de las redes, fomentar la competencia y reducir los costes de las interconexiones de las telecomunicaciones internacionales</w:t>
            </w:r>
            <w:r w:rsidRPr="001C0671">
              <w:rPr>
                <w:rFonts w:cs="Calibri"/>
                <w:b/>
                <w:bCs/>
                <w:i/>
                <w:iCs/>
                <w:szCs w:val="22"/>
                <w:lang w:eastAsia="zh-CN"/>
              </w:rPr>
              <w:t>.</w:t>
            </w:r>
            <w:bookmarkEnd w:id="57"/>
          </w:p>
        </w:tc>
      </w:tr>
      <w:tr w:rsidR="003307D8" w:rsidRPr="001C0671" w:rsidTr="001C0671">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bookmarkStart w:id="58" w:name="lt_pId185"/>
            <w:r w:rsidRPr="001C0671">
              <w:rPr>
                <w:b/>
              </w:rPr>
              <w:lastRenderedPageBreak/>
              <w:t>Comentario</w:t>
            </w:r>
            <w:r w:rsidRPr="001C0671">
              <w:t>:</w:t>
            </w:r>
            <w:bookmarkEnd w:id="58"/>
            <w:r w:rsidRPr="001C0671">
              <w:t xml:space="preserve"> </w:t>
            </w:r>
            <w:bookmarkStart w:id="59" w:name="lt_pId186"/>
            <w:r w:rsidRPr="001C0671">
              <w:t xml:space="preserve">El objetivo de las nuevas cláusulas 3.5 – 3.7 del RTI </w:t>
            </w:r>
            <w:r w:rsidR="00BD15CC">
              <w:t xml:space="preserve">de </w:t>
            </w:r>
            <w:r w:rsidRPr="001C0671">
              <w:t>2012 es fomentar la adopción de medidas adicionales para garantizar unos servicios de telecomunicaciones internacionales fiables y de gran calidad, así como el desarrollo de la infraestructura adecuada.</w:t>
            </w:r>
            <w:bookmarkEnd w:id="59"/>
          </w:p>
        </w:tc>
      </w:tr>
      <w:tr w:rsidR="003307D8" w:rsidRPr="001C0671" w:rsidTr="002E722B">
        <w:tc>
          <w:tcPr>
            <w:tcW w:w="50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jc w:val="center"/>
              <w:rPr>
                <w:b/>
                <w:bCs/>
              </w:rPr>
            </w:pPr>
            <w:r w:rsidRPr="001C0671">
              <w:rPr>
                <w:b/>
                <w:bCs/>
              </w:rPr>
              <w:t>ARTÍCULO 4</w:t>
            </w:r>
            <w:bookmarkStart w:id="60" w:name="lt_pId188"/>
            <w:bookmarkStart w:id="61" w:name="_Toc158441240"/>
            <w:bookmarkStart w:id="62" w:name="_Toc158449301"/>
          </w:p>
          <w:bookmarkEnd w:id="60"/>
          <w:bookmarkEnd w:id="61"/>
          <w:bookmarkEnd w:id="62"/>
          <w:p w:rsidR="003307D8" w:rsidRPr="001C0671" w:rsidRDefault="003307D8" w:rsidP="008701EF">
            <w:pPr>
              <w:pStyle w:val="Tabletext"/>
              <w:spacing w:after="120"/>
              <w:jc w:val="center"/>
              <w:rPr>
                <w:b/>
                <w:bCs/>
              </w:rPr>
            </w:pPr>
            <w:r w:rsidRPr="001C0671">
              <w:rPr>
                <w:b/>
                <w:bCs/>
              </w:rPr>
              <w:t>Servicios internacionales de telecomunicación</w:t>
            </w:r>
          </w:p>
          <w:p w:rsidR="003307D8" w:rsidRPr="001C0671" w:rsidRDefault="003307D8" w:rsidP="00E62DB6">
            <w:pPr>
              <w:pStyle w:val="Tabletext"/>
            </w:pPr>
            <w:r w:rsidRPr="001C0671">
              <w:rPr>
                <w:b/>
                <w:bCs/>
              </w:rPr>
              <w:t>32</w:t>
            </w:r>
            <w:r w:rsidR="002E722B" w:rsidRPr="001C0671">
              <w:tab/>
            </w:r>
            <w:r w:rsidRPr="001C0671">
              <w:t>4.1</w:t>
            </w:r>
            <w:r w:rsidRPr="001C0671">
              <w:tab/>
              <w:t>Los Miembros promoverán la prestación de los servicios internacionales de telecomunicación y procurarán facilitar generalmente esos servicios al público en sus redes nacionales.</w:t>
            </w:r>
          </w:p>
        </w:tc>
        <w:tc>
          <w:tcPr>
            <w:tcW w:w="5244" w:type="dxa"/>
            <w:tcBorders>
              <w:top w:val="nil"/>
              <w:left w:val="nil"/>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jc w:val="center"/>
              <w:rPr>
                <w:b/>
                <w:bCs/>
              </w:rPr>
            </w:pPr>
            <w:r w:rsidRPr="001C0671">
              <w:rPr>
                <w:b/>
                <w:bCs/>
              </w:rPr>
              <w:t>ARTÍCULO 4</w:t>
            </w:r>
          </w:p>
          <w:p w:rsidR="003307D8" w:rsidRPr="001C0671" w:rsidRDefault="003307D8" w:rsidP="008701EF">
            <w:pPr>
              <w:pStyle w:val="Tabletext"/>
              <w:spacing w:after="120"/>
              <w:jc w:val="center"/>
              <w:rPr>
                <w:rFonts w:cs="Calibri,Bold"/>
                <w:b/>
                <w:bCs/>
                <w:lang w:eastAsia="zh-CN"/>
              </w:rPr>
            </w:pPr>
            <w:r w:rsidRPr="001C0671">
              <w:rPr>
                <w:rFonts w:cs="Calibri,Bold"/>
                <w:b/>
                <w:bCs/>
                <w:lang w:eastAsia="zh-CN"/>
              </w:rPr>
              <w:t>Servicios internacionales de telecomunicación</w:t>
            </w:r>
          </w:p>
          <w:p w:rsidR="003307D8" w:rsidRPr="001C0671" w:rsidRDefault="003307D8" w:rsidP="00E62DB6">
            <w:pPr>
              <w:pStyle w:val="Tabletext"/>
              <w:rPr>
                <w:rFonts w:cs="Calibri"/>
                <w:lang w:eastAsia="zh-CN"/>
              </w:rPr>
            </w:pPr>
            <w:r w:rsidRPr="001C0671">
              <w:rPr>
                <w:b/>
              </w:rPr>
              <w:t>34</w:t>
            </w:r>
            <w:r w:rsidR="002E722B" w:rsidRPr="001C0671">
              <w:tab/>
            </w:r>
            <w:r w:rsidRPr="001C0671">
              <w:t>4.1</w:t>
            </w:r>
            <w:r w:rsidRPr="001C0671">
              <w:tab/>
              <w:t xml:space="preserve">Los Estados Miembros promoverán el desarrollo de servicios internacionales de </w:t>
            </w:r>
            <w:r w:rsidRPr="001C0671">
              <w:rPr>
                <w:rFonts w:asciiTheme="minorHAnsi" w:eastAsia="Batang" w:hAnsiTheme="minorHAnsi"/>
              </w:rPr>
              <w:t>telecomunicación</w:t>
            </w:r>
            <w:r w:rsidRPr="001C0671">
              <w:t xml:space="preserve"> </w:t>
            </w:r>
            <w:r w:rsidRPr="001C0671">
              <w:rPr>
                <w:iCs/>
              </w:rPr>
              <w:t>y fomentarán su disponibilidad</w:t>
            </w:r>
            <w:r w:rsidRPr="001C0671">
              <w:t xml:space="preserve"> para el público</w:t>
            </w:r>
            <w:r w:rsidRPr="001C0671">
              <w:rPr>
                <w:rFonts w:cs="Calibri"/>
                <w:lang w:eastAsia="zh-CN"/>
              </w:rPr>
              <w:t>.</w:t>
            </w:r>
          </w:p>
        </w:tc>
      </w:tr>
      <w:tr w:rsidR="003307D8" w:rsidRPr="001C0671" w:rsidTr="002E722B">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bookmarkStart w:id="63" w:name="lt_pId195"/>
            <w:r w:rsidRPr="001C0671">
              <w:rPr>
                <w:b/>
              </w:rPr>
              <w:t>Comentario</w:t>
            </w:r>
            <w:r w:rsidRPr="001C0671">
              <w:t>:</w:t>
            </w:r>
            <w:bookmarkEnd w:id="63"/>
            <w:r w:rsidRPr="001C0671">
              <w:t xml:space="preserve"> </w:t>
            </w:r>
            <w:bookmarkStart w:id="64" w:name="lt_pId196"/>
            <w:r w:rsidR="003574E0" w:rsidRPr="001C0671">
              <w:t xml:space="preserve">Se </w:t>
            </w:r>
            <w:r w:rsidRPr="001C0671">
              <w:t>actualizó la disposición para reflejar los cambios experimentados por el sector de las telecomunicaciones (liberalización del mercado, aparición de muchos operadores no estatales, etc.).</w:t>
            </w:r>
            <w:bookmarkEnd w:id="64"/>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bookmarkStart w:id="65" w:name="lt_pId197"/>
            <w:r w:rsidRPr="001C0671">
              <w:t>El 4.2 y el 4.3 se refieren a las administraciones o empresas privadas de explotación.</w:t>
            </w:r>
            <w:bookmarkEnd w:id="65"/>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bookmarkStart w:id="66" w:name="lt_pId198"/>
            <w:r w:rsidRPr="001C0671">
              <w:t xml:space="preserve">El </w:t>
            </w:r>
            <w:r w:rsidR="002E722B" w:rsidRPr="001C0671">
              <w:t>4.2</w:t>
            </w:r>
            <w:r w:rsidRPr="001C0671">
              <w:t xml:space="preserve"> y el 4.3 se han conservado prácticamente en su integridad, pero actualizándolos en cuanto a lo que se refiere a las entidades a que se aplica el RTI.</w:t>
            </w:r>
            <w:bookmarkEnd w:id="66"/>
          </w:p>
        </w:tc>
      </w:tr>
      <w:tr w:rsidR="003307D8" w:rsidRPr="001C0671" w:rsidTr="00D24228">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r w:rsidRPr="001C0671">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b/>
                <w:bCs/>
                <w:i/>
                <w:iCs/>
                <w:szCs w:val="22"/>
                <w:lang w:eastAsia="zh-CN"/>
              </w:rPr>
            </w:pPr>
            <w:r w:rsidRPr="001C0671">
              <w:rPr>
                <w:rFonts w:cstheme="majorBidi"/>
                <w:b/>
                <w:bCs/>
                <w:i/>
                <w:iCs/>
                <w:szCs w:val="22"/>
              </w:rPr>
              <w:t>4.4</w:t>
            </w:r>
            <w:r w:rsidR="002E722B" w:rsidRPr="001C0671">
              <w:rPr>
                <w:rFonts w:cstheme="majorBidi"/>
                <w:b/>
                <w:bCs/>
                <w:i/>
                <w:iCs/>
                <w:szCs w:val="22"/>
              </w:rPr>
              <w:tab/>
            </w:r>
            <w:r w:rsidRPr="001C0671">
              <w:rPr>
                <w:b/>
                <w:bCs/>
                <w:i/>
                <w:iCs/>
              </w:rPr>
              <w:t xml:space="preserve">Los Estados Miembros fomentarán medidas para asegurar que las empresas de </w:t>
            </w:r>
            <w:r w:rsidRPr="001C0671">
              <w:rPr>
                <w:rFonts w:asciiTheme="minorHAnsi" w:eastAsia="Batang" w:hAnsiTheme="minorHAnsi" w:cs="Calibri"/>
                <w:b/>
                <w:bCs/>
                <w:i/>
                <w:iCs/>
              </w:rPr>
              <w:t>explotación</w:t>
            </w:r>
            <w:r w:rsidRPr="001C0671">
              <w:rPr>
                <w:b/>
                <w:bCs/>
                <w:i/>
                <w:iCs/>
              </w:rPr>
              <w:t xml:space="preserve"> autorizadas suministren una información gratuita, transparente, actualizada y precisa a los usuarios finales sobre servicios internacionales de telecomunicación, incluidas las tarifas de itinerancia internacional y las condiciones aplicables relevantes, de manera oportuna</w:t>
            </w:r>
            <w:r w:rsidRPr="001C0671">
              <w:rPr>
                <w:rFonts w:cs="Calibri"/>
                <w:b/>
                <w:bCs/>
                <w:i/>
                <w:iCs/>
                <w:szCs w:val="22"/>
                <w:lang w:eastAsia="zh-CN"/>
              </w:rPr>
              <w:t>.</w:t>
            </w:r>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r w:rsidRPr="001C0671">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b/>
                <w:bCs/>
                <w:i/>
                <w:iCs/>
                <w:szCs w:val="22"/>
                <w:lang w:eastAsia="zh-CN"/>
              </w:rPr>
            </w:pPr>
            <w:r w:rsidRPr="001C0671">
              <w:rPr>
                <w:rFonts w:cstheme="majorBidi"/>
                <w:b/>
                <w:bCs/>
                <w:i/>
                <w:iCs/>
                <w:szCs w:val="22"/>
              </w:rPr>
              <w:t>4.5</w:t>
            </w:r>
            <w:r w:rsidR="002E722B" w:rsidRPr="001C0671">
              <w:rPr>
                <w:rFonts w:cstheme="majorBidi"/>
                <w:b/>
                <w:bCs/>
                <w:i/>
                <w:iCs/>
                <w:szCs w:val="22"/>
              </w:rPr>
              <w:tab/>
            </w:r>
            <w:r w:rsidRPr="001C0671">
              <w:rPr>
                <w:b/>
                <w:bCs/>
                <w:i/>
                <w:iCs/>
              </w:rPr>
              <w:t xml:space="preserve">Los Estados Miembros fomentarán medidas para asegurar que los servicios de </w:t>
            </w:r>
            <w:r w:rsidRPr="001C0671">
              <w:rPr>
                <w:rFonts w:asciiTheme="minorHAnsi" w:eastAsia="Batang" w:hAnsiTheme="minorHAnsi" w:cs="Calibri"/>
                <w:b/>
                <w:bCs/>
                <w:i/>
                <w:iCs/>
              </w:rPr>
              <w:t>telecomunicaciones</w:t>
            </w:r>
            <w:r w:rsidRPr="001C0671">
              <w:rPr>
                <w:b/>
                <w:bCs/>
                <w:i/>
                <w:iCs/>
              </w:rPr>
              <w:t xml:space="preserve"> en itinerancia internacional se presten en condiciones de calidad satisfactorias a los usuarios visitantes</w:t>
            </w:r>
            <w:r w:rsidRPr="001C0671">
              <w:rPr>
                <w:rFonts w:cs="Calibri"/>
                <w:b/>
                <w:bCs/>
                <w:i/>
                <w:iCs/>
                <w:szCs w:val="22"/>
                <w:lang w:eastAsia="zh-CN"/>
              </w:rPr>
              <w:t>.</w:t>
            </w:r>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rPr>
                <w:lang w:val="ru-RU"/>
              </w:rPr>
            </w:pPr>
            <w:r w:rsidRPr="001C0671">
              <w:t>No hay disposiciones análogas.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b/>
                <w:bCs/>
                <w:i/>
                <w:iCs/>
                <w:szCs w:val="22"/>
                <w:lang w:eastAsia="zh-CN"/>
              </w:rPr>
            </w:pPr>
            <w:r w:rsidRPr="001C0671">
              <w:rPr>
                <w:rFonts w:cstheme="majorBidi"/>
                <w:b/>
                <w:bCs/>
                <w:i/>
                <w:iCs/>
                <w:szCs w:val="22"/>
              </w:rPr>
              <w:t>4.6</w:t>
            </w:r>
            <w:r w:rsidR="002E722B" w:rsidRPr="001C0671">
              <w:rPr>
                <w:rFonts w:cstheme="majorBidi"/>
                <w:b/>
                <w:bCs/>
                <w:i/>
                <w:iCs/>
                <w:szCs w:val="22"/>
              </w:rPr>
              <w:tab/>
            </w:r>
            <w:r w:rsidRPr="001C0671">
              <w:rPr>
                <w:b/>
                <w:bCs/>
                <w:i/>
                <w:iCs/>
              </w:rPr>
              <w:t>Los Estados Miembros deben fomentar la cooperación entre empresas de explotación autorizadas a fin de evitar o reducir los costos de itinerancia inadvertida en zonas fronterizas</w:t>
            </w:r>
            <w:r w:rsidRPr="001C0671">
              <w:rPr>
                <w:rFonts w:cs="Calibri"/>
                <w:b/>
                <w:bCs/>
                <w:i/>
                <w:iCs/>
                <w:szCs w:val="22"/>
                <w:lang w:eastAsia="zh-CN"/>
              </w:rPr>
              <w:t>.</w:t>
            </w:r>
          </w:p>
        </w:tc>
      </w:tr>
      <w:tr w:rsidR="003307D8" w:rsidRPr="001C0671" w:rsidTr="002E722B">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r w:rsidRPr="001C0671">
              <w:t>No hay disposiciones análogas.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b/>
                <w:bCs/>
                <w:i/>
                <w:iCs/>
                <w:szCs w:val="22"/>
                <w:lang w:eastAsia="zh-CN"/>
              </w:rPr>
            </w:pPr>
            <w:r w:rsidRPr="001C0671">
              <w:rPr>
                <w:rFonts w:cstheme="majorBidi"/>
                <w:b/>
                <w:bCs/>
                <w:i/>
                <w:iCs/>
                <w:szCs w:val="22"/>
              </w:rPr>
              <w:t>4.7</w:t>
            </w:r>
            <w:r w:rsidR="002E722B" w:rsidRPr="001C0671">
              <w:rPr>
                <w:rFonts w:cstheme="majorBidi"/>
                <w:b/>
                <w:bCs/>
                <w:i/>
                <w:iCs/>
                <w:szCs w:val="22"/>
              </w:rPr>
              <w:tab/>
            </w:r>
            <w:r w:rsidRPr="001C0671">
              <w:rPr>
                <w:b/>
                <w:bCs/>
                <w:i/>
                <w:iCs/>
              </w:rPr>
              <w:t xml:space="preserve">Los Estados Miembros procurarán fomentar la competencia en la prestación de servicios de </w:t>
            </w:r>
            <w:r w:rsidRPr="001C0671">
              <w:rPr>
                <w:b/>
                <w:bCs/>
                <w:i/>
                <w:iCs/>
                <w:szCs w:val="24"/>
              </w:rPr>
              <w:t>itinerancia</w:t>
            </w:r>
            <w:r w:rsidRPr="001C0671">
              <w:rPr>
                <w:b/>
                <w:bCs/>
                <w:i/>
                <w:iCs/>
              </w:rPr>
              <w:t xml:space="preserve"> internacional, y se los alienta a formular políticas que impulsen precios competitivos en materia de itinerancia en beneficio de los usuarios finales</w:t>
            </w:r>
            <w:r w:rsidRPr="001C0671">
              <w:rPr>
                <w:rFonts w:cs="Calibri"/>
                <w:b/>
                <w:bCs/>
                <w:i/>
                <w:iCs/>
                <w:szCs w:val="22"/>
                <w:lang w:eastAsia="zh-CN"/>
              </w:rPr>
              <w:t>.</w:t>
            </w:r>
          </w:p>
        </w:tc>
      </w:tr>
      <w:tr w:rsidR="003307D8" w:rsidRPr="001C0671" w:rsidTr="002E722B">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rPr>
                <w:caps/>
              </w:rPr>
            </w:pPr>
            <w:bookmarkStart w:id="67" w:name="lt_pId211"/>
            <w:r w:rsidRPr="001C0671">
              <w:rPr>
                <w:b/>
              </w:rPr>
              <w:t>Comentario:</w:t>
            </w:r>
            <w:bookmarkEnd w:id="67"/>
            <w:r w:rsidRPr="001C0671">
              <w:rPr>
                <w:b/>
              </w:rPr>
              <w:t xml:space="preserve"> </w:t>
            </w:r>
            <w:bookmarkStart w:id="68" w:name="lt_pId212"/>
            <w:r w:rsidRPr="001C0671">
              <w:t xml:space="preserve">Los </w:t>
            </w:r>
            <w:r w:rsidRPr="003574E0">
              <w:t>§ 4.4 – 4.7</w:t>
            </w:r>
            <w:r w:rsidRPr="001C0671">
              <w:t xml:space="preserve"> del RTI </w:t>
            </w:r>
            <w:r w:rsidR="00BD15CC">
              <w:t xml:space="preserve">de </w:t>
            </w:r>
            <w:r w:rsidRPr="001C0671">
              <w:t>2012 introducen nuevas obligaciones para, respectivamente, los Estados Miembros y las empresas de explotación autorizadas dimanantes del desarrollo del sector de las telecomunicaciones y de la introducción de nuevos tipos de servicios internacionales de telecomunicación.</w:t>
            </w:r>
            <w:bookmarkEnd w:id="68"/>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jc w:val="center"/>
              <w:rPr>
                <w:b/>
                <w:bCs/>
              </w:rPr>
            </w:pPr>
            <w:r w:rsidRPr="001C0671">
              <w:rPr>
                <w:b/>
                <w:bCs/>
              </w:rPr>
              <w:t>ARTÍCULO 5</w:t>
            </w:r>
          </w:p>
          <w:p w:rsidR="003307D8" w:rsidRPr="001C0671" w:rsidRDefault="003307D8" w:rsidP="008701EF">
            <w:pPr>
              <w:pStyle w:val="Tabletext"/>
              <w:spacing w:after="120"/>
              <w:jc w:val="center"/>
              <w:rPr>
                <w:b/>
                <w:bCs/>
              </w:rPr>
            </w:pPr>
            <w:r w:rsidRPr="001C0671">
              <w:rPr>
                <w:b/>
                <w:bCs/>
              </w:rPr>
              <w:t>Seguridad de la vida humana y prioridad de las telecomunicaciones</w:t>
            </w:r>
          </w:p>
          <w:p w:rsidR="003307D8" w:rsidRPr="001C0671" w:rsidRDefault="001C0671" w:rsidP="008701EF">
            <w:pPr>
              <w:pStyle w:val="Tabletext"/>
            </w:pPr>
            <w:bookmarkStart w:id="69" w:name="lt_pId215"/>
            <w:r w:rsidRPr="003574E0">
              <w:t xml:space="preserve">Los </w:t>
            </w:r>
            <w:r w:rsidR="003307D8" w:rsidRPr="003574E0">
              <w:t>§ 5.1 – 5.3</w:t>
            </w:r>
            <w:r w:rsidR="003307D8" w:rsidRPr="001C0671">
              <w:t xml:space="preserve"> se refieren a las administraciones o empresas privadas de explotación.</w:t>
            </w:r>
            <w:bookmarkEnd w:id="69"/>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jc w:val="center"/>
              <w:rPr>
                <w:b/>
                <w:bCs/>
              </w:rPr>
            </w:pPr>
            <w:r w:rsidRPr="001C0671">
              <w:rPr>
                <w:b/>
                <w:bCs/>
              </w:rPr>
              <w:t>ARTÍCULO 5</w:t>
            </w:r>
          </w:p>
          <w:p w:rsidR="003307D8" w:rsidRPr="001C0671" w:rsidRDefault="003307D8" w:rsidP="008701EF">
            <w:pPr>
              <w:pStyle w:val="Tabletext"/>
              <w:spacing w:after="120"/>
              <w:jc w:val="center"/>
              <w:rPr>
                <w:b/>
                <w:bCs/>
              </w:rPr>
            </w:pPr>
            <w:r w:rsidRPr="001C0671">
              <w:rPr>
                <w:rFonts w:cs="Calibri,Bold"/>
                <w:b/>
                <w:bCs/>
                <w:lang w:eastAsia="zh-CN"/>
              </w:rPr>
              <w:t>Seguridad de la vida humana y prioridad de las telecomunicaciones</w:t>
            </w:r>
          </w:p>
          <w:p w:rsidR="003307D8" w:rsidRPr="001C0671" w:rsidRDefault="001C0671" w:rsidP="008701EF">
            <w:pPr>
              <w:pStyle w:val="Tabletext"/>
            </w:pPr>
            <w:r w:rsidRPr="001C0671">
              <w:t xml:space="preserve">Los </w:t>
            </w:r>
            <w:r w:rsidR="003307D8" w:rsidRPr="001C0671">
              <w:t>§ 5.1 – 5.3 se actualizaron con respecto a las entidades a que se aplica el RTI y a los documentos de la UIT.</w:t>
            </w:r>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Calibri"/>
                <w:b/>
                <w:bCs/>
                <w:szCs w:val="22"/>
                <w:lang w:eastAsia="zh-CN"/>
              </w:rPr>
            </w:pPr>
            <w:r w:rsidRPr="001C0671">
              <w:rPr>
                <w:rFonts w:cstheme="majorBidi"/>
                <w:b/>
                <w:bCs/>
                <w:color w:val="000000"/>
                <w:szCs w:val="22"/>
              </w:rPr>
              <w:t>48</w:t>
            </w:r>
            <w:r w:rsidR="002E722B" w:rsidRPr="001C0671">
              <w:rPr>
                <w:rFonts w:cstheme="majorBidi"/>
                <w:b/>
                <w:bCs/>
                <w:szCs w:val="22"/>
              </w:rPr>
              <w:tab/>
            </w:r>
            <w:r w:rsidRPr="001C0671">
              <w:rPr>
                <w:rFonts w:cstheme="majorBidi"/>
                <w:b/>
                <w:bCs/>
                <w:i/>
                <w:iCs/>
                <w:szCs w:val="22"/>
              </w:rPr>
              <w:t>5.4</w:t>
            </w:r>
            <w:r w:rsidRPr="001C0671">
              <w:rPr>
                <w:rFonts w:cstheme="majorBidi"/>
                <w:b/>
                <w:bCs/>
                <w:i/>
                <w:iCs/>
                <w:szCs w:val="22"/>
              </w:rPr>
              <w:tab/>
            </w:r>
            <w:r w:rsidRPr="001C0671">
              <w:rPr>
                <w:b/>
                <w:bCs/>
                <w:i/>
                <w:iCs/>
              </w:rPr>
              <w:t>Los Estados Miembros deben alentar a las empresas de explotación</w:t>
            </w:r>
            <w:r w:rsidRPr="001C0671">
              <w:rPr>
                <w:rFonts w:cstheme="majorBidi"/>
                <w:b/>
                <w:bCs/>
                <w:i/>
                <w:iCs/>
                <w:szCs w:val="24"/>
              </w:rPr>
              <w:t xml:space="preserve"> autorizadas</w:t>
            </w:r>
            <w:r w:rsidRPr="001C0671">
              <w:rPr>
                <w:b/>
                <w:bCs/>
                <w:i/>
                <w:iCs/>
              </w:rPr>
              <w:t xml:space="preserve"> a informar oportuna y gratuitamente a todos los usuarios, incluidos los usuarios itinerantes, del número de llamada a los servicios de emergencia</w:t>
            </w:r>
            <w:r w:rsidRPr="001C0671">
              <w:rPr>
                <w:rFonts w:cs="Calibri"/>
                <w:b/>
                <w:bCs/>
                <w:i/>
                <w:iCs/>
                <w:szCs w:val="22"/>
                <w:lang w:eastAsia="zh-CN"/>
              </w:rPr>
              <w:t>.</w:t>
            </w:r>
          </w:p>
        </w:tc>
      </w:tr>
      <w:tr w:rsidR="003307D8" w:rsidRPr="001C0671" w:rsidTr="002E722B">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8701EF">
            <w:pPr>
              <w:pStyle w:val="Tabletext"/>
              <w:rPr>
                <w:color w:val="000000"/>
              </w:rPr>
            </w:pPr>
            <w:bookmarkStart w:id="70" w:name="lt_pId221"/>
            <w:r w:rsidRPr="001C0671">
              <w:rPr>
                <w:b/>
              </w:rPr>
              <w:t>Comentario</w:t>
            </w:r>
            <w:r w:rsidRPr="001C0671">
              <w:t>:</w:t>
            </w:r>
            <w:bookmarkEnd w:id="70"/>
            <w:r w:rsidRPr="001C0671">
              <w:t xml:space="preserve"> </w:t>
            </w:r>
            <w:bookmarkStart w:id="71" w:name="lt_pId222"/>
            <w:r w:rsidRPr="001C0671">
              <w:t xml:space="preserve">El </w:t>
            </w:r>
            <w:r w:rsidRPr="003574E0">
              <w:t>§ 5.4</w:t>
            </w:r>
            <w:r w:rsidRPr="001C0671">
              <w:t xml:space="preserve"> </w:t>
            </w:r>
            <w:bookmarkEnd w:id="71"/>
            <w:r w:rsidRPr="001C0671">
              <w:t>introduce nuevas obligaciones para, respectivamente, los Estados Miembros y las empresas de explotación autorizadas dimanantes de la introducción de nuevos tipos de servicios internacionales de telecomunicación.</w:t>
            </w:r>
          </w:p>
        </w:tc>
      </w:tr>
      <w:tr w:rsidR="003307D8" w:rsidRPr="001C0671" w:rsidTr="00D24228">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8701EF">
            <w:pPr>
              <w:pStyle w:val="Tabletext"/>
              <w:rPr>
                <w:bCs/>
                <w:color w:val="000000"/>
                <w:lang w:val="fr-CH"/>
              </w:rPr>
            </w:pPr>
            <w:r w:rsidRPr="001C0671">
              <w:t>No hay disposiciones análogas.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8701EF">
            <w:pPr>
              <w:pStyle w:val="Tabletext"/>
              <w:jc w:val="center"/>
              <w:rPr>
                <w:b/>
                <w:bCs/>
              </w:rPr>
            </w:pPr>
            <w:bookmarkStart w:id="72" w:name="_Toc351752239"/>
            <w:bookmarkEnd w:id="72"/>
            <w:r w:rsidRPr="001C0671">
              <w:rPr>
                <w:b/>
                <w:bCs/>
              </w:rPr>
              <w:t>ARTÍCULO 6</w:t>
            </w:r>
          </w:p>
          <w:p w:rsidR="003307D8" w:rsidRPr="001C0671" w:rsidRDefault="003307D8" w:rsidP="008701EF">
            <w:pPr>
              <w:pStyle w:val="Tabletext"/>
              <w:spacing w:after="120"/>
              <w:jc w:val="center"/>
              <w:rPr>
                <w:rFonts w:cs="Calibri,Bold"/>
                <w:b/>
                <w:bCs/>
                <w:lang w:eastAsia="zh-CN"/>
              </w:rPr>
            </w:pPr>
            <w:bookmarkStart w:id="73" w:name="_Toc351752240"/>
            <w:bookmarkEnd w:id="73"/>
            <w:r w:rsidRPr="001C0671">
              <w:rPr>
                <w:rFonts w:cs="Calibri,Bold"/>
                <w:b/>
                <w:bCs/>
                <w:lang w:eastAsia="zh-CN"/>
              </w:rPr>
              <w:t>Seguridad y robustez de las redes</w:t>
            </w:r>
          </w:p>
          <w:p w:rsidR="003307D8" w:rsidRPr="001C0671" w:rsidRDefault="003307D8" w:rsidP="00E62DB6">
            <w:pPr>
              <w:pStyle w:val="Tabletext"/>
              <w:rPr>
                <w:rFonts w:cs="Calibri"/>
                <w:b/>
                <w:bCs/>
                <w:lang w:eastAsia="zh-CN"/>
              </w:rPr>
            </w:pPr>
            <w:bookmarkStart w:id="74" w:name="lt_pId226"/>
            <w:r w:rsidRPr="001C0671">
              <w:rPr>
                <w:b/>
                <w:bCs/>
              </w:rPr>
              <w:t>49</w:t>
            </w:r>
            <w:r w:rsidR="002E722B" w:rsidRPr="001C0671">
              <w:rPr>
                <w:b/>
                <w:bCs/>
                <w:i/>
                <w:iCs/>
              </w:rPr>
              <w:tab/>
            </w:r>
            <w:r w:rsidRPr="001C0671">
              <w:rPr>
                <w:b/>
                <w:bCs/>
                <w:i/>
                <w:iCs/>
              </w:rPr>
              <w:t>6.1</w:t>
            </w:r>
            <w:r w:rsidR="002E722B" w:rsidRPr="001C0671">
              <w:rPr>
                <w:b/>
                <w:bCs/>
                <w:i/>
                <w:iCs/>
              </w:rPr>
              <w:tab/>
            </w:r>
            <w:r w:rsidRPr="001C0671">
              <w:rPr>
                <w:b/>
                <w:bCs/>
                <w:i/>
                <w:iCs/>
              </w:rPr>
              <w:t xml:space="preserve">Los Estados Miembros procurarán garantizar, individual y colectivamente, la seguridad y robustez de las redes de telecomunicación internacionales a fin de lograr su utilización eficaz y evitar </w:t>
            </w:r>
            <w:r w:rsidRPr="001C0671">
              <w:rPr>
                <w:rFonts w:asciiTheme="minorHAnsi" w:eastAsia="Batang" w:hAnsiTheme="minorHAnsi"/>
                <w:b/>
                <w:bCs/>
                <w:i/>
                <w:iCs/>
              </w:rPr>
              <w:t>perjuicios</w:t>
            </w:r>
            <w:r w:rsidRPr="001C0671">
              <w:rPr>
                <w:b/>
                <w:bCs/>
                <w:i/>
                <w:iCs/>
              </w:rPr>
              <w:t xml:space="preserve"> técnicos a las mismas, así como el desarrollo armonioso de los servicios internacionales de telecomunicación ofrecidos al público</w:t>
            </w:r>
            <w:r w:rsidRPr="001C0671">
              <w:rPr>
                <w:rFonts w:cs="Calibri"/>
                <w:b/>
                <w:bCs/>
                <w:i/>
                <w:iCs/>
                <w:lang w:eastAsia="zh-CN"/>
              </w:rPr>
              <w:t>.</w:t>
            </w:r>
            <w:bookmarkEnd w:id="74"/>
          </w:p>
        </w:tc>
      </w:tr>
      <w:tr w:rsidR="003307D8" w:rsidRPr="001C0671" w:rsidTr="002E722B">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bookmarkStart w:id="75" w:name="lt_pId227"/>
            <w:r w:rsidRPr="001C0671">
              <w:rPr>
                <w:b/>
              </w:rPr>
              <w:t>Comentario</w:t>
            </w:r>
            <w:r w:rsidRPr="001C0671">
              <w:t>:</w:t>
            </w:r>
            <w:bookmarkEnd w:id="75"/>
            <w:r w:rsidRPr="001C0671">
              <w:t xml:space="preserve"> </w:t>
            </w:r>
            <w:bookmarkStart w:id="76" w:name="lt_pId228"/>
            <w:r w:rsidRPr="001C0671">
              <w:t>Los requisitos sobre seguridad y robustez de las redes, y la cooperación internacional necesaria para cumplirlos, son factores clave del éxito del desarrollo de las telecomunicaciones/TIC y de la economía en general, habida cuenta del papel cada vez más importante de las telecomunicaciones/TIC en el mundo moderno.</w:t>
            </w:r>
            <w:bookmarkEnd w:id="76"/>
          </w:p>
        </w:tc>
      </w:tr>
      <w:tr w:rsidR="003307D8" w:rsidRPr="001C0671" w:rsidTr="002E722B">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8701EF">
            <w:pPr>
              <w:pStyle w:val="Tabletext"/>
              <w:rPr>
                <w:color w:val="000000"/>
                <w:lang w:val="ru-RU"/>
              </w:rPr>
            </w:pPr>
            <w:r w:rsidRPr="001C0671">
              <w:t>No hay disposiciones análogas.</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8701EF">
            <w:pPr>
              <w:pStyle w:val="Tabletext"/>
              <w:jc w:val="center"/>
              <w:rPr>
                <w:b/>
                <w:bCs/>
              </w:rPr>
            </w:pPr>
            <w:bookmarkStart w:id="77" w:name="_Toc351752241"/>
            <w:bookmarkEnd w:id="77"/>
            <w:r w:rsidRPr="001C0671">
              <w:rPr>
                <w:b/>
                <w:bCs/>
              </w:rPr>
              <w:t>ARTÍCULO 7</w:t>
            </w:r>
          </w:p>
          <w:p w:rsidR="003307D8" w:rsidRPr="001C0671" w:rsidRDefault="003307D8" w:rsidP="008701EF">
            <w:pPr>
              <w:pStyle w:val="Tabletext"/>
              <w:spacing w:after="120"/>
              <w:jc w:val="center"/>
              <w:rPr>
                <w:rFonts w:cs="Calibri,Bold"/>
                <w:b/>
                <w:bCs/>
                <w:lang w:eastAsia="zh-CN"/>
              </w:rPr>
            </w:pPr>
            <w:bookmarkStart w:id="78" w:name="_Toc351752242"/>
            <w:bookmarkEnd w:id="78"/>
            <w:r w:rsidRPr="001C0671">
              <w:rPr>
                <w:rFonts w:cs="Calibri,Bold"/>
                <w:b/>
                <w:bCs/>
                <w:lang w:eastAsia="zh-CN"/>
              </w:rPr>
              <w:t>Comunicaciones electrónicas masivas no solicitadas</w:t>
            </w:r>
            <w:bookmarkStart w:id="79" w:name="lt_pId232"/>
          </w:p>
          <w:p w:rsidR="003307D8" w:rsidRPr="001C0671" w:rsidRDefault="003307D8" w:rsidP="00E62DB6">
            <w:pPr>
              <w:pStyle w:val="Tabletext"/>
              <w:rPr>
                <w:rFonts w:cs="Calibri"/>
                <w:b/>
                <w:bCs/>
                <w:i/>
                <w:iCs/>
                <w:lang w:eastAsia="zh-CN"/>
              </w:rPr>
            </w:pPr>
            <w:r w:rsidRPr="001C0671">
              <w:rPr>
                <w:b/>
                <w:bCs/>
              </w:rPr>
              <w:t>50</w:t>
            </w:r>
            <w:r w:rsidR="002E722B" w:rsidRPr="001C0671">
              <w:rPr>
                <w:b/>
                <w:bCs/>
              </w:rPr>
              <w:tab/>
            </w:r>
            <w:r w:rsidRPr="001C0671">
              <w:rPr>
                <w:b/>
                <w:bCs/>
                <w:i/>
              </w:rPr>
              <w:t>7.1</w:t>
            </w:r>
            <w:r w:rsidR="002E722B" w:rsidRPr="001C0671">
              <w:rPr>
                <w:b/>
                <w:bCs/>
                <w:i/>
              </w:rPr>
              <w:tab/>
            </w:r>
            <w:r w:rsidRPr="001C0671">
              <w:rPr>
                <w:b/>
                <w:bCs/>
                <w:i/>
                <w:iCs/>
              </w:rPr>
              <w:t>Los Estados Miembros deben procurar tomar las medidas necesarias para evitar la propagación de comunicaciones electrónicas masivas no solicitadas y minimizar sus efectos en los servicios internacionales de telecomunicación</w:t>
            </w:r>
            <w:r w:rsidRPr="001C0671">
              <w:rPr>
                <w:rFonts w:cs="Calibri"/>
                <w:b/>
                <w:bCs/>
                <w:i/>
                <w:iCs/>
                <w:lang w:eastAsia="zh-CN"/>
              </w:rPr>
              <w:t>.</w:t>
            </w:r>
            <w:bookmarkEnd w:id="79"/>
          </w:p>
          <w:p w:rsidR="003307D8" w:rsidRPr="001C0671" w:rsidRDefault="00D11D45" w:rsidP="00E62DB6">
            <w:pPr>
              <w:pStyle w:val="Tabletext"/>
              <w:rPr>
                <w:rFonts w:cs="Calibri"/>
                <w:b/>
                <w:bCs/>
                <w:lang w:eastAsia="zh-CN"/>
              </w:rPr>
            </w:pPr>
            <w:bookmarkStart w:id="80" w:name="lt_pId233"/>
            <w:r w:rsidRPr="001C0671">
              <w:rPr>
                <w:b/>
                <w:bCs/>
                <w:iCs/>
              </w:rPr>
              <w:t>51</w:t>
            </w:r>
            <w:r w:rsidR="002E722B" w:rsidRPr="001C0671">
              <w:rPr>
                <w:b/>
                <w:bCs/>
                <w:i/>
              </w:rPr>
              <w:tab/>
            </w:r>
            <w:r w:rsidR="003307D8" w:rsidRPr="001C0671">
              <w:rPr>
                <w:b/>
                <w:bCs/>
                <w:i/>
              </w:rPr>
              <w:t>7.2</w:t>
            </w:r>
            <w:r w:rsidR="002E722B" w:rsidRPr="001C0671">
              <w:rPr>
                <w:b/>
                <w:bCs/>
                <w:i/>
              </w:rPr>
              <w:tab/>
            </w:r>
            <w:r w:rsidR="003307D8" w:rsidRPr="001C0671">
              <w:rPr>
                <w:b/>
                <w:bCs/>
                <w:i/>
                <w:iCs/>
              </w:rPr>
              <w:t>Se alienta a los Estados Miembros a cooperar en ese sentido</w:t>
            </w:r>
            <w:r w:rsidR="003307D8" w:rsidRPr="001C0671">
              <w:rPr>
                <w:rFonts w:cs="Calibri"/>
                <w:b/>
                <w:bCs/>
                <w:i/>
                <w:iCs/>
                <w:lang w:eastAsia="zh-CN"/>
              </w:rPr>
              <w:t>.</w:t>
            </w:r>
            <w:bookmarkEnd w:id="80"/>
          </w:p>
        </w:tc>
      </w:tr>
      <w:tr w:rsidR="003307D8" w:rsidRPr="001C0671" w:rsidTr="002E722B">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8701EF">
            <w:pPr>
              <w:pStyle w:val="Tabletext"/>
            </w:pPr>
            <w:bookmarkStart w:id="81" w:name="lt_pId234"/>
            <w:r w:rsidRPr="001C0671">
              <w:rPr>
                <w:b/>
              </w:rPr>
              <w:t>Comentario:</w:t>
            </w:r>
            <w:bookmarkEnd w:id="81"/>
            <w:r w:rsidRPr="001C0671">
              <w:t xml:space="preserve"> </w:t>
            </w:r>
            <w:bookmarkStart w:id="82" w:name="lt_pId235"/>
            <w:r w:rsidRPr="001C0671">
              <w:t>Las comunicaciones electrónicas masivas no solicitadas crean importantes problemas a los operadores y usuarios de telecomunicaciones. La ausencia de obligaciones impuestas en virtud de este Artículo podría, deliberada o involuntariamente, utilizarse para menoscabar la viabilidad de una red de comunicaciones o los servicios de telecomunicaciones.</w:t>
            </w:r>
            <w:bookmarkEnd w:id="82"/>
          </w:p>
        </w:tc>
      </w:tr>
      <w:tr w:rsidR="003307D8" w:rsidRPr="001C0671" w:rsidTr="002E722B">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991906">
            <w:pPr>
              <w:pStyle w:val="Tabletext"/>
              <w:jc w:val="center"/>
              <w:rPr>
                <w:b/>
                <w:bCs/>
              </w:rPr>
            </w:pPr>
            <w:r w:rsidRPr="001C0671">
              <w:rPr>
                <w:b/>
                <w:bCs/>
              </w:rPr>
              <w:t>ARTÍCULO 6</w:t>
            </w:r>
          </w:p>
          <w:p w:rsidR="003307D8" w:rsidRPr="001C0671" w:rsidRDefault="003307D8" w:rsidP="00991906">
            <w:pPr>
              <w:pStyle w:val="Tabletext"/>
              <w:spacing w:after="120"/>
              <w:jc w:val="center"/>
              <w:rPr>
                <w:b/>
                <w:bCs/>
              </w:rPr>
            </w:pPr>
            <w:r w:rsidRPr="001C0671">
              <w:rPr>
                <w:b/>
                <w:bCs/>
              </w:rPr>
              <w:t>Tasación y contabilidad</w:t>
            </w:r>
          </w:p>
          <w:p w:rsidR="003307D8" w:rsidRPr="001C0671" w:rsidRDefault="003307D8" w:rsidP="00991906">
            <w:pPr>
              <w:pStyle w:val="Tabletext"/>
            </w:pPr>
            <w:r w:rsidRPr="001C0671">
              <w:t>No hay disposiciones análogas.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991906">
            <w:pPr>
              <w:pStyle w:val="Tabletext"/>
              <w:jc w:val="center"/>
              <w:rPr>
                <w:b/>
                <w:bCs/>
              </w:rPr>
            </w:pPr>
            <w:r w:rsidRPr="001C0671">
              <w:rPr>
                <w:b/>
                <w:bCs/>
              </w:rPr>
              <w:t>ARTÍCULO 8</w:t>
            </w:r>
          </w:p>
          <w:p w:rsidR="003307D8" w:rsidRPr="001C0671" w:rsidRDefault="003307D8" w:rsidP="00991906">
            <w:pPr>
              <w:pStyle w:val="Tabletext"/>
              <w:spacing w:after="120"/>
              <w:jc w:val="center"/>
              <w:rPr>
                <w:b/>
                <w:bCs/>
              </w:rPr>
            </w:pPr>
            <w:r w:rsidRPr="001C0671">
              <w:rPr>
                <w:b/>
                <w:bCs/>
              </w:rPr>
              <w:t>Tasación y contabilidad</w:t>
            </w:r>
          </w:p>
          <w:p w:rsidR="003307D8" w:rsidRPr="001C0671" w:rsidRDefault="003307D8" w:rsidP="00E62DB6">
            <w:pPr>
              <w:pStyle w:val="Tabletext"/>
              <w:rPr>
                <w:b/>
                <w:bCs/>
              </w:rPr>
            </w:pPr>
            <w:r w:rsidRPr="001C0671">
              <w:rPr>
                <w:b/>
                <w:bCs/>
              </w:rPr>
              <w:t>52</w:t>
            </w:r>
            <w:r w:rsidR="002E722B" w:rsidRPr="001C0671">
              <w:rPr>
                <w:b/>
                <w:bCs/>
              </w:rPr>
              <w:tab/>
            </w:r>
            <w:r w:rsidRPr="001C0671">
              <w:rPr>
                <w:b/>
                <w:bCs/>
              </w:rPr>
              <w:t>8.1</w:t>
            </w:r>
            <w:r w:rsidRPr="001C0671">
              <w:rPr>
                <w:b/>
                <w:bCs/>
              </w:rPr>
              <w:tab/>
            </w:r>
            <w:bookmarkStart w:id="83" w:name="lt_pId243"/>
            <w:r w:rsidRPr="001C0671">
              <w:rPr>
                <w:rFonts w:cs="Calibri,Bold"/>
                <w:b/>
                <w:bCs/>
                <w:lang w:eastAsia="zh-CN"/>
              </w:rPr>
              <w:t>Acuerdos relativos a las telecomunicaciones internacionales</w:t>
            </w:r>
            <w:bookmarkEnd w:id="83"/>
          </w:p>
          <w:p w:rsidR="003307D8" w:rsidRPr="001C0671" w:rsidRDefault="003307D8" w:rsidP="00E62DB6">
            <w:pPr>
              <w:pStyle w:val="Tabletext"/>
              <w:rPr>
                <w:rFonts w:cs="Calibri"/>
                <w:b/>
                <w:bCs/>
                <w:i/>
                <w:iCs/>
                <w:lang w:eastAsia="zh-CN"/>
              </w:rPr>
            </w:pPr>
            <w:r w:rsidRPr="001C0671">
              <w:rPr>
                <w:b/>
                <w:bCs/>
              </w:rPr>
              <w:t>53</w:t>
            </w:r>
            <w:r w:rsidR="002E722B" w:rsidRPr="001C0671">
              <w:rPr>
                <w:b/>
                <w:bCs/>
              </w:rPr>
              <w:tab/>
            </w:r>
            <w:r w:rsidRPr="001C0671">
              <w:rPr>
                <w:b/>
                <w:bCs/>
                <w:i/>
              </w:rPr>
              <w:t>8.1.1</w:t>
            </w:r>
            <w:r w:rsidRPr="001C0671">
              <w:rPr>
                <w:b/>
                <w:bCs/>
                <w:i/>
              </w:rPr>
              <w:tab/>
            </w:r>
            <w:r w:rsidRPr="001C0671">
              <w:rPr>
                <w:b/>
                <w:bCs/>
                <w:i/>
                <w:iCs/>
              </w:rPr>
              <w:t xml:space="preserve">De acuerdo con la legislación nacional aplicable, los términos y condiciones de los acuerdos </w:t>
            </w:r>
            <w:r w:rsidRPr="001C0671">
              <w:rPr>
                <w:rFonts w:asciiTheme="minorHAnsi" w:eastAsia="Batang" w:hAnsiTheme="minorHAnsi"/>
                <w:b/>
                <w:bCs/>
                <w:i/>
                <w:iCs/>
              </w:rPr>
              <w:t>de</w:t>
            </w:r>
            <w:r w:rsidRPr="001C0671">
              <w:rPr>
                <w:b/>
                <w:bCs/>
                <w:i/>
                <w:iCs/>
              </w:rPr>
              <w:t xml:space="preserve"> prestación de servicios internacionales de telecomunicación podrán establecerse mediante acuerdos comerciales o en virtud de los principios relativos a las tasas de distribución establecidos de conformidad con la reglamentación nacional</w:t>
            </w:r>
            <w:r w:rsidRPr="001C0671">
              <w:rPr>
                <w:rFonts w:cs="Calibri"/>
                <w:b/>
                <w:bCs/>
                <w:i/>
                <w:iCs/>
                <w:lang w:eastAsia="zh-CN"/>
              </w:rPr>
              <w:t>.</w:t>
            </w:r>
          </w:p>
          <w:p w:rsidR="003307D8" w:rsidRPr="001C0671" w:rsidRDefault="003307D8" w:rsidP="00E62DB6">
            <w:pPr>
              <w:pStyle w:val="Tabletext"/>
              <w:rPr>
                <w:rFonts w:cs="Calibri"/>
                <w:b/>
                <w:bCs/>
                <w:i/>
                <w:iCs/>
                <w:lang w:eastAsia="zh-CN"/>
              </w:rPr>
            </w:pPr>
            <w:bookmarkStart w:id="84" w:name="lt_pId246"/>
            <w:r w:rsidRPr="001C0671">
              <w:rPr>
                <w:b/>
                <w:bCs/>
              </w:rPr>
              <w:t>54</w:t>
            </w:r>
            <w:r w:rsidR="002E722B" w:rsidRPr="001C0671">
              <w:rPr>
                <w:b/>
                <w:bCs/>
                <w:i/>
                <w:iCs/>
              </w:rPr>
              <w:tab/>
            </w:r>
            <w:r w:rsidRPr="001C0671">
              <w:rPr>
                <w:b/>
                <w:bCs/>
                <w:i/>
                <w:iCs/>
              </w:rPr>
              <w:t>8.1.2</w:t>
            </w:r>
            <w:r w:rsidR="002E722B" w:rsidRPr="001C0671">
              <w:rPr>
                <w:b/>
                <w:bCs/>
                <w:i/>
                <w:iCs/>
              </w:rPr>
              <w:tab/>
            </w:r>
            <w:r w:rsidR="00D11D45" w:rsidRPr="001C0671">
              <w:rPr>
                <w:b/>
                <w:bCs/>
                <w:i/>
                <w:iCs/>
              </w:rPr>
              <w:t>L</w:t>
            </w:r>
            <w:r w:rsidRPr="001C0671">
              <w:rPr>
                <w:b/>
                <w:bCs/>
                <w:i/>
                <w:iCs/>
              </w:rPr>
              <w:t xml:space="preserve">os Estados Miembros procurarán alentar la inversión en redes de </w:t>
            </w:r>
            <w:r w:rsidRPr="001C0671">
              <w:rPr>
                <w:rFonts w:asciiTheme="minorHAnsi" w:eastAsia="Batang" w:hAnsiTheme="minorHAnsi"/>
                <w:b/>
                <w:bCs/>
                <w:i/>
                <w:iCs/>
              </w:rPr>
              <w:t>telecomunicaciones</w:t>
            </w:r>
            <w:r w:rsidRPr="001C0671">
              <w:rPr>
                <w:b/>
                <w:bCs/>
                <w:i/>
                <w:iCs/>
              </w:rPr>
              <w:t xml:space="preserve"> </w:t>
            </w:r>
            <w:r w:rsidRPr="001C0671">
              <w:rPr>
                <w:b/>
                <w:bCs/>
                <w:i/>
                <w:iCs/>
              </w:rPr>
              <w:lastRenderedPageBreak/>
              <w:t>internacionales y promover precios al por mayor competitivos para el tráfico transportado sobre dichas redes de telecomunicación</w:t>
            </w:r>
            <w:r w:rsidRPr="001C0671">
              <w:rPr>
                <w:rFonts w:cs="Calibri"/>
                <w:b/>
                <w:bCs/>
                <w:i/>
                <w:iCs/>
                <w:lang w:eastAsia="zh-CN"/>
              </w:rPr>
              <w:t>.</w:t>
            </w:r>
            <w:bookmarkEnd w:id="84"/>
          </w:p>
        </w:tc>
      </w:tr>
      <w:tr w:rsidR="003307D8" w:rsidRPr="001C0671" w:rsidTr="00D24228">
        <w:trPr>
          <w:cantSplit/>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pPr>
            <w:r w:rsidRPr="001C0671">
              <w:rPr>
                <w:b/>
                <w:bCs/>
              </w:rPr>
              <w:lastRenderedPageBreak/>
              <w:t>42</w:t>
            </w:r>
            <w:r w:rsidR="002E722B" w:rsidRPr="001C0671">
              <w:tab/>
            </w:r>
            <w:r w:rsidRPr="001C0671">
              <w:t>6.1</w:t>
            </w:r>
            <w:r w:rsidRPr="001C0671">
              <w:tab/>
            </w:r>
            <w:bookmarkStart w:id="85" w:name="lt_pId248"/>
            <w:r w:rsidRPr="001C0671">
              <w:rPr>
                <w:i/>
                <w:iCs/>
              </w:rPr>
              <w:t>Tasas de percepción</w:t>
            </w:r>
            <w:bookmarkEnd w:id="85"/>
          </w:p>
          <w:p w:rsidR="003307D8" w:rsidRPr="001C0671" w:rsidRDefault="003307D8" w:rsidP="00E62DB6">
            <w:pPr>
              <w:pStyle w:val="Tabletext"/>
            </w:pPr>
            <w:bookmarkStart w:id="86" w:name="lt_pId249"/>
            <w:r w:rsidRPr="001C0671">
              <w:rPr>
                <w:b/>
                <w:bCs/>
              </w:rPr>
              <w:t>43</w:t>
            </w:r>
            <w:r w:rsidR="002E722B" w:rsidRPr="001C0671">
              <w:tab/>
            </w:r>
            <w:r w:rsidRPr="001C0671">
              <w:t>6.1.1</w:t>
            </w:r>
            <w:bookmarkEnd w:id="86"/>
            <w:r w:rsidR="002E722B" w:rsidRPr="001C0671">
              <w:tab/>
            </w:r>
            <w:r w:rsidRPr="001C0671">
              <w:t>Cada administración</w:t>
            </w:r>
            <w:r w:rsidR="001C0671" w:rsidRPr="001C0671">
              <w:rPr>
                <w:rStyle w:val="FootnoteReference"/>
              </w:rPr>
              <w:t>*</w:t>
            </w:r>
            <w:r w:rsidRPr="001C0671">
              <w:t xml:space="preserve"> establecerá, de conformidad con la legislación nacional aplicable, las tasas que ha de percibir de sus clientes. La fijación del nivel de estas tasas es un asunto de índole nacional; sin embargo, al establecerlas, las administraciones</w:t>
            </w:r>
            <w:r w:rsidR="002E722B" w:rsidRPr="001C0671">
              <w:rPr>
                <w:rStyle w:val="FootnoteReference"/>
              </w:rPr>
              <w:footnoteReference w:customMarkFollows="1" w:id="3"/>
              <w:t>*</w:t>
            </w:r>
            <w:r w:rsidRPr="001C0671">
              <w:t xml:space="preserve"> procurarán que no haya una disimetría demasiado grande entre las tasas de percepción aplicables en los dos sentidos de una misma relación.</w:t>
            </w:r>
          </w:p>
          <w:p w:rsidR="003307D8" w:rsidRPr="001C0671" w:rsidRDefault="003307D8" w:rsidP="00E62DB6">
            <w:pPr>
              <w:pStyle w:val="Tabletext"/>
            </w:pPr>
            <w:r w:rsidRPr="001C0671">
              <w:rPr>
                <w:b/>
                <w:bCs/>
              </w:rPr>
              <w:t>44</w:t>
            </w:r>
            <w:r w:rsidR="002E722B" w:rsidRPr="001C0671">
              <w:tab/>
              <w:t>6.1.2</w:t>
            </w:r>
            <w:r w:rsidR="002E722B" w:rsidRPr="001C0671">
              <w:tab/>
            </w:r>
            <w:r w:rsidRPr="001C0671">
              <w:t>En principio, la tasa que una administración</w:t>
            </w:r>
            <w:r w:rsidR="001C0671" w:rsidRPr="001C0671">
              <w:rPr>
                <w:rStyle w:val="FootnoteReference"/>
              </w:rPr>
              <w:t>*</w:t>
            </w:r>
            <w:r w:rsidRPr="001C0671">
              <w:t xml:space="preserve"> ha de percibir de los clientes por una misma prestación deberá ser idéntica en una relación determinada, cualquiera que sea la ruta elegida por esta administración</w:t>
            </w:r>
            <w:r w:rsidR="001C0671" w:rsidRPr="001C0671">
              <w:rPr>
                <w:rStyle w:val="FootnoteReference"/>
              </w:rPr>
              <w:t>*</w:t>
            </w:r>
            <w:r w:rsidRPr="001C0671">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pPr>
            <w:r w:rsidRPr="001C0671">
              <w:rPr>
                <w:b/>
                <w:bCs/>
              </w:rPr>
              <w:t>61</w:t>
            </w:r>
            <w:bookmarkStart w:id="87" w:name="lt_pId255"/>
            <w:r w:rsidR="002E722B" w:rsidRPr="001C0671">
              <w:rPr>
                <w:b/>
                <w:bCs/>
              </w:rPr>
              <w:tab/>
            </w:r>
            <w:r w:rsidRPr="001C0671">
              <w:rPr>
                <w:b/>
                <w:bCs/>
                <w:i/>
                <w:iCs/>
              </w:rPr>
              <w:t>Tasas de percepción</w:t>
            </w:r>
            <w:bookmarkEnd w:id="87"/>
          </w:p>
          <w:p w:rsidR="003307D8" w:rsidRPr="001C0671" w:rsidRDefault="003307D8" w:rsidP="00E62DB6">
            <w:pPr>
              <w:pStyle w:val="Tabletext"/>
              <w:rPr>
                <w:rFonts w:cs="Calibri"/>
                <w:lang w:eastAsia="zh-CN"/>
              </w:rPr>
            </w:pPr>
            <w:r w:rsidRPr="001C0671">
              <w:rPr>
                <w:b/>
                <w:bCs/>
              </w:rPr>
              <w:t>62</w:t>
            </w:r>
            <w:r w:rsidR="002E722B" w:rsidRPr="001C0671">
              <w:tab/>
            </w:r>
            <w:r w:rsidRPr="001C0671">
              <w:rPr>
                <w:b/>
                <w:bCs/>
              </w:rPr>
              <w:t>8.2.5</w:t>
            </w:r>
            <w:r w:rsidRPr="001C0671">
              <w:tab/>
            </w:r>
            <w:r w:rsidRPr="001C0671">
              <w:rPr>
                <w:color w:val="000000" w:themeColor="text1"/>
              </w:rPr>
              <w:t xml:space="preserve">En principio, las tasas que se imponen a los clientes por una misma prestación deberán ser idénticas en una relación determinada, cualquiera que sea la ruta internacional utilizada para esa </w:t>
            </w:r>
            <w:r w:rsidRPr="001C0671">
              <w:t>comunicación</w:t>
            </w:r>
            <w:r w:rsidRPr="001C0671">
              <w:rPr>
                <w:color w:val="000000" w:themeColor="text1"/>
              </w:rPr>
              <w:t>. Los Estados Miembros deben evitar que en el establecimiento de dichas tasas exista una asimetría entre las tasas aplicables en cada sentido de una misma relación</w:t>
            </w:r>
            <w:r w:rsidRPr="001C0671">
              <w:rPr>
                <w:rFonts w:cs="Calibri"/>
                <w:lang w:eastAsia="zh-CN"/>
              </w:rPr>
              <w:t>.</w:t>
            </w:r>
          </w:p>
        </w:tc>
      </w:tr>
      <w:tr w:rsidR="003307D8" w:rsidRPr="001C0671" w:rsidTr="002E722B">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rFonts w:cstheme="majorBidi"/>
                <w:szCs w:val="22"/>
              </w:rPr>
            </w:pPr>
            <w:r w:rsidRPr="001C0671">
              <w:rPr>
                <w:rFonts w:cstheme="majorBidi"/>
                <w:b/>
                <w:bCs/>
                <w:szCs w:val="22"/>
              </w:rPr>
              <w:t>45</w:t>
            </w:r>
            <w:r w:rsidR="002E722B" w:rsidRPr="001C0671">
              <w:rPr>
                <w:rFonts w:cstheme="majorBidi"/>
                <w:szCs w:val="22"/>
              </w:rPr>
              <w:tab/>
            </w:r>
            <w:r w:rsidRPr="001C0671">
              <w:rPr>
                <w:rFonts w:cstheme="majorBidi"/>
                <w:szCs w:val="22"/>
              </w:rPr>
              <w:t>6.1.3</w:t>
            </w:r>
            <w:r w:rsidRPr="001C0671">
              <w:rPr>
                <w:rFonts w:cstheme="majorBidi"/>
                <w:szCs w:val="22"/>
              </w:rPr>
              <w:tab/>
            </w:r>
            <w:r w:rsidRPr="001C0671">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r w:rsidRPr="001C0671">
              <w:rPr>
                <w:szCs w:val="22"/>
              </w:rPr>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pPr>
            <w:bookmarkStart w:id="88" w:name="lt_pId261"/>
            <w:r w:rsidRPr="001C0671">
              <w:rPr>
                <w:b/>
                <w:bCs/>
              </w:rPr>
              <w:t>63</w:t>
            </w:r>
            <w:r w:rsidR="002E722B" w:rsidRPr="001C0671">
              <w:rPr>
                <w:b/>
                <w:bCs/>
              </w:rPr>
              <w:tab/>
            </w:r>
            <w:r w:rsidRPr="001C0671">
              <w:rPr>
                <w:b/>
                <w:bCs/>
              </w:rPr>
              <w:t>8.3</w:t>
            </w:r>
            <w:bookmarkEnd w:id="88"/>
            <w:r w:rsidR="002E722B" w:rsidRPr="001C0671">
              <w:rPr>
                <w:b/>
                <w:bCs/>
              </w:rPr>
              <w:tab/>
            </w:r>
            <w:r w:rsidRPr="001C0671">
              <w:rPr>
                <w:b/>
                <w:bCs/>
              </w:rPr>
              <w:t>Fiscalidad</w:t>
            </w:r>
          </w:p>
          <w:p w:rsidR="003307D8" w:rsidRPr="001C0671" w:rsidRDefault="003307D8" w:rsidP="00E62DB6">
            <w:pPr>
              <w:pStyle w:val="Tabletext"/>
              <w:rPr>
                <w:rFonts w:cs="Calibri"/>
                <w:lang w:eastAsia="zh-CN"/>
              </w:rPr>
            </w:pPr>
            <w:bookmarkStart w:id="89" w:name="lt_pId262"/>
            <w:r w:rsidRPr="001C0671">
              <w:rPr>
                <w:b/>
                <w:bCs/>
              </w:rPr>
              <w:t>64</w:t>
            </w:r>
            <w:r w:rsidR="002E722B" w:rsidRPr="001C0671">
              <w:tab/>
            </w:r>
            <w:r w:rsidRPr="001C0671">
              <w:t>8.3.1</w:t>
            </w:r>
            <w:r w:rsidR="002E722B" w:rsidRPr="001C0671">
              <w:tab/>
            </w:r>
            <w:r w:rsidRPr="001C0671">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r w:rsidRPr="001C0671">
              <w:rPr>
                <w:rFonts w:cs="Calibri"/>
                <w:lang w:eastAsia="zh-CN"/>
              </w:rPr>
              <w:t>.</w:t>
            </w:r>
            <w:bookmarkEnd w:id="89"/>
          </w:p>
        </w:tc>
      </w:tr>
      <w:tr w:rsidR="003307D8" w:rsidRPr="001C0671" w:rsidTr="002E722B">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3307D8" w:rsidRPr="001C0671" w:rsidRDefault="003307D8" w:rsidP="00EA5972">
            <w:pPr>
              <w:pStyle w:val="Tabletext"/>
            </w:pPr>
            <w:bookmarkStart w:id="90" w:name="lt_pId263"/>
            <w:r w:rsidRPr="001C0671">
              <w:rPr>
                <w:b/>
              </w:rPr>
              <w:t>Comentario</w:t>
            </w:r>
            <w:r w:rsidRPr="001C0671">
              <w:t>:</w:t>
            </w:r>
            <w:bookmarkEnd w:id="90"/>
            <w:r w:rsidRPr="001C0671">
              <w:t xml:space="preserve"> </w:t>
            </w:r>
            <w:bookmarkStart w:id="91" w:name="lt_pId264"/>
            <w:r w:rsidRPr="001C0671">
              <w:t>La disposición sobre fiscalidad se ha individualizado en el § 8.3 de este Artículo en el RTI de 2012 con el objetivo de evitar la doble imposición y, así, contribuir a la bajada de los precios de los servicios de telecomunicaciones al consumo.</w:t>
            </w:r>
            <w:bookmarkEnd w:id="91"/>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b/>
              </w:rPr>
            </w:pPr>
            <w:r w:rsidRPr="001C0671">
              <w:rPr>
                <w:b/>
                <w:bCs/>
              </w:rPr>
              <w:t>46</w:t>
            </w:r>
            <w:r w:rsidR="002E722B" w:rsidRPr="001C0671">
              <w:tab/>
            </w:r>
            <w:r w:rsidRPr="001C0671">
              <w:t>6.2</w:t>
            </w:r>
            <w:r w:rsidRPr="001C0671">
              <w:tab/>
            </w:r>
            <w:r w:rsidRPr="001C0671">
              <w:rPr>
                <w:i/>
                <w:iCs/>
              </w:rPr>
              <w:t>Tasas de distribución</w:t>
            </w:r>
          </w:p>
          <w:p w:rsidR="003307D8" w:rsidRPr="001C0671" w:rsidRDefault="003307D8" w:rsidP="00E62DB6">
            <w:pPr>
              <w:pStyle w:val="Tabletext"/>
            </w:pPr>
            <w:r w:rsidRPr="001C0671">
              <w:rPr>
                <w:b/>
                <w:bCs/>
              </w:rPr>
              <w:t>47</w:t>
            </w:r>
            <w:r w:rsidR="002E722B" w:rsidRPr="001C0671">
              <w:tab/>
              <w:t>6.2.1</w:t>
            </w:r>
            <w:r w:rsidR="002E722B" w:rsidRPr="001C0671">
              <w:tab/>
            </w:r>
            <w:r w:rsidRPr="001C0671">
              <w:t>Para cada servicio admitido en una relación dada, las administraciones</w:t>
            </w:r>
            <w:r w:rsidR="001C0671" w:rsidRPr="001C0671">
              <w:rPr>
                <w:rStyle w:val="FootnoteReference"/>
              </w:rPr>
              <w:t>*</w:t>
            </w:r>
            <w:r w:rsidRPr="001C0671">
              <w:t xml:space="preserve"> establecerán y revisarán por acuerdo mutuo las tasas de distribución aplicables entre ellas de conformidad con las disposiciones del Apéndice 1, habida cuenta de las Recomendaciones pertinentes del CCITT y de la evolución de los costes correspondientes.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pPr>
            <w:r w:rsidRPr="001C0671">
              <w:rPr>
                <w:b/>
                <w:bCs/>
              </w:rPr>
              <w:t>55</w:t>
            </w:r>
            <w:r w:rsidR="002E722B" w:rsidRPr="001C0671">
              <w:rPr>
                <w:b/>
                <w:bCs/>
              </w:rPr>
              <w:tab/>
            </w:r>
            <w:r w:rsidRPr="001C0671">
              <w:rPr>
                <w:b/>
                <w:bCs/>
              </w:rPr>
              <w:t>8.2</w:t>
            </w:r>
            <w:r w:rsidRPr="001C0671">
              <w:rPr>
                <w:b/>
                <w:bCs/>
              </w:rPr>
              <w:tab/>
              <w:t>Principios relativos a las tasas de distribución</w:t>
            </w:r>
          </w:p>
          <w:p w:rsidR="003307D8" w:rsidRPr="001C0671" w:rsidRDefault="003307D8" w:rsidP="00E62DB6">
            <w:pPr>
              <w:pStyle w:val="Tabletext"/>
            </w:pPr>
            <w:r w:rsidRPr="001C0671">
              <w:rPr>
                <w:b/>
                <w:color w:val="000000"/>
              </w:rPr>
              <w:t>56</w:t>
            </w:r>
            <w:r w:rsidR="002E722B" w:rsidRPr="001C0671">
              <w:rPr>
                <w:b/>
                <w:color w:val="000000"/>
              </w:rPr>
              <w:tab/>
            </w:r>
            <w:r w:rsidRPr="001C0671">
              <w:rPr>
                <w:b/>
                <w:bCs/>
                <w:i/>
              </w:rPr>
              <w:t>Términos y condiciones</w:t>
            </w:r>
          </w:p>
          <w:p w:rsidR="003307D8" w:rsidRPr="001C0671" w:rsidRDefault="003307D8" w:rsidP="00E62DB6">
            <w:pPr>
              <w:pStyle w:val="Tabletext"/>
              <w:rPr>
                <w:rFonts w:cs="Calibri"/>
                <w:lang w:eastAsia="zh-CN"/>
              </w:rPr>
            </w:pPr>
            <w:r w:rsidRPr="001C0671">
              <w:rPr>
                <w:b/>
                <w:color w:val="000000"/>
              </w:rPr>
              <w:t>57</w:t>
            </w:r>
            <w:r w:rsidR="002E722B" w:rsidRPr="001C0671">
              <w:rPr>
                <w:bCs/>
                <w:color w:val="000000"/>
              </w:rPr>
              <w:tab/>
            </w:r>
            <w:r w:rsidRPr="001C0671">
              <w:t>8.2.1</w:t>
            </w:r>
            <w:r w:rsidRPr="001C0671">
              <w:tab/>
              <w:t xml:space="preserve">Las disposiciones siguientes podrán ser de aplicación cuando los </w:t>
            </w:r>
            <w:r w:rsidRPr="001C0671">
              <w:rPr>
                <w:color w:val="000000" w:themeColor="text1"/>
              </w:rPr>
              <w:t>términos</w:t>
            </w:r>
            <w:r w:rsidRPr="001C0671">
              <w:t xml:space="preserve"> y condiciones de los acuerdos relativos a los servicios </w:t>
            </w:r>
            <w:r w:rsidRPr="001C0671">
              <w:rPr>
                <w:color w:val="000000" w:themeColor="text1"/>
              </w:rPr>
              <w:t xml:space="preserve">internacionales de telecomunicación se </w:t>
            </w:r>
            <w:r w:rsidRPr="001C0671">
              <w:t xml:space="preserve">establezcan en virtud de los principios de las tasas de distribución, de conformidad con la reglamentación </w:t>
            </w:r>
            <w:r w:rsidRPr="001C0671">
              <w:rPr>
                <w:rFonts w:asciiTheme="minorHAnsi" w:eastAsia="Batang" w:hAnsiTheme="minorHAnsi"/>
              </w:rPr>
              <w:t>nacional</w:t>
            </w:r>
            <w:r w:rsidRPr="001C0671">
              <w:t>. Dichas disposiciones no son de aplicación a los acuerdos establecidos mediante acuerdos comerciales</w:t>
            </w:r>
            <w:r w:rsidRPr="001C0671">
              <w:rPr>
                <w:rFonts w:cs="Calibri"/>
                <w:lang w:eastAsia="zh-CN"/>
              </w:rPr>
              <w:t>.</w:t>
            </w:r>
          </w:p>
          <w:p w:rsidR="003307D8" w:rsidRPr="001C0671" w:rsidRDefault="003307D8" w:rsidP="00E62DB6">
            <w:pPr>
              <w:pStyle w:val="Tabletext"/>
              <w:rPr>
                <w:rFonts w:cs="Calibri"/>
                <w:lang w:eastAsia="zh-CN"/>
              </w:rPr>
            </w:pPr>
            <w:r w:rsidRPr="001C0671">
              <w:rPr>
                <w:b/>
                <w:color w:val="000000"/>
              </w:rPr>
              <w:t>58</w:t>
            </w:r>
            <w:r w:rsidR="002E722B" w:rsidRPr="001C0671">
              <w:rPr>
                <w:bCs/>
                <w:color w:val="000000"/>
              </w:rPr>
              <w:tab/>
            </w:r>
            <w:r w:rsidRPr="001C0671">
              <w:t>8.2.2</w:t>
            </w:r>
            <w:r w:rsidRPr="001C0671">
              <w:tab/>
              <w:t>Para cada servicio correspondiente en una relación dada, las empresas de explotación</w:t>
            </w:r>
            <w:r w:rsidRPr="001C0671">
              <w:rPr>
                <w:szCs w:val="24"/>
              </w:rPr>
              <w:t xml:space="preserve"> autorizadas</w:t>
            </w:r>
            <w:r w:rsidRPr="001C0671">
              <w:t xml:space="preserve"> establecerán y revisarán por acuerdo mutuo las tasas de distribución aplicables </w:t>
            </w:r>
            <w:r w:rsidRPr="001C0671">
              <w:rPr>
                <w:color w:val="000000" w:themeColor="text1"/>
              </w:rPr>
              <w:t>entre</w:t>
            </w:r>
            <w:r w:rsidRPr="001C0671">
              <w:t xml:space="preserve"> ellas de conformidad con las disposiciones del Apéndice 1, </w:t>
            </w:r>
            <w:r w:rsidRPr="001C0671">
              <w:lastRenderedPageBreak/>
              <w:t>habida cuenta de las Recomendaciones UIT-T pertinentes</w:t>
            </w:r>
            <w:r w:rsidRPr="001C0671">
              <w:rPr>
                <w:rFonts w:cs="Calibri"/>
                <w:lang w:eastAsia="zh-CN"/>
              </w:rPr>
              <w:t>.</w:t>
            </w:r>
          </w:p>
          <w:p w:rsidR="003307D8" w:rsidRPr="001C0671" w:rsidRDefault="003307D8" w:rsidP="00E62DB6">
            <w:pPr>
              <w:pStyle w:val="Tabletext"/>
              <w:rPr>
                <w:rFonts w:cs="Calibri"/>
                <w:lang w:eastAsia="zh-CN"/>
              </w:rPr>
            </w:pPr>
            <w:r w:rsidRPr="001C0671">
              <w:rPr>
                <w:b/>
                <w:color w:val="000000"/>
              </w:rPr>
              <w:t>59</w:t>
            </w:r>
            <w:r w:rsidR="002E722B" w:rsidRPr="001C0671">
              <w:rPr>
                <w:bCs/>
                <w:color w:val="000000"/>
              </w:rPr>
              <w:tab/>
            </w:r>
            <w:r w:rsidRPr="001C0671">
              <w:t>8.2.3</w:t>
            </w:r>
            <w:r w:rsidRPr="001C0671">
              <w:tab/>
              <w:t>A menos que se acuerde otra cosa, las partes que participen en la prestación de servicios internacionales de telecomunicación lo harán de conformidad con las disposiciones pertinentes según se establece en los Apéndices 1 y 2</w:t>
            </w:r>
            <w:r w:rsidRPr="001C0671">
              <w:rPr>
                <w:rFonts w:cs="Calibri"/>
                <w:lang w:eastAsia="zh-CN"/>
              </w:rPr>
              <w:t>.</w:t>
            </w:r>
          </w:p>
        </w:tc>
      </w:tr>
      <w:tr w:rsidR="003307D8" w:rsidRPr="001C0671" w:rsidTr="002E722B">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307D8" w:rsidRPr="001C0671" w:rsidRDefault="003307D8" w:rsidP="00E62DB6">
            <w:pPr>
              <w:pStyle w:val="Tabletext"/>
            </w:pPr>
            <w:bookmarkStart w:id="92" w:name="lt_pId280"/>
            <w:bookmarkStart w:id="93" w:name="_Toc489351312"/>
            <w:r w:rsidRPr="001C0671">
              <w:rPr>
                <w:b/>
                <w:bCs/>
                <w:color w:val="000000"/>
              </w:rPr>
              <w:lastRenderedPageBreak/>
              <w:t>48</w:t>
            </w:r>
            <w:r w:rsidR="002E722B" w:rsidRPr="001C0671">
              <w:tab/>
            </w:r>
            <w:r w:rsidRPr="001C0671">
              <w:t>6.3</w:t>
            </w:r>
            <w:bookmarkEnd w:id="92"/>
            <w:bookmarkEnd w:id="93"/>
            <w:r w:rsidR="002E722B" w:rsidRPr="001C0671">
              <w:tab/>
            </w:r>
            <w:r w:rsidRPr="001C0671">
              <w:t>Unidad monetaria</w:t>
            </w:r>
          </w:p>
          <w:p w:rsidR="003307D8" w:rsidRPr="001C0671" w:rsidRDefault="003307D8" w:rsidP="00E62DB6">
            <w:pPr>
              <w:pStyle w:val="Tabletext"/>
            </w:pPr>
            <w:bookmarkStart w:id="94" w:name="lt_pId281"/>
            <w:r w:rsidRPr="001C0671">
              <w:rPr>
                <w:b/>
                <w:bCs/>
                <w:color w:val="000000"/>
              </w:rPr>
              <w:t>49</w:t>
            </w:r>
            <w:r w:rsidR="002E722B" w:rsidRPr="001C0671">
              <w:tab/>
            </w:r>
            <w:r w:rsidRPr="001C0671">
              <w:t>6.3.1</w:t>
            </w:r>
            <w:bookmarkEnd w:id="94"/>
            <w:r w:rsidR="002E722B" w:rsidRPr="001C0671">
              <w:tab/>
            </w:r>
            <w:r w:rsidRPr="001C0671">
              <w:t>En defecto de arreglos particulares entre las administraciones</w:t>
            </w:r>
            <w:r w:rsidR="001C0671" w:rsidRPr="001C0671">
              <w:rPr>
                <w:rStyle w:val="FootnoteReference"/>
              </w:rPr>
              <w:t>*</w:t>
            </w:r>
            <w:r w:rsidRPr="001C0671">
              <w:t>, la unidad monetaria empleada para fijar las tasas de distribución aplicables a los servicios internacionales de telecomunicación y para el establecimiento de las cuentas internacionales será:</w:t>
            </w:r>
          </w:p>
          <w:p w:rsidR="003307D8" w:rsidRPr="001C0671" w:rsidRDefault="003307D8" w:rsidP="00E62DB6">
            <w:pPr>
              <w:pStyle w:val="Tabletext"/>
              <w:ind w:left="720" w:hanging="720"/>
            </w:pPr>
            <w:r w:rsidRPr="001C0671">
              <w:t>–</w:t>
            </w:r>
            <w:r w:rsidRPr="001C0671">
              <w:tab/>
              <w:t>la unidad monetaria del Fondo Monetario Internacional (FMI), actualmente el Derecho Especial de Giro (DEG), definida por esta organización;</w:t>
            </w:r>
          </w:p>
          <w:p w:rsidR="003307D8" w:rsidRPr="001C0671" w:rsidRDefault="003307D8" w:rsidP="00E62DB6">
            <w:pPr>
              <w:pStyle w:val="Tabletext"/>
            </w:pPr>
            <w:r w:rsidRPr="001C0671">
              <w:t>–</w:t>
            </w:r>
            <w:r w:rsidRPr="001C0671">
              <w:tab/>
            </w:r>
            <w:r w:rsidRPr="001C0671">
              <w:rPr>
                <w:i/>
                <w:iCs/>
              </w:rPr>
              <w:t>o el franco oro, que equivale a 1/3,061 DEG</w:t>
            </w:r>
          </w:p>
          <w:p w:rsidR="003307D8" w:rsidRPr="001C0671" w:rsidRDefault="003307D8" w:rsidP="00E62DB6">
            <w:pPr>
              <w:pStyle w:val="Tabletext"/>
            </w:pPr>
            <w:r w:rsidRPr="001C0671">
              <w:rPr>
                <w:b/>
                <w:bCs/>
              </w:rPr>
              <w:t>50</w:t>
            </w:r>
            <w:r w:rsidR="002E722B" w:rsidRPr="001C0671">
              <w:rPr>
                <w:b/>
                <w:bCs/>
              </w:rPr>
              <w:tab/>
            </w:r>
            <w:r w:rsidRPr="001C0671">
              <w:t>6.3.2</w:t>
            </w:r>
            <w:r w:rsidRPr="001C0671">
              <w:tab/>
              <w:t>De conformidad con las disposiciones pertinentes del Convenio Internacional de Telecomunicaciones, esta disposición no obsta a la posibilidad de concertar arreglos bilaterales entre administraciones</w:t>
            </w:r>
            <w:r w:rsidR="002E722B" w:rsidRPr="001C0671">
              <w:rPr>
                <w:rStyle w:val="FootnoteReference"/>
              </w:rPr>
              <w:footnoteReference w:customMarkFollows="1" w:id="4"/>
              <w:t>*</w:t>
            </w:r>
            <w:r w:rsidRPr="001C0671">
              <w:t xml:space="preserve"> para la fijación de coeficientes mutualmente aceptables entre la unidad monetaria del FMI y el franco oro.</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3307D8" w:rsidRPr="001C0671" w:rsidRDefault="003307D8" w:rsidP="00E62DB6">
            <w:pPr>
              <w:pStyle w:val="Tabletext"/>
              <w:rPr>
                <w:rFonts w:cs="Calibri"/>
                <w:szCs w:val="22"/>
                <w:lang w:eastAsia="zh-CN"/>
              </w:rPr>
            </w:pPr>
            <w:bookmarkStart w:id="95" w:name="lt_pId287"/>
            <w:r w:rsidRPr="001C0671">
              <w:rPr>
                <w:rFonts w:cstheme="majorBidi"/>
                <w:b/>
                <w:bCs/>
                <w:color w:val="000000"/>
                <w:szCs w:val="22"/>
              </w:rPr>
              <w:t>60</w:t>
            </w:r>
            <w:r w:rsidR="002E722B" w:rsidRPr="001C0671">
              <w:rPr>
                <w:rFonts w:cstheme="majorBidi"/>
                <w:szCs w:val="22"/>
              </w:rPr>
              <w:tab/>
            </w:r>
            <w:r w:rsidRPr="001C0671">
              <w:rPr>
                <w:rFonts w:cstheme="majorBidi"/>
                <w:szCs w:val="22"/>
              </w:rPr>
              <w:t>8.2.4</w:t>
            </w:r>
            <w:bookmarkEnd w:id="95"/>
            <w:r w:rsidR="002E722B" w:rsidRPr="001C0671">
              <w:rPr>
                <w:rFonts w:cstheme="majorBidi"/>
                <w:szCs w:val="22"/>
              </w:rPr>
              <w:tab/>
            </w:r>
            <w:r w:rsidRPr="001C0671">
              <w:t>En defecto de acuerdos particulares entre empresas de explotación</w:t>
            </w:r>
            <w:r w:rsidRPr="001C0671">
              <w:rPr>
                <w:rFonts w:cstheme="majorBidi"/>
                <w:szCs w:val="24"/>
              </w:rPr>
              <w:t xml:space="preserve"> autorizadas</w:t>
            </w:r>
            <w:r w:rsidRPr="001C0671">
              <w:t>, la unidad monetaria empleada para fijar las tasas de distribución aplicables a los servicios internacionales de telecomunicación y para el establecimiento de las cuentas internacionales será</w:t>
            </w:r>
            <w:r w:rsidRPr="001C0671">
              <w:rPr>
                <w:rFonts w:cs="Calibri"/>
                <w:szCs w:val="22"/>
                <w:lang w:eastAsia="zh-CN"/>
              </w:rPr>
              <w:t>:</w:t>
            </w:r>
          </w:p>
          <w:p w:rsidR="003307D8" w:rsidRPr="001C0671" w:rsidRDefault="003307D8" w:rsidP="00E62DB6">
            <w:pPr>
              <w:pStyle w:val="Tabletext"/>
              <w:ind w:left="720" w:hanging="720"/>
              <w:rPr>
                <w:rFonts w:cs="Calibri"/>
                <w:szCs w:val="22"/>
                <w:lang w:eastAsia="zh-CN"/>
              </w:rPr>
            </w:pPr>
            <w:r w:rsidRPr="001C0671">
              <w:rPr>
                <w:rFonts w:cs="Calibri"/>
                <w:szCs w:val="22"/>
                <w:lang w:eastAsia="zh-CN"/>
              </w:rPr>
              <w:t>–</w:t>
            </w:r>
            <w:r w:rsidR="002E722B" w:rsidRPr="001C0671">
              <w:rPr>
                <w:rFonts w:cs="Calibri"/>
                <w:szCs w:val="22"/>
                <w:lang w:eastAsia="zh-CN"/>
              </w:rPr>
              <w:tab/>
            </w:r>
            <w:r w:rsidRPr="001C0671">
              <w:t>la unidad monetaria del Fondo Monetario Internacional (FMI), actualmente el Derecho Especial de Giro (DEG), definida por esta organización</w:t>
            </w:r>
            <w:r w:rsidRPr="001C0671">
              <w:rPr>
                <w:rFonts w:cs="Calibri"/>
                <w:szCs w:val="22"/>
                <w:lang w:eastAsia="zh-CN"/>
              </w:rPr>
              <w:t>;</w:t>
            </w:r>
          </w:p>
          <w:p w:rsidR="003307D8" w:rsidRPr="001C0671" w:rsidRDefault="003307D8" w:rsidP="00E62DB6">
            <w:pPr>
              <w:pStyle w:val="Tabletext"/>
              <w:ind w:left="720" w:hanging="720"/>
              <w:rPr>
                <w:rFonts w:cs="Calibri"/>
                <w:szCs w:val="22"/>
                <w:lang w:eastAsia="zh-CN"/>
              </w:rPr>
            </w:pPr>
            <w:r w:rsidRPr="001C0671">
              <w:rPr>
                <w:rFonts w:cs="Calibri"/>
                <w:szCs w:val="22"/>
                <w:lang w:eastAsia="zh-CN"/>
              </w:rPr>
              <w:t>–</w:t>
            </w:r>
            <w:r w:rsidR="002E722B" w:rsidRPr="001C0671">
              <w:rPr>
                <w:rFonts w:cs="Calibri"/>
                <w:szCs w:val="22"/>
                <w:lang w:eastAsia="zh-CN"/>
              </w:rPr>
              <w:tab/>
            </w:r>
            <w:r w:rsidRPr="001C0671">
              <w:rPr>
                <w:i/>
                <w:iCs/>
              </w:rPr>
              <w:t>o divisas libremente convertibles u otras unidades monetarias acordadas entre las empresas de explotación</w:t>
            </w:r>
            <w:r w:rsidRPr="001C0671">
              <w:rPr>
                <w:rFonts w:cstheme="majorBidi"/>
                <w:i/>
                <w:iCs/>
                <w:szCs w:val="24"/>
              </w:rPr>
              <w:t xml:space="preserve"> autorizadas</w:t>
            </w:r>
            <w:r w:rsidRPr="001C0671">
              <w:rPr>
                <w:rFonts w:cs="Calibri"/>
                <w:i/>
                <w:iCs/>
                <w:szCs w:val="22"/>
                <w:lang w:eastAsia="zh-CN"/>
              </w:rPr>
              <w:t>.</w:t>
            </w:r>
          </w:p>
          <w:p w:rsidR="003307D8" w:rsidRPr="001C0671" w:rsidRDefault="003307D8" w:rsidP="00EA5972">
            <w:pPr>
              <w:pStyle w:val="Tabletext"/>
              <w:rPr>
                <w:rFonts w:cstheme="majorBidi"/>
                <w:szCs w:val="22"/>
                <w:lang w:val="ru-RU"/>
              </w:rPr>
            </w:pPr>
            <w:r w:rsidRPr="001C0671">
              <w:rPr>
                <w:rFonts w:cstheme="majorBidi"/>
                <w:szCs w:val="22"/>
                <w:lang w:val="ru-RU"/>
              </w:rPr>
              <w:t>…</w:t>
            </w:r>
          </w:p>
        </w:tc>
      </w:tr>
      <w:tr w:rsidR="003307D8" w:rsidRPr="001C0671" w:rsidTr="002E722B">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EA5972">
            <w:pPr>
              <w:pStyle w:val="Tabletext"/>
            </w:pPr>
            <w:bookmarkStart w:id="96" w:name="lt_pId291"/>
            <w:r w:rsidRPr="001C0671">
              <w:rPr>
                <w:b/>
              </w:rPr>
              <w:t>Comentario</w:t>
            </w:r>
            <w:r w:rsidRPr="001C0671">
              <w:t>:</w:t>
            </w:r>
            <w:bookmarkEnd w:id="96"/>
            <w:r w:rsidRPr="001C0671">
              <w:t xml:space="preserve"> </w:t>
            </w:r>
            <w:bookmarkStart w:id="97" w:name="lt_pId292"/>
            <w:r w:rsidRPr="001C0671">
              <w:t xml:space="preserve">El número 60 (8.2.4) del RTI </w:t>
            </w:r>
            <w:r w:rsidR="00BD15CC">
              <w:t xml:space="preserve">de </w:t>
            </w:r>
            <w:r w:rsidRPr="001C0671">
              <w:t xml:space="preserve">2012, que en el RTI </w:t>
            </w:r>
            <w:r w:rsidR="00BD15CC">
              <w:t xml:space="preserve">de </w:t>
            </w:r>
            <w:r w:rsidRPr="001C0671">
              <w:t xml:space="preserve">1988 se refería al </w:t>
            </w:r>
            <w:r w:rsidR="00D24228" w:rsidRPr="001C0671">
              <w:t>"</w:t>
            </w:r>
            <w:r w:rsidRPr="001C0671">
              <w:t>franco oro</w:t>
            </w:r>
            <w:r w:rsidR="00D24228" w:rsidRPr="001C0671">
              <w:t>"</w:t>
            </w:r>
            <w:r w:rsidRPr="001C0671">
              <w:t xml:space="preserve">, ha quedado obsoleto, mientras que en el número 60 (8.2.4) del RTI </w:t>
            </w:r>
            <w:r w:rsidR="00BD15CC">
              <w:t xml:space="preserve">de </w:t>
            </w:r>
            <w:r w:rsidRPr="001C0671">
              <w:t>2012 se refleja perfectamente el método flexible que se utiliza hoy en día.</w:t>
            </w:r>
            <w:bookmarkEnd w:id="97"/>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pPr>
            <w:r w:rsidRPr="001C0671">
              <w:rPr>
                <w:b/>
                <w:bCs/>
              </w:rPr>
              <w:t>51</w:t>
            </w:r>
            <w:r w:rsidR="002E722B" w:rsidRPr="001C0671">
              <w:tab/>
            </w:r>
            <w:r w:rsidRPr="001C0671">
              <w:t>6.4</w:t>
            </w:r>
            <w:r w:rsidRPr="001C0671">
              <w:tab/>
            </w:r>
            <w:bookmarkStart w:id="98" w:name="lt_pId295"/>
            <w:r w:rsidRPr="001C0671">
              <w:rPr>
                <w:i/>
                <w:iCs/>
              </w:rPr>
              <w:t>Establecimiento de las cuentas y liquidación de los saldos de las cuentas</w:t>
            </w:r>
            <w:bookmarkEnd w:id="98"/>
          </w:p>
          <w:p w:rsidR="003307D8" w:rsidRPr="001C0671" w:rsidRDefault="003307D8" w:rsidP="00E62DB6">
            <w:pPr>
              <w:pStyle w:val="Tabletext"/>
              <w:rPr>
                <w:color w:val="000000"/>
              </w:rPr>
            </w:pPr>
            <w:r w:rsidRPr="001C0671">
              <w:rPr>
                <w:b/>
                <w:bCs/>
              </w:rPr>
              <w:t>52</w:t>
            </w:r>
            <w:r w:rsidR="002E722B" w:rsidRPr="001C0671">
              <w:tab/>
            </w:r>
            <w:r w:rsidRPr="001C0671">
              <w:t>6.4.1</w:t>
            </w:r>
            <w:r w:rsidRPr="001C0671">
              <w:tab/>
              <w:t>A menos que se acuerde otra cosa, las administraciones</w:t>
            </w:r>
            <w:r w:rsidR="001C0671" w:rsidRPr="001C0671">
              <w:rPr>
                <w:rStyle w:val="FootnoteReference"/>
              </w:rPr>
              <w:t>*</w:t>
            </w:r>
            <w:r w:rsidRPr="001C0671">
              <w:t xml:space="preserve"> deberán aplicar las disposiciones pertinentes que figuran en los Apéndices 1 y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A5972">
            <w:pPr>
              <w:pStyle w:val="Tabletext"/>
              <w:rPr>
                <w:i/>
                <w:iCs/>
              </w:rPr>
            </w:pPr>
            <w:bookmarkStart w:id="99" w:name="lt_pId298"/>
            <w:r w:rsidRPr="001C0671">
              <w:rPr>
                <w:i/>
                <w:iCs/>
              </w:rPr>
              <w:t xml:space="preserve">Número 8.2.3 </w:t>
            </w:r>
            <w:bookmarkEnd w:id="99"/>
            <w:r w:rsidRPr="001C0671">
              <w:rPr>
                <w:i/>
                <w:iCs/>
              </w:rPr>
              <w:t>anterior</w:t>
            </w:r>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pPr>
            <w:r w:rsidRPr="001C0671">
              <w:rPr>
                <w:b/>
                <w:bCs/>
              </w:rPr>
              <w:t>53</w:t>
            </w:r>
            <w:r w:rsidR="002E722B" w:rsidRPr="001C0671">
              <w:tab/>
            </w:r>
            <w:r w:rsidRPr="001C0671">
              <w:t>6.5</w:t>
            </w:r>
            <w:r w:rsidRPr="001C0671">
              <w:tab/>
            </w:r>
            <w:bookmarkStart w:id="100" w:name="lt_pId300"/>
            <w:r w:rsidRPr="001C0671">
              <w:rPr>
                <w:i/>
                <w:iCs/>
              </w:rPr>
              <w:t>Telecomunicaciones de servicio y telecomunicaciones privilegiadas</w:t>
            </w:r>
            <w:bookmarkEnd w:id="100"/>
          </w:p>
          <w:p w:rsidR="003307D8" w:rsidRPr="001C0671" w:rsidRDefault="003307D8" w:rsidP="00E62DB6">
            <w:pPr>
              <w:pStyle w:val="Tabletext"/>
            </w:pPr>
            <w:r w:rsidRPr="001C0671">
              <w:rPr>
                <w:b/>
                <w:bCs/>
              </w:rPr>
              <w:t>54</w:t>
            </w:r>
            <w:r w:rsidR="002E722B" w:rsidRPr="001C0671">
              <w:tab/>
            </w:r>
            <w:r w:rsidRPr="001C0671">
              <w:t>6.5.1</w:t>
            </w:r>
            <w:r w:rsidRPr="001C0671">
              <w:tab/>
              <w:t>Las administraciones</w:t>
            </w:r>
            <w:r w:rsidR="001C0671" w:rsidRPr="001C0671">
              <w:rPr>
                <w:rStyle w:val="FootnoteReference"/>
              </w:rPr>
              <w:t>*</w:t>
            </w:r>
            <w:r w:rsidRPr="001C0671">
              <w:t xml:space="preserve"> deberán aplicar las disposiciones pertinentes que figuran en el Apéndice</w:t>
            </w:r>
            <w:r w:rsidR="001C0671" w:rsidRPr="001C0671">
              <w:t> </w:t>
            </w:r>
            <w:r w:rsidRPr="001C0671">
              <w:t>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62DB6">
            <w:pPr>
              <w:pStyle w:val="Tabletext"/>
              <w:rPr>
                <w:b/>
                <w:bCs/>
              </w:rPr>
            </w:pPr>
            <w:r w:rsidRPr="001C0671">
              <w:rPr>
                <w:b/>
                <w:bCs/>
              </w:rPr>
              <w:t>65</w:t>
            </w:r>
            <w:r w:rsidR="002E722B" w:rsidRPr="001C0671">
              <w:rPr>
                <w:b/>
                <w:bCs/>
              </w:rPr>
              <w:tab/>
            </w:r>
            <w:r w:rsidRPr="001C0671">
              <w:rPr>
                <w:b/>
                <w:bCs/>
              </w:rPr>
              <w:t>8.4</w:t>
            </w:r>
            <w:r w:rsidRPr="001C0671">
              <w:rPr>
                <w:b/>
                <w:bCs/>
              </w:rPr>
              <w:tab/>
              <w:t>Telecomunicación de servicio</w:t>
            </w:r>
          </w:p>
          <w:p w:rsidR="003307D8" w:rsidRPr="001C0671" w:rsidRDefault="003307D8" w:rsidP="00E62DB6">
            <w:pPr>
              <w:pStyle w:val="Tabletext"/>
              <w:rPr>
                <w:rFonts w:cs="Calibri"/>
                <w:lang w:eastAsia="zh-CN"/>
              </w:rPr>
            </w:pPr>
            <w:r w:rsidRPr="001C0671">
              <w:rPr>
                <w:b/>
              </w:rPr>
              <w:t>66</w:t>
            </w:r>
            <w:r w:rsidR="002E722B" w:rsidRPr="001C0671">
              <w:rPr>
                <w:bCs/>
              </w:rPr>
              <w:tab/>
            </w:r>
            <w:r w:rsidRPr="001C0671">
              <w:t>8.4.1</w:t>
            </w:r>
            <w:r w:rsidRPr="001C0671">
              <w:tab/>
              <w:t>Las empresas de explotación</w:t>
            </w:r>
            <w:r w:rsidRPr="001C0671">
              <w:rPr>
                <w:szCs w:val="24"/>
              </w:rPr>
              <w:t xml:space="preserve"> autorizadas</w:t>
            </w:r>
            <w:r w:rsidRPr="001C0671">
              <w:t xml:space="preserve">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w:t>
            </w:r>
            <w:r w:rsidRPr="001C0671">
              <w:rPr>
                <w:szCs w:val="24"/>
              </w:rPr>
              <w:t xml:space="preserve"> autorizadas</w:t>
            </w:r>
            <w:r w:rsidRPr="001C0671">
              <w:t xml:space="preserve"> pueden </w:t>
            </w:r>
            <w:r w:rsidRPr="001C0671">
              <w:lastRenderedPageBreak/>
              <w:t>proporcionar dichos servicios de telecomunicación de forma gratuita</w:t>
            </w:r>
            <w:r w:rsidRPr="001C0671">
              <w:rPr>
                <w:rFonts w:cs="Calibri"/>
                <w:lang w:eastAsia="zh-CN"/>
              </w:rPr>
              <w:t>.</w:t>
            </w:r>
          </w:p>
          <w:p w:rsidR="003307D8" w:rsidRPr="001C0671" w:rsidRDefault="003307D8" w:rsidP="00E62DB6">
            <w:pPr>
              <w:pStyle w:val="Tabletext"/>
              <w:rPr>
                <w:rFonts w:cs="Calibri"/>
                <w:lang w:eastAsia="zh-CN"/>
              </w:rPr>
            </w:pPr>
            <w:r w:rsidRPr="001C0671">
              <w:rPr>
                <w:b/>
              </w:rPr>
              <w:t>67</w:t>
            </w:r>
            <w:r w:rsidR="002E722B" w:rsidRPr="001C0671">
              <w:rPr>
                <w:bCs/>
              </w:rPr>
              <w:tab/>
            </w:r>
            <w:r w:rsidRPr="001C0671">
              <w:t>8.4.2</w:t>
            </w:r>
            <w:r w:rsidRPr="001C0671">
              <w:tab/>
              <w:t>Los principios generales de explotación, tasación y contabilidad aplicables a las telecomunicaciones de servicio deberían tener en cuenta las Recomendaciones UIT</w:t>
            </w:r>
            <w:r w:rsidRPr="001C0671">
              <w:noBreakHyphen/>
              <w:t>T pertinentes</w:t>
            </w:r>
            <w:r w:rsidRPr="001C0671">
              <w:rPr>
                <w:rFonts w:cs="Calibri"/>
                <w:lang w:eastAsia="zh-CN"/>
              </w:rPr>
              <w:t>.</w:t>
            </w:r>
          </w:p>
        </w:tc>
      </w:tr>
      <w:tr w:rsidR="003307D8" w:rsidRPr="001C0671" w:rsidTr="002E722B">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D11D45">
            <w:pPr>
              <w:pStyle w:val="Tabletext"/>
            </w:pPr>
            <w:bookmarkStart w:id="101" w:name="lt_pId310"/>
            <w:r w:rsidRPr="001C0671">
              <w:rPr>
                <w:b/>
              </w:rPr>
              <w:lastRenderedPageBreak/>
              <w:t>Comentario</w:t>
            </w:r>
            <w:r w:rsidRPr="001C0671">
              <w:t>:</w:t>
            </w:r>
            <w:bookmarkEnd w:id="101"/>
            <w:r w:rsidRPr="001C0671">
              <w:t xml:space="preserve"> </w:t>
            </w:r>
            <w:bookmarkStart w:id="102" w:name="lt_pId311"/>
            <w:r w:rsidRPr="001C0671">
              <w:t xml:space="preserve">Las disposiciones del Apéndice 3 del RTI </w:t>
            </w:r>
            <w:r w:rsidR="00BD15CC">
              <w:t xml:space="preserve">de </w:t>
            </w:r>
            <w:r w:rsidRPr="001C0671">
              <w:t>1988 se incorporaron directamente en el texto del RTI</w:t>
            </w:r>
            <w:r w:rsidR="00D11D45" w:rsidRPr="001C0671">
              <w:t> </w:t>
            </w:r>
            <w:r w:rsidR="00BD15CC">
              <w:t xml:space="preserve">de </w:t>
            </w:r>
            <w:r w:rsidRPr="001C0671">
              <w:t>2012.</w:t>
            </w:r>
            <w:bookmarkEnd w:id="102"/>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307D8" w:rsidRPr="001C0671" w:rsidRDefault="003307D8" w:rsidP="00EA5972">
            <w:pPr>
              <w:pStyle w:val="Tabletext"/>
              <w:jc w:val="center"/>
              <w:rPr>
                <w:b/>
                <w:bCs/>
              </w:rPr>
            </w:pPr>
            <w:r w:rsidRPr="001C0671">
              <w:rPr>
                <w:b/>
                <w:bCs/>
              </w:rPr>
              <w:t>ARTÍCULO 7</w:t>
            </w:r>
          </w:p>
          <w:p w:rsidR="003307D8" w:rsidRPr="001C0671" w:rsidRDefault="003307D8" w:rsidP="00EA5972">
            <w:pPr>
              <w:pStyle w:val="Tabletext"/>
              <w:spacing w:after="120"/>
              <w:jc w:val="center"/>
              <w:rPr>
                <w:b/>
                <w:bCs/>
              </w:rPr>
            </w:pPr>
            <w:r w:rsidRPr="001C0671">
              <w:rPr>
                <w:b/>
                <w:bCs/>
              </w:rPr>
              <w:t>Suspensión del servicio</w:t>
            </w:r>
          </w:p>
          <w:p w:rsidR="003307D8" w:rsidRPr="001C0671" w:rsidRDefault="003307D8" w:rsidP="00E62DB6">
            <w:pPr>
              <w:pStyle w:val="Tabletext"/>
            </w:pPr>
            <w:r w:rsidRPr="001C0671">
              <w:rPr>
                <w:b/>
                <w:bCs/>
              </w:rPr>
              <w:t>55</w:t>
            </w:r>
            <w:r w:rsidR="002E722B" w:rsidRPr="001C0671">
              <w:tab/>
            </w:r>
            <w:r w:rsidRPr="001C0671">
              <w:t>7.1</w:t>
            </w:r>
            <w:r w:rsidRPr="001C0671">
              <w:tab/>
              <w: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3307D8" w:rsidRPr="001C0671" w:rsidRDefault="003307D8" w:rsidP="00E62DB6">
            <w:pPr>
              <w:pStyle w:val="Tabletext"/>
            </w:pPr>
            <w:r w:rsidRPr="001C0671">
              <w:rPr>
                <w:b/>
                <w:bCs/>
              </w:rPr>
              <w:t>56</w:t>
            </w:r>
            <w:r w:rsidR="002E722B" w:rsidRPr="001C0671">
              <w:tab/>
            </w:r>
            <w:r w:rsidRPr="001C0671">
              <w:t>7.2</w:t>
            </w:r>
            <w:r w:rsidRPr="001C0671">
              <w:tab/>
              <w:t>El Secretario General transmitirá inmediatamente esta información a todos los demás Miembros, por el medio de comunicación más adecuado.</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307D8" w:rsidRPr="001C0671" w:rsidRDefault="003307D8" w:rsidP="00EA5972">
            <w:pPr>
              <w:pStyle w:val="Tabletext"/>
              <w:jc w:val="center"/>
              <w:rPr>
                <w:b/>
                <w:bCs/>
              </w:rPr>
            </w:pPr>
            <w:r w:rsidRPr="001C0671">
              <w:rPr>
                <w:b/>
                <w:bCs/>
              </w:rPr>
              <w:t>ARTÍCULO 9</w:t>
            </w:r>
          </w:p>
          <w:p w:rsidR="003307D8" w:rsidRPr="001C0671" w:rsidRDefault="003307D8" w:rsidP="00EA5972">
            <w:pPr>
              <w:pStyle w:val="Tabletext"/>
              <w:spacing w:after="120"/>
              <w:jc w:val="center"/>
              <w:rPr>
                <w:b/>
                <w:bCs/>
              </w:rPr>
            </w:pPr>
            <w:r w:rsidRPr="001C0671">
              <w:rPr>
                <w:b/>
                <w:bCs/>
              </w:rPr>
              <w:t>Suspensión de servicios</w:t>
            </w:r>
          </w:p>
          <w:p w:rsidR="003307D8" w:rsidRPr="001C0671" w:rsidRDefault="003307D8" w:rsidP="00E62DB6">
            <w:pPr>
              <w:pStyle w:val="Tabletext"/>
              <w:rPr>
                <w:rFonts w:cs="Calibri"/>
                <w:lang w:eastAsia="zh-CN"/>
              </w:rPr>
            </w:pPr>
            <w:r w:rsidRPr="001C0671">
              <w:rPr>
                <w:b/>
              </w:rPr>
              <w:t>68</w:t>
            </w:r>
            <w:r w:rsidR="002E722B" w:rsidRPr="001C0671">
              <w:rPr>
                <w:bCs/>
              </w:rPr>
              <w:tab/>
            </w:r>
            <w:r w:rsidRPr="001C0671">
              <w:t>9.1</w:t>
            </w:r>
            <w:r w:rsidRPr="001C0671">
              <w:tab/>
              <w:t xml:space="preserve">Si de conformidad con la Constitución y el Convenio, un Estado Miembro ejerce su derecho a </w:t>
            </w:r>
            <w:r w:rsidRPr="001C0671">
              <w:rPr>
                <w:rFonts w:asciiTheme="minorHAnsi" w:eastAsia="Batang" w:hAnsiTheme="minorHAnsi"/>
              </w:rPr>
              <w:t>suspender</w:t>
            </w:r>
            <w:r w:rsidRPr="001C0671">
              <w:t xml:space="preserve"> parcial o totalmente los servicios internacionales de telecomunicación, notificará inmediatamente al Secretario General dicha suspensión y el ulterior restablecimiento de la normalidad, utilizando para ello el medio de comunicación más adecuado</w:t>
            </w:r>
            <w:r w:rsidRPr="001C0671">
              <w:rPr>
                <w:rFonts w:cs="Calibri"/>
                <w:lang w:eastAsia="zh-CN"/>
              </w:rPr>
              <w:t>.</w:t>
            </w:r>
          </w:p>
          <w:p w:rsidR="003307D8" w:rsidRPr="001C0671" w:rsidRDefault="003307D8" w:rsidP="00E62DB6">
            <w:pPr>
              <w:pStyle w:val="Tabletext"/>
              <w:rPr>
                <w:rFonts w:cs="Calibri"/>
                <w:lang w:eastAsia="zh-CN"/>
              </w:rPr>
            </w:pPr>
            <w:r w:rsidRPr="001C0671">
              <w:rPr>
                <w:b/>
              </w:rPr>
              <w:t>69</w:t>
            </w:r>
            <w:r w:rsidR="002E722B" w:rsidRPr="001C0671">
              <w:rPr>
                <w:bCs/>
              </w:rPr>
              <w:tab/>
            </w:r>
            <w:r w:rsidRPr="001C0671">
              <w:t>9.2</w:t>
            </w:r>
            <w:r w:rsidRPr="001C0671">
              <w:tab/>
              <w:t>El Secretario General transmitirá inmediatamente esta información a todos los demás Estados Miembros, por el medio de comunicación más adecuado</w:t>
            </w:r>
            <w:r w:rsidRPr="001C0671">
              <w:rPr>
                <w:rFonts w:cs="Calibri"/>
                <w:lang w:eastAsia="zh-CN"/>
              </w:rPr>
              <w:t>.</w:t>
            </w:r>
          </w:p>
        </w:tc>
      </w:tr>
      <w:tr w:rsidR="003307D8" w:rsidRPr="001C0671" w:rsidTr="002E722B">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307D8" w:rsidRPr="001C0671" w:rsidRDefault="003307D8" w:rsidP="00EA5972">
            <w:pPr>
              <w:pStyle w:val="Tabletext"/>
              <w:jc w:val="center"/>
              <w:rPr>
                <w:b/>
                <w:bCs/>
              </w:rPr>
            </w:pPr>
            <w:r w:rsidRPr="001C0671">
              <w:rPr>
                <w:b/>
                <w:bCs/>
              </w:rPr>
              <w:t>ARTÍCULO 8</w:t>
            </w:r>
          </w:p>
          <w:p w:rsidR="003307D8" w:rsidRPr="001C0671" w:rsidRDefault="003307D8" w:rsidP="00EA5972">
            <w:pPr>
              <w:pStyle w:val="Tabletext"/>
              <w:jc w:val="center"/>
              <w:rPr>
                <w:b/>
                <w:bCs/>
              </w:rPr>
            </w:pPr>
            <w:r w:rsidRPr="001C0671">
              <w:rPr>
                <w:b/>
                <w:bCs/>
              </w:rPr>
              <w:t>Difusión de información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307D8" w:rsidRPr="001C0671" w:rsidRDefault="003307D8" w:rsidP="00EA5972">
            <w:pPr>
              <w:pStyle w:val="Tabletext"/>
              <w:jc w:val="center"/>
              <w:rPr>
                <w:b/>
                <w:bCs/>
              </w:rPr>
            </w:pPr>
            <w:r w:rsidRPr="001C0671">
              <w:rPr>
                <w:b/>
                <w:bCs/>
              </w:rPr>
              <w:t>ARTÍCULO 10</w:t>
            </w:r>
          </w:p>
          <w:p w:rsidR="003307D8" w:rsidRPr="001C0671" w:rsidRDefault="003307D8" w:rsidP="00EA5972">
            <w:pPr>
              <w:pStyle w:val="Tabletext"/>
              <w:jc w:val="center"/>
              <w:rPr>
                <w:b/>
                <w:bCs/>
              </w:rPr>
            </w:pPr>
            <w:r w:rsidRPr="001C0671">
              <w:rPr>
                <w:b/>
                <w:bCs/>
              </w:rPr>
              <w:t>Difusión de información</w:t>
            </w:r>
          </w:p>
          <w:p w:rsidR="003307D8" w:rsidRPr="001C0671" w:rsidRDefault="003307D8" w:rsidP="00EA5972">
            <w:pPr>
              <w:pStyle w:val="Tabletext"/>
              <w:rPr>
                <w:b/>
                <w:bCs/>
                <w:i/>
              </w:rPr>
            </w:pPr>
            <w:bookmarkStart w:id="103" w:name="lt_pId328"/>
            <w:r w:rsidRPr="001C0671">
              <w:rPr>
                <w:b/>
                <w:bCs/>
                <w:i/>
              </w:rPr>
              <w:t>Comentario:</w:t>
            </w:r>
            <w:bookmarkEnd w:id="103"/>
          </w:p>
          <w:p w:rsidR="003307D8" w:rsidRPr="001C0671" w:rsidRDefault="003307D8" w:rsidP="00EA5972">
            <w:pPr>
              <w:pStyle w:val="Tabletext"/>
              <w:rPr>
                <w:i/>
              </w:rPr>
            </w:pPr>
            <w:bookmarkStart w:id="104" w:name="lt_pId329"/>
            <w:r w:rsidRPr="001C0671">
              <w:rPr>
                <w:i/>
              </w:rPr>
              <w:t>El artículo se actualizó sin modificarlo fundamentalmente.</w:t>
            </w:r>
            <w:bookmarkEnd w:id="104"/>
          </w:p>
        </w:tc>
      </w:tr>
      <w:tr w:rsidR="003307D8" w:rsidRPr="001C0671" w:rsidTr="002E722B">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EA5972">
            <w:pPr>
              <w:pStyle w:val="Tabletext"/>
            </w:pPr>
            <w:r w:rsidRPr="001C0671">
              <w:t>No hay un Artículo análogo.</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EA5972">
            <w:pPr>
              <w:pStyle w:val="Tabletext"/>
              <w:jc w:val="center"/>
              <w:rPr>
                <w:b/>
                <w:bCs/>
              </w:rPr>
            </w:pPr>
            <w:r w:rsidRPr="001C0671">
              <w:rPr>
                <w:b/>
                <w:bCs/>
              </w:rPr>
              <w:t>ARTÍCULO 11</w:t>
            </w:r>
          </w:p>
          <w:p w:rsidR="003307D8" w:rsidRPr="001C0671" w:rsidRDefault="003307D8" w:rsidP="00EA5972">
            <w:pPr>
              <w:pStyle w:val="Tabletext"/>
              <w:spacing w:after="120"/>
              <w:jc w:val="center"/>
              <w:rPr>
                <w:b/>
                <w:bCs/>
              </w:rPr>
            </w:pPr>
            <w:r w:rsidRPr="001C0671">
              <w:rPr>
                <w:b/>
                <w:bCs/>
              </w:rPr>
              <w:t>Eficiencia energética/residuos electrónicos</w:t>
            </w:r>
          </w:p>
          <w:p w:rsidR="003307D8" w:rsidRPr="001C0671" w:rsidRDefault="003307D8" w:rsidP="00E62DB6">
            <w:pPr>
              <w:pStyle w:val="Tabletext"/>
              <w:rPr>
                <w:rFonts w:cs="Calibri"/>
                <w:b/>
                <w:bCs/>
                <w:lang w:eastAsia="zh-CN"/>
              </w:rPr>
            </w:pPr>
            <w:bookmarkStart w:id="105" w:name="lt_pId333"/>
            <w:r w:rsidRPr="001C0671">
              <w:rPr>
                <w:b/>
                <w:bCs/>
              </w:rPr>
              <w:t>71</w:t>
            </w:r>
            <w:r w:rsidR="002E722B" w:rsidRPr="001C0671">
              <w:rPr>
                <w:b/>
                <w:bCs/>
              </w:rPr>
              <w:tab/>
            </w:r>
            <w:r w:rsidRPr="001C0671">
              <w:rPr>
                <w:b/>
                <w:bCs/>
                <w:i/>
              </w:rPr>
              <w:t>11.1</w:t>
            </w:r>
            <w:r w:rsidR="002E722B" w:rsidRPr="001C0671">
              <w:rPr>
                <w:b/>
                <w:bCs/>
                <w:i/>
              </w:rPr>
              <w:tab/>
            </w:r>
            <w:r w:rsidRPr="001C0671">
              <w:rPr>
                <w:b/>
                <w:bCs/>
                <w:i/>
                <w:iCs/>
              </w:rPr>
              <w:t xml:space="preserve">Se alienta a los Estados Miembros a adoptar prácticas idóneas en materia de eficiencia </w:t>
            </w:r>
            <w:r w:rsidRPr="001C0671">
              <w:rPr>
                <w:rFonts w:asciiTheme="minorHAnsi" w:eastAsia="Batang" w:hAnsiTheme="minorHAnsi"/>
                <w:b/>
                <w:bCs/>
                <w:i/>
                <w:iCs/>
              </w:rPr>
              <w:t>energética</w:t>
            </w:r>
            <w:r w:rsidRPr="001C0671">
              <w:rPr>
                <w:b/>
                <w:bCs/>
                <w:i/>
                <w:iCs/>
              </w:rPr>
              <w:t xml:space="preserve"> y residuos electrónicos teniendo en cuenta las Recomendaciones UIT-T pertinentes</w:t>
            </w:r>
            <w:r w:rsidRPr="001C0671">
              <w:rPr>
                <w:rFonts w:cs="Calibri"/>
                <w:b/>
                <w:bCs/>
                <w:i/>
                <w:iCs/>
                <w:lang w:eastAsia="zh-CN"/>
              </w:rPr>
              <w:t>.</w:t>
            </w:r>
            <w:bookmarkEnd w:id="105"/>
          </w:p>
        </w:tc>
      </w:tr>
      <w:tr w:rsidR="003307D8" w:rsidRPr="001C0671" w:rsidTr="002E722B">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EA5972">
            <w:pPr>
              <w:pStyle w:val="Tabletext"/>
            </w:pPr>
            <w:bookmarkStart w:id="106" w:name="lt_pId334"/>
            <w:r w:rsidRPr="001C0671">
              <w:rPr>
                <w:b/>
                <w:bCs/>
              </w:rPr>
              <w:t>Comentario:</w:t>
            </w:r>
            <w:bookmarkEnd w:id="106"/>
            <w:r w:rsidRPr="001C0671">
              <w:rPr>
                <w:b/>
                <w:bCs/>
              </w:rPr>
              <w:t xml:space="preserve"> </w:t>
            </w:r>
            <w:bookmarkStart w:id="107" w:name="lt_pId335"/>
            <w:r w:rsidRPr="001C0671">
              <w:t xml:space="preserve">En el Artículo 12 del RTI </w:t>
            </w:r>
            <w:r w:rsidR="00BD15CC">
              <w:t xml:space="preserve">de </w:t>
            </w:r>
            <w:r w:rsidRPr="001C0671">
              <w:t xml:space="preserve">2012 se reflejan los requisitos ampliamente compartidos por las Naciones Unidas y muchas otras organizaciones internacionales, así como la legislación de los Estados Miembros de la UIT en materia de protección medioambiental. El UIT-T </w:t>
            </w:r>
            <w:r w:rsidRPr="00BD15CC">
              <w:t>ha adquirido</w:t>
            </w:r>
            <w:r w:rsidRPr="001C0671">
              <w:t xml:space="preserve"> una experiencia considerable y ha adoptado una serie de Recomendaciones de la serie L sobre eficiencia energética, residuos electrónicos y demás asuntos relativos al medio ambiente.</w:t>
            </w:r>
            <w:bookmarkEnd w:id="107"/>
          </w:p>
        </w:tc>
      </w:tr>
      <w:tr w:rsidR="003307D8" w:rsidRPr="001C0671" w:rsidTr="00E62DB6">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EA5972">
            <w:pPr>
              <w:pStyle w:val="Tabletext"/>
            </w:pPr>
            <w:r w:rsidRPr="001C0671">
              <w:t>No hay un Artículo análogo.</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EA5972">
            <w:pPr>
              <w:pStyle w:val="Tabletext"/>
              <w:jc w:val="center"/>
              <w:rPr>
                <w:b/>
                <w:bCs/>
              </w:rPr>
            </w:pPr>
            <w:bookmarkStart w:id="108" w:name="_Toc351752251"/>
            <w:bookmarkEnd w:id="108"/>
            <w:r w:rsidRPr="001C0671">
              <w:rPr>
                <w:b/>
                <w:bCs/>
              </w:rPr>
              <w:t>ARTÍCULO 12</w:t>
            </w:r>
          </w:p>
          <w:p w:rsidR="003307D8" w:rsidRPr="001C0671" w:rsidRDefault="003307D8" w:rsidP="00EA5972">
            <w:pPr>
              <w:pStyle w:val="Tabletext"/>
              <w:spacing w:after="120"/>
              <w:jc w:val="center"/>
              <w:rPr>
                <w:b/>
                <w:bCs/>
              </w:rPr>
            </w:pPr>
            <w:bookmarkStart w:id="109" w:name="_Toc351752252"/>
            <w:bookmarkEnd w:id="109"/>
            <w:r w:rsidRPr="001C0671">
              <w:rPr>
                <w:b/>
                <w:bCs/>
              </w:rPr>
              <w:t>Accesibilidad</w:t>
            </w:r>
          </w:p>
          <w:p w:rsidR="003307D8" w:rsidRPr="001C0671" w:rsidRDefault="003307D8" w:rsidP="00E62DB6">
            <w:pPr>
              <w:pStyle w:val="Tabletext"/>
              <w:rPr>
                <w:rFonts w:cs="Calibri"/>
                <w:b/>
                <w:bCs/>
                <w:lang w:eastAsia="zh-CN"/>
              </w:rPr>
            </w:pPr>
            <w:bookmarkStart w:id="110" w:name="lt_pId340"/>
            <w:r w:rsidRPr="001C0671">
              <w:rPr>
                <w:b/>
                <w:bCs/>
              </w:rPr>
              <w:t>72</w:t>
            </w:r>
            <w:r w:rsidR="00EA5972" w:rsidRPr="001C0671">
              <w:rPr>
                <w:b/>
                <w:bCs/>
              </w:rPr>
              <w:tab/>
            </w:r>
            <w:r w:rsidRPr="001C0671">
              <w:rPr>
                <w:b/>
                <w:bCs/>
                <w:i/>
              </w:rPr>
              <w:t>12.1</w:t>
            </w:r>
            <w:r w:rsidR="00EA5972" w:rsidRPr="001C0671">
              <w:rPr>
                <w:b/>
                <w:bCs/>
                <w:i/>
                <w:iCs/>
              </w:rPr>
              <w:tab/>
            </w:r>
            <w:r w:rsidRPr="001C0671">
              <w:rPr>
                <w:b/>
                <w:bCs/>
                <w:i/>
                <w:iCs/>
              </w:rPr>
              <w:t xml:space="preserve">Los Estados Miembros promoverán el acceso de las personas con discapacidad a los servicios internacionales de </w:t>
            </w:r>
            <w:r w:rsidRPr="001C0671">
              <w:rPr>
                <w:rFonts w:asciiTheme="minorHAnsi" w:eastAsia="Batang" w:hAnsiTheme="minorHAnsi"/>
                <w:b/>
                <w:bCs/>
                <w:i/>
                <w:iCs/>
              </w:rPr>
              <w:t>telecomunicación</w:t>
            </w:r>
            <w:r w:rsidRPr="001C0671">
              <w:rPr>
                <w:b/>
                <w:bCs/>
                <w:i/>
                <w:iCs/>
              </w:rPr>
              <w:t xml:space="preserve"> con arreglo a las Recomendaciones UIT-T pertinentes</w:t>
            </w:r>
            <w:r w:rsidRPr="001C0671">
              <w:rPr>
                <w:rFonts w:cs="Calibri"/>
                <w:b/>
                <w:bCs/>
                <w:i/>
                <w:iCs/>
                <w:lang w:eastAsia="zh-CN"/>
              </w:rPr>
              <w:t>.</w:t>
            </w:r>
            <w:bookmarkEnd w:id="110"/>
          </w:p>
        </w:tc>
      </w:tr>
      <w:tr w:rsidR="003307D8" w:rsidRPr="001C0671" w:rsidTr="00E62DB6">
        <w:trPr>
          <w:cantSplit/>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EA5972">
            <w:pPr>
              <w:pStyle w:val="Tabletext"/>
            </w:pPr>
            <w:bookmarkStart w:id="111" w:name="lt_pId341"/>
            <w:r w:rsidRPr="001C0671">
              <w:rPr>
                <w:b/>
              </w:rPr>
              <w:lastRenderedPageBreak/>
              <w:t>Comentario</w:t>
            </w:r>
            <w:r w:rsidRPr="001C0671">
              <w:t>:</w:t>
            </w:r>
            <w:bookmarkEnd w:id="111"/>
            <w:r w:rsidRPr="001C0671">
              <w:t xml:space="preserve"> </w:t>
            </w:r>
            <w:bookmarkStart w:id="112" w:name="lt_pId342"/>
            <w:r w:rsidRPr="001C0671">
              <w:t xml:space="preserve">En el Artículo 12 del RTI </w:t>
            </w:r>
            <w:r w:rsidR="00BD15CC">
              <w:t xml:space="preserve">de </w:t>
            </w:r>
            <w:r w:rsidRPr="001C0671">
              <w:t>2012 se reflejan los requisitos ampliamente compartidos por las Naciones Unidas y muchas otras organizaciones internacionales, así como la legislación de los Estados Miembros de la UIT en materia de fomento del acceso a las telecomunicaciones para las personas con discapacidad. Se hace referencia a las Recomendaciones que tratan de métodos concretos para colmar esas necesidades.</w:t>
            </w:r>
            <w:bookmarkEnd w:id="112"/>
          </w:p>
        </w:tc>
      </w:tr>
      <w:tr w:rsidR="003307D8" w:rsidRPr="001C0671" w:rsidTr="00D24228">
        <w:trPr>
          <w:cantSplit/>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07D8" w:rsidRPr="001C0671" w:rsidRDefault="003307D8" w:rsidP="00EA5972">
            <w:pPr>
              <w:pStyle w:val="Tabletext"/>
              <w:jc w:val="center"/>
              <w:rPr>
                <w:b/>
                <w:bCs/>
              </w:rPr>
            </w:pPr>
            <w:r w:rsidRPr="001C0671">
              <w:rPr>
                <w:b/>
                <w:bCs/>
              </w:rPr>
              <w:t>ARTÍCULO 9</w:t>
            </w:r>
          </w:p>
          <w:p w:rsidR="003307D8" w:rsidRPr="001C0671" w:rsidRDefault="003307D8" w:rsidP="00EA5972">
            <w:pPr>
              <w:pStyle w:val="Tabletext"/>
              <w:spacing w:after="120"/>
              <w:jc w:val="center"/>
              <w:rPr>
                <w:b/>
                <w:bCs/>
              </w:rPr>
            </w:pPr>
            <w:r w:rsidRPr="001C0671">
              <w:rPr>
                <w:b/>
                <w:bCs/>
              </w:rPr>
              <w:t>Arreglos particulares</w:t>
            </w:r>
          </w:p>
          <w:p w:rsidR="003307D8" w:rsidRPr="001C0671" w:rsidRDefault="003307D8" w:rsidP="00E62DB6">
            <w:pPr>
              <w:pStyle w:val="Tabletext"/>
            </w:pPr>
            <w:bookmarkStart w:id="113" w:name="lt_pId346"/>
            <w:r w:rsidRPr="001C0671">
              <w:rPr>
                <w:b/>
                <w:color w:val="000000"/>
              </w:rPr>
              <w:t>58</w:t>
            </w:r>
            <w:r w:rsidR="00EA5972" w:rsidRPr="001C0671">
              <w:tab/>
            </w:r>
            <w:r w:rsidRPr="001C0671">
              <w:t>9.1</w:t>
            </w:r>
            <w:r w:rsidR="00BD15CC">
              <w:t xml:space="preserve"> </w:t>
            </w:r>
            <w:r w:rsidRPr="001C0671">
              <w:rPr>
                <w:i/>
                <w:iCs/>
              </w:rPr>
              <w:t>a)</w:t>
            </w:r>
            <w:bookmarkEnd w:id="113"/>
            <w:r w:rsidR="00EA5972" w:rsidRPr="001C0671">
              <w:tab/>
            </w:r>
            <w:r w:rsidRPr="001C0671">
              <w:rPr>
                <w:i/>
                <w:iCs/>
              </w:rPr>
              <w:t>De conformidad con el Artículo 31 del Convenio Internacional de Telecomunicaciones (Nairobi, 1982)</w:t>
            </w:r>
            <w:r w:rsidRPr="001C0671">
              <w:t xml:space="preserve"> se pueden concertar arreglos particulares sobre cuestiones relativas a las telecomunicaciones que no interesen a la generalidad de los Miembros. A reserva de la legislación nacional, </w:t>
            </w:r>
            <w:r w:rsidRPr="001C0671">
              <w:rPr>
                <w:i/>
                <w:iCs/>
              </w:rPr>
              <w:t>los Miembros podrán facultar a las administraciones</w:t>
            </w:r>
            <w:r w:rsidR="001C0671" w:rsidRPr="001C0671">
              <w:rPr>
                <w:rStyle w:val="FootnoteReference"/>
              </w:rPr>
              <w:t>*</w:t>
            </w:r>
            <w:r w:rsidRPr="001C0671">
              <w:t xml:space="preserve"> u otras organizaciones o personas a concertar esos arreglos mutuos particulares con </w:t>
            </w:r>
            <w:r w:rsidRPr="001C0671">
              <w:rPr>
                <w:i/>
                <w:iCs/>
              </w:rPr>
              <w:t>Miembros, administraciones</w:t>
            </w:r>
            <w:r w:rsidR="001C0671" w:rsidRPr="001C0671">
              <w:rPr>
                <w:rStyle w:val="FootnoteReference"/>
              </w:rPr>
              <w:t>*</w:t>
            </w:r>
            <w:r w:rsidRPr="001C0671">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07D8" w:rsidRPr="001C0671" w:rsidRDefault="003307D8" w:rsidP="007656D8">
            <w:pPr>
              <w:pStyle w:val="Tabletext"/>
              <w:jc w:val="center"/>
              <w:rPr>
                <w:b/>
                <w:bCs/>
              </w:rPr>
            </w:pPr>
            <w:bookmarkStart w:id="114" w:name="_Toc351752253"/>
            <w:bookmarkStart w:id="115" w:name="lt_pId350"/>
            <w:bookmarkStart w:id="116" w:name="_Toc351752824"/>
            <w:bookmarkEnd w:id="114"/>
            <w:r w:rsidRPr="001C0671">
              <w:rPr>
                <w:b/>
                <w:bCs/>
              </w:rPr>
              <w:t>ARTÍCULO 13</w:t>
            </w:r>
            <w:bookmarkEnd w:id="115"/>
            <w:bookmarkEnd w:id="116"/>
          </w:p>
          <w:p w:rsidR="003307D8" w:rsidRPr="001C0671" w:rsidRDefault="003307D8" w:rsidP="007656D8">
            <w:pPr>
              <w:pStyle w:val="Tabletext"/>
              <w:spacing w:after="120"/>
              <w:jc w:val="center"/>
              <w:rPr>
                <w:b/>
                <w:bCs/>
              </w:rPr>
            </w:pPr>
            <w:bookmarkStart w:id="117" w:name="_Toc351752254"/>
            <w:bookmarkEnd w:id="117"/>
            <w:r w:rsidRPr="001C0671">
              <w:rPr>
                <w:b/>
                <w:bCs/>
              </w:rPr>
              <w:t>Acuerdos particulares</w:t>
            </w:r>
          </w:p>
          <w:p w:rsidR="003307D8" w:rsidRPr="001C0671" w:rsidRDefault="003307D8" w:rsidP="00E62DB6">
            <w:pPr>
              <w:pStyle w:val="Tabletext"/>
              <w:rPr>
                <w:rFonts w:cs="Calibri"/>
                <w:lang w:eastAsia="zh-CN"/>
              </w:rPr>
            </w:pPr>
            <w:bookmarkStart w:id="118" w:name="lt_pId352"/>
            <w:r w:rsidRPr="001C0671">
              <w:rPr>
                <w:b/>
                <w:color w:val="000000"/>
              </w:rPr>
              <w:t>73</w:t>
            </w:r>
            <w:r w:rsidR="007656D8" w:rsidRPr="001C0671">
              <w:tab/>
            </w:r>
            <w:r w:rsidRPr="001C0671">
              <w:t>13.1</w:t>
            </w:r>
            <w:r w:rsidR="00BD15CC">
              <w:t xml:space="preserve"> </w:t>
            </w:r>
            <w:r w:rsidRPr="001C0671">
              <w:rPr>
                <w:i/>
                <w:iCs/>
              </w:rPr>
              <w:t>a)</w:t>
            </w:r>
            <w:bookmarkEnd w:id="118"/>
            <w:r w:rsidR="007656D8" w:rsidRPr="001C0671">
              <w:tab/>
            </w:r>
            <w:r w:rsidRPr="001C0671">
              <w:rPr>
                <w:i/>
                <w:iCs/>
              </w:rPr>
              <w:t>De conformidad con el Artículo 42 de la Constitución</w:t>
            </w:r>
            <w:r w:rsidRPr="001C0671">
              <w:t xml:space="preserve">, se pueden concertar acuerdos particulares sobre cuestiones relativas a las telecomunicaciones que no interesen a la generalidad </w:t>
            </w:r>
            <w:r w:rsidRPr="001C0671">
              <w:rPr>
                <w:rFonts w:asciiTheme="minorHAnsi" w:eastAsia="Batang" w:hAnsiTheme="minorHAnsi"/>
              </w:rPr>
              <w:t>de</w:t>
            </w:r>
            <w:r w:rsidRPr="001C0671">
              <w:t xml:space="preserve"> los Estados Miembros. De conformidad con la legislación nacional, </w:t>
            </w:r>
            <w:r w:rsidRPr="001C0671">
              <w:rPr>
                <w:i/>
                <w:iCs/>
              </w:rPr>
              <w:t>los Estados Miembros podrán facultar a las empresas de explotación autorizadas</w:t>
            </w:r>
            <w:r w:rsidRPr="001C0671">
              <w:t xml:space="preserve"> u otras organizaciones o personas a concertar esos acuerdos mutuos particulares con </w:t>
            </w:r>
            <w:r w:rsidRPr="001C0671">
              <w:rPr>
                <w:i/>
                <w:iCs/>
              </w:rPr>
              <w:t>Estados Miembros y/o empresas de explotación autorizadas</w:t>
            </w:r>
            <w:r w:rsidRPr="001C0671">
              <w:t>,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r w:rsidRPr="001C0671">
              <w:rPr>
                <w:rFonts w:cs="Calibri"/>
                <w:lang w:eastAsia="zh-CN"/>
              </w:rPr>
              <w:t>.</w:t>
            </w:r>
          </w:p>
        </w:tc>
      </w:tr>
      <w:tr w:rsidR="003307D8" w:rsidRPr="001C0671" w:rsidTr="002E722B">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7656D8">
            <w:pPr>
              <w:pStyle w:val="Tabletext"/>
            </w:pPr>
            <w:bookmarkStart w:id="119" w:name="lt_pId355"/>
            <w:r w:rsidRPr="001C0671">
              <w:rPr>
                <w:b/>
              </w:rPr>
              <w:t>Comentario</w:t>
            </w:r>
            <w:r w:rsidRPr="001C0671">
              <w:t>:</w:t>
            </w:r>
            <w:bookmarkEnd w:id="119"/>
            <w:r w:rsidRPr="001C0671">
              <w:t xml:space="preserve"> </w:t>
            </w:r>
            <w:bookmarkStart w:id="120" w:name="lt_pId356"/>
            <w:r w:rsidRPr="001C0671">
              <w:t xml:space="preserve">Véase el Comentario sobre el número 2/1.1 a) del RTI </w:t>
            </w:r>
            <w:r w:rsidR="00BD15CC">
              <w:t xml:space="preserve">de </w:t>
            </w:r>
            <w:r w:rsidRPr="001C0671">
              <w:t xml:space="preserve">1988 y el número 5 b) del RTI </w:t>
            </w:r>
            <w:r w:rsidR="00BD15CC">
              <w:t xml:space="preserve">de </w:t>
            </w:r>
            <w:r w:rsidRPr="001C0671">
              <w:t>2012.</w:t>
            </w:r>
            <w:bookmarkEnd w:id="120"/>
          </w:p>
        </w:tc>
      </w:tr>
      <w:tr w:rsidR="003307D8" w:rsidRPr="001C0671" w:rsidTr="002E722B">
        <w:tc>
          <w:tcPr>
            <w:tcW w:w="5070" w:type="dxa"/>
            <w:tcBorders>
              <w:top w:val="nil"/>
              <w:left w:val="single" w:sz="8" w:space="0" w:color="auto"/>
              <w:bottom w:val="nil"/>
              <w:right w:val="single" w:sz="8" w:space="0" w:color="auto"/>
            </w:tcBorders>
            <w:tcMar>
              <w:top w:w="0" w:type="dxa"/>
              <w:left w:w="108" w:type="dxa"/>
              <w:bottom w:w="0" w:type="dxa"/>
              <w:right w:w="108" w:type="dxa"/>
            </w:tcMar>
            <w:hideMark/>
          </w:tcPr>
          <w:p w:rsidR="003307D8" w:rsidRPr="001C0671" w:rsidRDefault="003307D8" w:rsidP="007656D8">
            <w:pPr>
              <w:pStyle w:val="Tabletext"/>
              <w:jc w:val="center"/>
              <w:rPr>
                <w:b/>
                <w:bCs/>
              </w:rPr>
            </w:pPr>
            <w:r w:rsidRPr="001C0671">
              <w:rPr>
                <w:b/>
                <w:bCs/>
              </w:rPr>
              <w:t>ARTÍCULO 10</w:t>
            </w:r>
          </w:p>
          <w:p w:rsidR="003307D8" w:rsidRPr="001C0671" w:rsidRDefault="003307D8" w:rsidP="007656D8">
            <w:pPr>
              <w:pStyle w:val="Tabletext"/>
              <w:spacing w:after="120"/>
              <w:jc w:val="center"/>
              <w:rPr>
                <w:b/>
                <w:bCs/>
              </w:rPr>
            </w:pPr>
            <w:r w:rsidRPr="001C0671">
              <w:rPr>
                <w:b/>
                <w:bCs/>
              </w:rPr>
              <w:t>Disposiciones finales</w:t>
            </w:r>
          </w:p>
          <w:p w:rsidR="003307D8" w:rsidRPr="001C0671" w:rsidRDefault="003307D8" w:rsidP="00E62DB6">
            <w:pPr>
              <w:pStyle w:val="Tabletext"/>
            </w:pPr>
            <w:r w:rsidRPr="001C0671">
              <w:rPr>
                <w:b/>
                <w:bCs/>
              </w:rPr>
              <w:t>61</w:t>
            </w:r>
            <w:r w:rsidR="007656D8" w:rsidRPr="001C0671">
              <w:tab/>
            </w:r>
            <w:r w:rsidRPr="001C0671">
              <w:t>10.1</w:t>
            </w:r>
            <w:r w:rsidRPr="001C0671">
              <w:tab/>
              <w:t>Este Reglamento, del que forman parte integrante los Apéndices 1, 2 y 3, entrará en vigor el 1º de julio de 1990 a las 0001 horas UTC.</w:t>
            </w:r>
          </w:p>
          <w:p w:rsidR="003307D8" w:rsidRPr="001C0671" w:rsidRDefault="003307D8" w:rsidP="00E62DB6">
            <w:pPr>
              <w:pStyle w:val="Tabletext"/>
              <w:rPr>
                <w:highlight w:val="yellow"/>
              </w:rPr>
            </w:pPr>
            <w:r w:rsidRPr="001C0671">
              <w:rPr>
                <w:b/>
                <w:bCs/>
              </w:rPr>
              <w:t>62</w:t>
            </w:r>
            <w:r w:rsidR="007656D8" w:rsidRPr="001C0671">
              <w:tab/>
            </w:r>
            <w:r w:rsidRPr="001C0671">
              <w:t>10.2</w:t>
            </w:r>
            <w:r w:rsidRPr="001C0671">
              <w:tab/>
              <w: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t>
            </w:r>
          </w:p>
          <w:p w:rsidR="003307D8" w:rsidRPr="001C0671" w:rsidRDefault="003307D8" w:rsidP="00E62DB6">
            <w:pPr>
              <w:pStyle w:val="Tabletext"/>
              <w:rPr>
                <w:highlight w:val="yellow"/>
              </w:rPr>
            </w:pPr>
            <w:r w:rsidRPr="001C0671">
              <w:rPr>
                <w:b/>
                <w:bCs/>
              </w:rPr>
              <w:t>63</w:t>
            </w:r>
            <w:r w:rsidR="007656D8" w:rsidRPr="001C0671">
              <w:tab/>
            </w:r>
            <w:r w:rsidRPr="001C0671">
              <w:t>10.3</w:t>
            </w:r>
            <w:r w:rsidRPr="001C0671">
              <w:tab/>
              <w:t>Si un Miembro formula reservas con respecto a la aplicación de una o varias disposiciones contenidas en el Reglamento, los otros Miembros y sus administraciones</w:t>
            </w:r>
            <w:r w:rsidR="001C0671" w:rsidRPr="001C0671">
              <w:rPr>
                <w:rStyle w:val="FootnoteReference"/>
              </w:rPr>
              <w:t>*</w:t>
            </w:r>
            <w:r w:rsidRPr="001C0671">
              <w:t xml:space="preserve"> podrán hacer caso omiso de tal o tales disposiciones en sus relaciones con el Miembro que haya formulado esas reservas y sus administraciones</w:t>
            </w:r>
            <w:r w:rsidR="00D24228" w:rsidRPr="001C0671">
              <w:rPr>
                <w:rStyle w:val="FootnoteReference"/>
              </w:rPr>
              <w:footnoteReference w:customMarkFollows="1" w:id="5"/>
              <w:t>*</w:t>
            </w:r>
            <w:r w:rsidRPr="001C0671">
              <w:t>.</w:t>
            </w:r>
          </w:p>
          <w:p w:rsidR="003307D8" w:rsidRPr="001C0671" w:rsidRDefault="003307D8" w:rsidP="00E62DB6">
            <w:pPr>
              <w:pStyle w:val="Tabletext"/>
            </w:pPr>
            <w:r w:rsidRPr="001C0671">
              <w:rPr>
                <w:b/>
                <w:bCs/>
              </w:rPr>
              <w:lastRenderedPageBreak/>
              <w:t>64</w:t>
            </w:r>
            <w:r w:rsidR="007656D8" w:rsidRPr="001C0671">
              <w:tab/>
            </w:r>
            <w:r w:rsidRPr="001C0671">
              <w:t>10.4</w:t>
            </w:r>
            <w:r w:rsidRPr="001C0671">
              <w:tab/>
              <w:t>Los Miembros de la Unión notificarán al Secretario General su aprobación del Reglamento de las Telecomunicaciones Internacionales adoptado por la Conferencia. El Secretario General informará rápidamente a los Miembros de la recepción de tales notificaciones de aprobación.</w:t>
            </w:r>
          </w:p>
        </w:tc>
        <w:tc>
          <w:tcPr>
            <w:tcW w:w="5244" w:type="dxa"/>
            <w:tcBorders>
              <w:top w:val="nil"/>
              <w:left w:val="nil"/>
              <w:bottom w:val="nil"/>
              <w:right w:val="single" w:sz="8" w:space="0" w:color="auto"/>
            </w:tcBorders>
            <w:tcMar>
              <w:top w:w="0" w:type="dxa"/>
              <w:left w:w="108" w:type="dxa"/>
              <w:bottom w:w="0" w:type="dxa"/>
              <w:right w:w="108" w:type="dxa"/>
            </w:tcMar>
            <w:hideMark/>
          </w:tcPr>
          <w:p w:rsidR="003307D8" w:rsidRPr="001C0671" w:rsidRDefault="003307D8" w:rsidP="007656D8">
            <w:pPr>
              <w:pStyle w:val="Tabletext"/>
              <w:jc w:val="center"/>
              <w:rPr>
                <w:b/>
                <w:bCs/>
              </w:rPr>
            </w:pPr>
            <w:bookmarkStart w:id="121" w:name="lt_pId368"/>
            <w:bookmarkStart w:id="122" w:name="_Toc351752255"/>
            <w:bookmarkStart w:id="123" w:name="_Toc351752826"/>
            <w:r w:rsidRPr="001C0671">
              <w:rPr>
                <w:b/>
                <w:bCs/>
              </w:rPr>
              <w:lastRenderedPageBreak/>
              <w:t>ARTÍCULO 14</w:t>
            </w:r>
            <w:bookmarkEnd w:id="121"/>
            <w:bookmarkEnd w:id="122"/>
            <w:bookmarkEnd w:id="123"/>
          </w:p>
          <w:p w:rsidR="003307D8" w:rsidRPr="001C0671" w:rsidRDefault="003307D8" w:rsidP="007656D8">
            <w:pPr>
              <w:pStyle w:val="Tabletext"/>
              <w:spacing w:after="120"/>
              <w:jc w:val="center"/>
            </w:pPr>
            <w:r w:rsidRPr="001C0671">
              <w:rPr>
                <w:b/>
                <w:bCs/>
              </w:rPr>
              <w:t>Disposiciones finales</w:t>
            </w:r>
          </w:p>
          <w:p w:rsidR="003307D8" w:rsidRPr="001C0671" w:rsidRDefault="003307D8" w:rsidP="00E62DB6">
            <w:pPr>
              <w:pStyle w:val="Tabletext"/>
              <w:rPr>
                <w:rFonts w:cs="Calibri"/>
                <w:lang w:eastAsia="zh-CN"/>
              </w:rPr>
            </w:pPr>
            <w:r w:rsidRPr="001C0671">
              <w:rPr>
                <w:b/>
                <w:color w:val="000000"/>
              </w:rPr>
              <w:t>76</w:t>
            </w:r>
            <w:r w:rsidR="007656D8" w:rsidRPr="001C0671">
              <w:tab/>
              <w:t>14.1</w:t>
            </w:r>
            <w:r w:rsidR="007656D8" w:rsidRPr="001C0671">
              <w:tab/>
            </w:r>
            <w:r w:rsidRPr="001C0671">
              <w:t xml:space="preserve">Este Reglamento, del que forman parte integrante los Apéndices 1 y 2 entrará en vigor el 1 de enero de 2015 y se aplicará a partir de dicha fecha de conformidad con lo dispuesto en el </w:t>
            </w:r>
            <w:r w:rsidRPr="001C0671">
              <w:rPr>
                <w:rFonts w:asciiTheme="minorHAnsi" w:eastAsia="Batang" w:hAnsiTheme="minorHAnsi"/>
              </w:rPr>
              <w:t>Artículo</w:t>
            </w:r>
            <w:r w:rsidRPr="001C0671">
              <w:t xml:space="preserve"> 54 de la Constitución</w:t>
            </w:r>
            <w:r w:rsidRPr="001C0671">
              <w:rPr>
                <w:rFonts w:cs="Calibri"/>
                <w:lang w:eastAsia="zh-CN"/>
              </w:rPr>
              <w:t>.</w:t>
            </w:r>
          </w:p>
          <w:p w:rsidR="003307D8" w:rsidRPr="001C0671" w:rsidRDefault="003307D8" w:rsidP="00E62DB6">
            <w:pPr>
              <w:pStyle w:val="Tabletext"/>
              <w:rPr>
                <w:rFonts w:cs="Calibri"/>
                <w:lang w:eastAsia="zh-CN"/>
              </w:rPr>
            </w:pPr>
            <w:r w:rsidRPr="001C0671">
              <w:rPr>
                <w:b/>
                <w:color w:val="000000"/>
              </w:rPr>
              <w:t>77</w:t>
            </w:r>
            <w:r w:rsidR="007656D8" w:rsidRPr="001C0671">
              <w:rPr>
                <w:bCs/>
                <w:color w:val="000000"/>
              </w:rPr>
              <w:tab/>
            </w:r>
            <w:r w:rsidR="007656D8" w:rsidRPr="001C0671">
              <w:t>14.2</w:t>
            </w:r>
            <w:r w:rsidRPr="001C0671">
              <w:tab/>
              <w: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t>
            </w:r>
            <w:r w:rsidRPr="001C0671">
              <w:rPr>
                <w:rFonts w:cs="Calibri"/>
                <w:lang w:eastAsia="zh-CN"/>
              </w:rPr>
              <w:t>.</w:t>
            </w:r>
          </w:p>
        </w:tc>
      </w:tr>
      <w:tr w:rsidR="003307D8" w:rsidRPr="001C0671" w:rsidTr="002E722B">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7D8" w:rsidRPr="001C0671" w:rsidRDefault="003307D8" w:rsidP="007656D8">
            <w:pPr>
              <w:pStyle w:val="Tabletext"/>
            </w:pPr>
            <w:bookmarkStart w:id="124" w:name="lt_pId374"/>
            <w:r w:rsidRPr="001C0671">
              <w:rPr>
                <w:b/>
              </w:rPr>
              <w:t>Comentario</w:t>
            </w:r>
            <w:r w:rsidRPr="001C0671">
              <w:t>:</w:t>
            </w:r>
            <w:bookmarkEnd w:id="124"/>
            <w:r w:rsidRPr="001C0671">
              <w:t xml:space="preserve"> </w:t>
            </w:r>
            <w:bookmarkStart w:id="125" w:name="lt_pId375"/>
            <w:r w:rsidRPr="001C0671">
              <w:t>Actualización de disposiciones obsoletas.</w:t>
            </w:r>
            <w:bookmarkEnd w:id="125"/>
          </w:p>
        </w:tc>
      </w:tr>
    </w:tbl>
    <w:p w:rsidR="007354BB" w:rsidRDefault="007354BB" w:rsidP="002E722B">
      <w:pPr>
        <w:pStyle w:val="Reasons"/>
      </w:pPr>
    </w:p>
    <w:p w:rsidR="007354BB" w:rsidRDefault="007354BB">
      <w:pPr>
        <w:jc w:val="center"/>
      </w:pPr>
      <w:r>
        <w:t>______________</w:t>
      </w:r>
    </w:p>
    <w:sectPr w:rsidR="007354BB"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22B" w:rsidRDefault="002E722B">
      <w:r>
        <w:separator/>
      </w:r>
    </w:p>
  </w:endnote>
  <w:endnote w:type="continuationSeparator" w:id="0">
    <w:p w:rsidR="002E722B" w:rsidRDefault="002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2B" w:rsidRPr="007354BB" w:rsidRDefault="002E722B" w:rsidP="007354BB">
    <w:pPr>
      <w:pStyle w:val="Footer"/>
    </w:pPr>
    <w:fldSimple w:instr=" FILENAME \p  \* MERGEFORMAT ">
      <w:r w:rsidR="00E62DB6">
        <w:t>P:\ESP\SG\CONSEIL\EG-ITR\EG-ITR-3\000\009S.docx</w:t>
      </w:r>
    </w:fldSimple>
    <w:r>
      <w:t xml:space="preserve"> (430388)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2B" w:rsidRDefault="002E722B">
    <w:pPr>
      <w:spacing w:after="120"/>
      <w:jc w:val="center"/>
    </w:pPr>
    <w:r>
      <w:t xml:space="preserve">• </w:t>
    </w:r>
    <w:hyperlink r:id="rId1" w:history="1">
      <w:r>
        <w:rPr>
          <w:rStyle w:val="Hyperlink"/>
        </w:rPr>
        <w:t>http://www.itu.int/council</w:t>
      </w:r>
    </w:hyperlink>
    <w:r>
      <w:t xml:space="preserve"> •</w:t>
    </w:r>
  </w:p>
  <w:p w:rsidR="002E722B" w:rsidRPr="007354BB" w:rsidRDefault="002E722B" w:rsidP="007354BB">
    <w:pPr>
      <w:pStyle w:val="Footer"/>
    </w:pPr>
    <w:fldSimple w:instr=" FILENAME \p  \* MERGEFORMAT ">
      <w:r w:rsidR="00E62DB6">
        <w:t>P:\ESP\SG\CONSEIL\EG-ITR\EG-ITR-3\000\009S.docx</w:t>
      </w:r>
    </w:fldSimple>
    <w:r>
      <w:t xml:space="preserve"> (430388)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22B" w:rsidRDefault="002E722B">
      <w:r>
        <w:t>____________________</w:t>
      </w:r>
    </w:p>
  </w:footnote>
  <w:footnote w:type="continuationSeparator" w:id="0">
    <w:p w:rsidR="002E722B" w:rsidRDefault="002E722B">
      <w:r>
        <w:continuationSeparator/>
      </w:r>
    </w:p>
  </w:footnote>
  <w:footnote w:id="1">
    <w:p w:rsidR="002E722B" w:rsidRPr="00987AC3" w:rsidRDefault="002E722B" w:rsidP="003307D8">
      <w:pPr>
        <w:pStyle w:val="FootnoteText"/>
        <w:rPr>
          <w:lang w:val="es-ES"/>
        </w:rPr>
      </w:pPr>
      <w:r>
        <w:rPr>
          <w:rStyle w:val="FootnoteReference"/>
        </w:rPr>
        <w:t>*</w:t>
      </w:r>
      <w:r>
        <w:tab/>
      </w:r>
      <w:r w:rsidRPr="00987AC3">
        <w:t>o empresa(s) privada(</w:t>
      </w:r>
      <w:r>
        <w:t>s) de explotación reconocida(s).</w:t>
      </w:r>
    </w:p>
  </w:footnote>
  <w:footnote w:id="2">
    <w:p w:rsidR="002E722B" w:rsidRPr="00987AC3" w:rsidRDefault="002E722B" w:rsidP="002E722B">
      <w:pPr>
        <w:pStyle w:val="FootnoteText"/>
        <w:rPr>
          <w:lang w:val="es-ES"/>
        </w:rPr>
      </w:pPr>
      <w:r>
        <w:rPr>
          <w:rStyle w:val="FootnoteReference"/>
        </w:rPr>
        <w:t>*</w:t>
      </w:r>
      <w:r>
        <w:tab/>
      </w:r>
      <w:r w:rsidRPr="00987AC3">
        <w:t>o empresa(s) privada(</w:t>
      </w:r>
      <w:r>
        <w:t>s) de explotación reconocida(s).</w:t>
      </w:r>
    </w:p>
  </w:footnote>
  <w:footnote w:id="3">
    <w:p w:rsidR="002E722B" w:rsidRPr="00987AC3" w:rsidRDefault="002E722B" w:rsidP="002E722B">
      <w:pPr>
        <w:pStyle w:val="FootnoteText"/>
        <w:rPr>
          <w:lang w:val="es-ES"/>
        </w:rPr>
      </w:pPr>
      <w:r>
        <w:rPr>
          <w:rStyle w:val="FootnoteReference"/>
        </w:rPr>
        <w:t>*</w:t>
      </w:r>
      <w:r>
        <w:tab/>
      </w:r>
      <w:r w:rsidRPr="00987AC3">
        <w:t>o empresa(s) privada(</w:t>
      </w:r>
      <w:r>
        <w:t>s) de explotación reconocida(s).</w:t>
      </w:r>
    </w:p>
  </w:footnote>
  <w:footnote w:id="4">
    <w:p w:rsidR="002E722B" w:rsidRPr="00987AC3" w:rsidRDefault="002E722B" w:rsidP="002E722B">
      <w:pPr>
        <w:pStyle w:val="FootnoteText"/>
        <w:rPr>
          <w:lang w:val="es-ES"/>
        </w:rPr>
      </w:pPr>
      <w:r>
        <w:rPr>
          <w:rStyle w:val="FootnoteReference"/>
        </w:rPr>
        <w:t>*</w:t>
      </w:r>
      <w:r>
        <w:tab/>
      </w:r>
      <w:r w:rsidRPr="00987AC3">
        <w:t>o empresa(s) privada(</w:t>
      </w:r>
      <w:r>
        <w:t>s) de explotación reconocida(s).</w:t>
      </w:r>
    </w:p>
  </w:footnote>
  <w:footnote w:id="5">
    <w:p w:rsidR="00D24228" w:rsidRPr="00987AC3" w:rsidRDefault="00D24228" w:rsidP="00D24228">
      <w:pPr>
        <w:pStyle w:val="FootnoteText"/>
        <w:rPr>
          <w:lang w:val="es-ES"/>
        </w:rPr>
      </w:pPr>
      <w:r>
        <w:rPr>
          <w:rStyle w:val="FootnoteReference"/>
        </w:rPr>
        <w:t>*</w:t>
      </w:r>
      <w:r>
        <w:tab/>
      </w:r>
      <w:r w:rsidRPr="00987AC3">
        <w:t>o empresa(s) privada(</w:t>
      </w:r>
      <w:r>
        <w:t>s) de explotación reconocida(s).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2B" w:rsidRDefault="002E722B" w:rsidP="007657F0">
    <w:pPr>
      <w:pStyle w:val="Header"/>
    </w:pPr>
    <w:r>
      <w:fldChar w:fldCharType="begin"/>
    </w:r>
    <w:r>
      <w:instrText>PAGE</w:instrText>
    </w:r>
    <w:r>
      <w:fldChar w:fldCharType="separate"/>
    </w:r>
    <w:r w:rsidR="0084238A">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62C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1AA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4A86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A0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365B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885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FAD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188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52F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7CA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0E09"/>
    <w:multiLevelType w:val="hybridMultilevel"/>
    <w:tmpl w:val="180017EC"/>
    <w:lvl w:ilvl="0" w:tplc="2806F106">
      <w:start w:val="1"/>
      <w:numFmt w:val="upperRoman"/>
      <w:lvlText w:val="%1."/>
      <w:lvlJc w:val="left"/>
      <w:pPr>
        <w:ind w:left="1609" w:hanging="9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3920C4C"/>
    <w:multiLevelType w:val="hybridMultilevel"/>
    <w:tmpl w:val="5AFCFC3E"/>
    <w:lvl w:ilvl="0" w:tplc="8E886EDC">
      <w:start w:val="4"/>
      <w:numFmt w:val="bullet"/>
      <w:lvlText w:val="-"/>
      <w:lvlJc w:val="left"/>
      <w:pPr>
        <w:ind w:left="470" w:hanging="360"/>
      </w:pPr>
      <w:rPr>
        <w:rFonts w:ascii="Calibri" w:eastAsia="MS Mincho" w:hAnsi="Calibri"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F2805"/>
    <w:multiLevelType w:val="hybridMultilevel"/>
    <w:tmpl w:val="1CF2EA16"/>
    <w:lvl w:ilvl="0" w:tplc="870448B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564D1AB2"/>
    <w:multiLevelType w:val="hybridMultilevel"/>
    <w:tmpl w:val="188AB396"/>
    <w:lvl w:ilvl="0" w:tplc="F626DBEC">
      <w:start w:val="1"/>
      <w:numFmt w:val="decimal"/>
      <w:lvlText w:val="%1."/>
      <w:lvlJc w:val="left"/>
      <w:pPr>
        <w:ind w:left="1144" w:hanging="435"/>
      </w:pPr>
      <w:rPr>
        <w:rFonts w:hint="default"/>
        <w:lang w:val="es-ES_tradn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B3669DD"/>
    <w:multiLevelType w:val="multilevel"/>
    <w:tmpl w:val="1B0E578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64623F5F"/>
    <w:multiLevelType w:val="hybridMultilevel"/>
    <w:tmpl w:val="E5F47FBE"/>
    <w:lvl w:ilvl="0" w:tplc="134CB704">
      <w:start w:val="1"/>
      <w:numFmt w:val="bullet"/>
      <w:lvlText w:val="-"/>
      <w:lvlJc w:val="left"/>
      <w:pPr>
        <w:ind w:left="1504" w:hanging="360"/>
      </w:pPr>
      <w:rPr>
        <w:rFonts w:ascii="Calibri" w:eastAsia="Times New Roman" w:hAnsi="Calibri" w:cs="Times New Roman" w:hint="default"/>
        <w:lang w:val="es-ES_tradnl"/>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7"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40413E"/>
    <w:multiLevelType w:val="hybridMultilevel"/>
    <w:tmpl w:val="63ECECD2"/>
    <w:lvl w:ilvl="0" w:tplc="BDE6CDA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9B6B24"/>
    <w:multiLevelType w:val="hybridMultilevel"/>
    <w:tmpl w:val="DEF894A6"/>
    <w:lvl w:ilvl="0" w:tplc="E4EA787E">
      <w:start w:val="20"/>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7"/>
  </w:num>
  <w:num w:numId="14">
    <w:abstractNumId w:val="15"/>
  </w:num>
  <w:num w:numId="15">
    <w:abstractNumId w:val="11"/>
  </w:num>
  <w:num w:numId="16">
    <w:abstractNumId w:val="10"/>
  </w:num>
  <w:num w:numId="17">
    <w:abstractNumId w:val="13"/>
  </w:num>
  <w:num w:numId="18">
    <w:abstractNumId w:val="14"/>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5"/>
    <w:rsid w:val="0007223F"/>
    <w:rsid w:val="000735FA"/>
    <w:rsid w:val="00093EEB"/>
    <w:rsid w:val="000B0D00"/>
    <w:rsid w:val="000B7C15"/>
    <w:rsid w:val="000D022A"/>
    <w:rsid w:val="000D1D0F"/>
    <w:rsid w:val="000F5290"/>
    <w:rsid w:val="0010165C"/>
    <w:rsid w:val="00146BFB"/>
    <w:rsid w:val="001C0671"/>
    <w:rsid w:val="001F14A2"/>
    <w:rsid w:val="00231143"/>
    <w:rsid w:val="00270945"/>
    <w:rsid w:val="002801AA"/>
    <w:rsid w:val="002C4676"/>
    <w:rsid w:val="002C70B0"/>
    <w:rsid w:val="002E3EA8"/>
    <w:rsid w:val="002E722B"/>
    <w:rsid w:val="002F3CC4"/>
    <w:rsid w:val="003307D8"/>
    <w:rsid w:val="003574E0"/>
    <w:rsid w:val="0040595D"/>
    <w:rsid w:val="004127D8"/>
    <w:rsid w:val="004F4CD1"/>
    <w:rsid w:val="00513630"/>
    <w:rsid w:val="00560125"/>
    <w:rsid w:val="00585553"/>
    <w:rsid w:val="005B34D9"/>
    <w:rsid w:val="005D0CCF"/>
    <w:rsid w:val="005F410F"/>
    <w:rsid w:val="0060149A"/>
    <w:rsid w:val="00601924"/>
    <w:rsid w:val="006447EA"/>
    <w:rsid w:val="0064731F"/>
    <w:rsid w:val="006710F6"/>
    <w:rsid w:val="006C1B56"/>
    <w:rsid w:val="006D4761"/>
    <w:rsid w:val="00704749"/>
    <w:rsid w:val="00726872"/>
    <w:rsid w:val="007354BB"/>
    <w:rsid w:val="00735ABE"/>
    <w:rsid w:val="00760F1C"/>
    <w:rsid w:val="007656D8"/>
    <w:rsid w:val="007657F0"/>
    <w:rsid w:val="0077252D"/>
    <w:rsid w:val="007C4B98"/>
    <w:rsid w:val="007E5DD3"/>
    <w:rsid w:val="007F350B"/>
    <w:rsid w:val="00820BE4"/>
    <w:rsid w:val="0084238A"/>
    <w:rsid w:val="008451E8"/>
    <w:rsid w:val="008701EF"/>
    <w:rsid w:val="00913B9C"/>
    <w:rsid w:val="00956E77"/>
    <w:rsid w:val="00991906"/>
    <w:rsid w:val="00A322A1"/>
    <w:rsid w:val="00A77535"/>
    <w:rsid w:val="00AA390C"/>
    <w:rsid w:val="00B0200A"/>
    <w:rsid w:val="00B31140"/>
    <w:rsid w:val="00B574DB"/>
    <w:rsid w:val="00B826C2"/>
    <w:rsid w:val="00B8298E"/>
    <w:rsid w:val="00BB571F"/>
    <w:rsid w:val="00BD0723"/>
    <w:rsid w:val="00BD15CC"/>
    <w:rsid w:val="00BD2518"/>
    <w:rsid w:val="00BF1D1C"/>
    <w:rsid w:val="00C20C59"/>
    <w:rsid w:val="00C42445"/>
    <w:rsid w:val="00C55B1F"/>
    <w:rsid w:val="00CF1A67"/>
    <w:rsid w:val="00D11D45"/>
    <w:rsid w:val="00D15232"/>
    <w:rsid w:val="00D24228"/>
    <w:rsid w:val="00D2750E"/>
    <w:rsid w:val="00D60F48"/>
    <w:rsid w:val="00D62446"/>
    <w:rsid w:val="00D92832"/>
    <w:rsid w:val="00DA4EA2"/>
    <w:rsid w:val="00DC3D3E"/>
    <w:rsid w:val="00DE2C90"/>
    <w:rsid w:val="00DE3B24"/>
    <w:rsid w:val="00E06947"/>
    <w:rsid w:val="00E3592D"/>
    <w:rsid w:val="00E62DB6"/>
    <w:rsid w:val="00E806BD"/>
    <w:rsid w:val="00E92DE8"/>
    <w:rsid w:val="00EA5972"/>
    <w:rsid w:val="00EB1212"/>
    <w:rsid w:val="00ED65AB"/>
    <w:rsid w:val="00F12850"/>
    <w:rsid w:val="00F33BF4"/>
    <w:rsid w:val="00F7105E"/>
    <w:rsid w:val="00F75F57"/>
    <w:rsid w:val="00F82FEE"/>
    <w:rsid w:val="00FD187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86C051-9871-4589-AD3E-5FAEA29F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0735FA"/>
    <w:rPr>
      <w:rFonts w:ascii="Times New Roman" w:hAnsi="Times New Roman"/>
      <w:szCs w:val="24"/>
    </w:rPr>
  </w:style>
  <w:style w:type="character" w:customStyle="1" w:styleId="FootnoteTextChar">
    <w:name w:val="Footnote Text Char"/>
    <w:basedOn w:val="DefaultParagraphFont"/>
    <w:link w:val="FootnoteText"/>
    <w:locked/>
    <w:rsid w:val="00735ABE"/>
    <w:rPr>
      <w:rFonts w:ascii="Calibri" w:hAnsi="Calibri"/>
      <w:sz w:val="24"/>
      <w:lang w:val="es-ES_tradnl" w:eastAsia="en-US"/>
    </w:rPr>
  </w:style>
  <w:style w:type="paragraph" w:customStyle="1" w:styleId="Normal1">
    <w:name w:val="Normal1"/>
    <w:rsid w:val="003307D8"/>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ListParagraph">
    <w:name w:val="List Paragraph"/>
    <w:basedOn w:val="Normal"/>
    <w:uiPriority w:val="34"/>
    <w:qFormat/>
    <w:rsid w:val="003307D8"/>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3307D8"/>
    <w:rPr>
      <w:rFonts w:ascii="Times New Roman" w:eastAsia="MS Mincho"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tdef">
    <w:name w:val="Art_def"/>
    <w:basedOn w:val="DefaultParagraphFont"/>
    <w:rsid w:val="003307D8"/>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9BF4-9B06-4AE0-B21E-C8182716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153</TotalTime>
  <Pages>14</Pages>
  <Words>5584</Words>
  <Characters>32480</Characters>
  <Application>Microsoft Office Word</Application>
  <DocSecurity>0</DocSecurity>
  <Lines>270</Lines>
  <Paragraphs>75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37989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Spanish83</cp:lastModifiedBy>
  <cp:revision>7</cp:revision>
  <cp:lastPrinted>2018-01-16T14:52:00Z</cp:lastPrinted>
  <dcterms:created xsi:type="dcterms:W3CDTF">2018-01-16T09:02:00Z</dcterms:created>
  <dcterms:modified xsi:type="dcterms:W3CDTF">2018-01-16T14:59:00Z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