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horzAnchor="margin" w:tblpY="-674"/>
        <w:tblW w:w="10314" w:type="dxa"/>
        <w:tblLayout w:type="fixed"/>
        <w:tblLook w:val="0000" w:firstRow="0" w:lastRow="0" w:firstColumn="0" w:lastColumn="0" w:noHBand="0" w:noVBand="0"/>
      </w:tblPr>
      <w:tblGrid>
        <w:gridCol w:w="6521"/>
        <w:gridCol w:w="3793"/>
      </w:tblGrid>
      <w:tr w:rsidR="005F153A" w:rsidTr="000F2E67">
        <w:trPr>
          <w:cantSplit/>
        </w:trPr>
        <w:tc>
          <w:tcPr>
            <w:tcW w:w="6521" w:type="dxa"/>
          </w:tcPr>
          <w:p w:rsidR="004E5922" w:rsidRDefault="007B5254" w:rsidP="007B5254">
            <w:pPr>
              <w:spacing w:before="240" w:after="48"/>
              <w:rPr>
                <w:rFonts w:asciiTheme="minorHAnsi" w:hAnsiTheme="minorHAnsi"/>
                <w:b/>
                <w:position w:val="6"/>
                <w:sz w:val="30"/>
                <w:szCs w:val="30"/>
              </w:rPr>
            </w:pPr>
            <w:bookmarkStart w:id="0" w:name="dc06"/>
            <w:bookmarkStart w:id="1" w:name="_GoBack"/>
            <w:bookmarkEnd w:id="0"/>
            <w:bookmarkEnd w:id="1"/>
            <w:r>
              <w:rPr>
                <w:rFonts w:asciiTheme="minorHAnsi" w:hAnsiTheme="minorHAnsi"/>
                <w:b/>
                <w:position w:val="6"/>
                <w:sz w:val="30"/>
                <w:szCs w:val="30"/>
              </w:rPr>
              <w:t>Expert</w:t>
            </w:r>
            <w:r w:rsidR="000F2E67" w:rsidRPr="000F2E67">
              <w:rPr>
                <w:rFonts w:asciiTheme="minorHAnsi" w:hAnsiTheme="minorHAnsi"/>
                <w:b/>
                <w:position w:val="6"/>
                <w:sz w:val="30"/>
                <w:szCs w:val="30"/>
              </w:rPr>
              <w:t xml:space="preserve"> Group on </w:t>
            </w:r>
            <w:r>
              <w:rPr>
                <w:rFonts w:asciiTheme="minorHAnsi" w:hAnsiTheme="minorHAnsi"/>
                <w:b/>
                <w:position w:val="6"/>
                <w:sz w:val="30"/>
                <w:szCs w:val="30"/>
              </w:rPr>
              <w:t xml:space="preserve">the </w:t>
            </w:r>
            <w:r>
              <w:rPr>
                <w:rFonts w:asciiTheme="minorHAnsi" w:hAnsiTheme="minorHAnsi"/>
                <w:b/>
                <w:position w:val="6"/>
                <w:sz w:val="30"/>
                <w:szCs w:val="30"/>
              </w:rPr>
              <w:br/>
            </w:r>
            <w:r w:rsidR="001B506B">
              <w:rPr>
                <w:rFonts w:asciiTheme="minorHAnsi" w:hAnsiTheme="minorHAnsi"/>
                <w:b/>
                <w:position w:val="6"/>
                <w:sz w:val="30"/>
                <w:szCs w:val="30"/>
              </w:rPr>
              <w:t>International</w:t>
            </w:r>
            <w:r>
              <w:rPr>
                <w:rFonts w:asciiTheme="minorHAnsi" w:hAnsiTheme="minorHAnsi"/>
                <w:b/>
                <w:position w:val="6"/>
                <w:sz w:val="30"/>
                <w:szCs w:val="30"/>
              </w:rPr>
              <w:t xml:space="preserve"> Telecommunication Regulations</w:t>
            </w:r>
          </w:p>
          <w:p w:rsidR="005F153A" w:rsidRPr="00D613F6" w:rsidRDefault="007B5254" w:rsidP="00DE6AB7">
            <w:pPr>
              <w:spacing w:after="120"/>
              <w:rPr>
                <w:rFonts w:asciiTheme="minorHAnsi" w:hAnsiTheme="minorHAnsi"/>
                <w:b/>
                <w:position w:val="6"/>
                <w:sz w:val="26"/>
                <w:szCs w:val="26"/>
              </w:rPr>
            </w:pPr>
            <w:r>
              <w:rPr>
                <w:rFonts w:asciiTheme="minorHAnsi" w:hAnsiTheme="minorHAnsi" w:cs="Times New Roman Bold"/>
                <w:b/>
                <w:sz w:val="24"/>
              </w:rPr>
              <w:t>Third</w:t>
            </w:r>
            <w:r w:rsidR="001B506B">
              <w:rPr>
                <w:rFonts w:asciiTheme="minorHAnsi" w:hAnsiTheme="minorHAnsi" w:cs="Times New Roman Bold"/>
                <w:b/>
                <w:sz w:val="24"/>
              </w:rPr>
              <w:t xml:space="preserve"> meeting</w:t>
            </w:r>
            <w:r w:rsidR="001B506B" w:rsidRPr="001B506B">
              <w:rPr>
                <w:rFonts w:asciiTheme="minorHAnsi" w:hAnsiTheme="minorHAnsi" w:cs="Times New Roman Bold"/>
                <w:b/>
                <w:sz w:val="24"/>
              </w:rPr>
              <w:t xml:space="preserve"> </w:t>
            </w:r>
            <w:r w:rsidR="001B506B" w:rsidRPr="001B506B">
              <w:rPr>
                <w:rFonts w:ascii="Calibri" w:eastAsia="Calibri" w:hAnsi="Calibri" w:cs="Calibri"/>
                <w:b/>
                <w:color w:val="000000"/>
                <w:sz w:val="24"/>
              </w:rPr>
              <w:t>–</w:t>
            </w:r>
            <w:r w:rsidR="005F153A" w:rsidRPr="000F2E67">
              <w:rPr>
                <w:rFonts w:asciiTheme="minorHAnsi" w:hAnsiTheme="minorHAnsi" w:cs="Times New Roman Bold"/>
                <w:b/>
                <w:sz w:val="24"/>
              </w:rPr>
              <w:t xml:space="preserve"> Geneva, </w:t>
            </w:r>
            <w:r w:rsidR="00DE6AB7">
              <w:rPr>
                <w:rFonts w:asciiTheme="minorHAnsi" w:hAnsiTheme="minorHAnsi" w:cs="Times New Roman Bold"/>
                <w:b/>
                <w:sz w:val="24"/>
              </w:rPr>
              <w:t>17-19</w:t>
            </w:r>
            <w:r w:rsidR="000F2E67" w:rsidRPr="000F2E67">
              <w:rPr>
                <w:rFonts w:asciiTheme="minorHAnsi" w:hAnsiTheme="minorHAnsi" w:cs="Times New Roman Bold"/>
                <w:b/>
                <w:sz w:val="24"/>
              </w:rPr>
              <w:t xml:space="preserve"> </w:t>
            </w:r>
            <w:r w:rsidR="00DE6AB7">
              <w:rPr>
                <w:rFonts w:asciiTheme="minorHAnsi" w:hAnsiTheme="minorHAnsi" w:cs="Times New Roman Bold"/>
                <w:b/>
                <w:sz w:val="24"/>
              </w:rPr>
              <w:t>January 2018</w:t>
            </w:r>
          </w:p>
        </w:tc>
        <w:tc>
          <w:tcPr>
            <w:tcW w:w="3793" w:type="dxa"/>
          </w:tcPr>
          <w:p w:rsidR="005F153A" w:rsidRPr="00D613F6" w:rsidRDefault="005F153A" w:rsidP="001B506B">
            <w:pPr>
              <w:spacing w:before="120" w:line="240" w:lineRule="atLeast"/>
            </w:pPr>
            <w:bookmarkStart w:id="2" w:name="ditulogo"/>
            <w:bookmarkEnd w:id="2"/>
            <w:r>
              <w:rPr>
                <w:noProof/>
              </w:rPr>
              <w:drawing>
                <wp:inline distT="0" distB="0" distL="0" distR="0" wp14:anchorId="71D3A4F3" wp14:editId="5F6BE467">
                  <wp:extent cx="1765300" cy="74422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0" cy="744220"/>
                          </a:xfrm>
                          <a:prstGeom prst="rect">
                            <a:avLst/>
                          </a:prstGeom>
                          <a:noFill/>
                          <a:ln>
                            <a:noFill/>
                          </a:ln>
                        </pic:spPr>
                      </pic:pic>
                    </a:graphicData>
                  </a:graphic>
                </wp:inline>
              </w:drawing>
            </w:r>
          </w:p>
        </w:tc>
      </w:tr>
      <w:tr w:rsidR="005F153A" w:rsidRPr="00617BE4" w:rsidTr="000F2E67">
        <w:trPr>
          <w:cantSplit/>
        </w:trPr>
        <w:tc>
          <w:tcPr>
            <w:tcW w:w="6521" w:type="dxa"/>
            <w:tcBorders>
              <w:top w:val="single" w:sz="12" w:space="0" w:color="auto"/>
            </w:tcBorders>
          </w:tcPr>
          <w:p w:rsidR="005F153A" w:rsidRPr="00D613F6" w:rsidRDefault="005F153A" w:rsidP="000F2E67">
            <w:pPr>
              <w:snapToGrid w:val="0"/>
              <w:rPr>
                <w:b/>
                <w:smallCaps/>
              </w:rPr>
            </w:pPr>
          </w:p>
        </w:tc>
        <w:tc>
          <w:tcPr>
            <w:tcW w:w="3793" w:type="dxa"/>
            <w:tcBorders>
              <w:top w:val="single" w:sz="12" w:space="0" w:color="auto"/>
            </w:tcBorders>
          </w:tcPr>
          <w:p w:rsidR="005F153A" w:rsidRPr="00D613F6" w:rsidRDefault="005F153A" w:rsidP="000F2E67">
            <w:pPr>
              <w:snapToGrid w:val="0"/>
              <w:ind w:left="209"/>
              <w:rPr>
                <w:rFonts w:ascii="Verdana" w:hAnsi="Verdana"/>
              </w:rPr>
            </w:pPr>
          </w:p>
        </w:tc>
      </w:tr>
      <w:tr w:rsidR="005F153A" w:rsidRPr="001B506B" w:rsidTr="000F2E67">
        <w:trPr>
          <w:cantSplit/>
          <w:trHeight w:val="23"/>
        </w:trPr>
        <w:tc>
          <w:tcPr>
            <w:tcW w:w="6521" w:type="dxa"/>
            <w:vMerge w:val="restart"/>
          </w:tcPr>
          <w:p w:rsidR="005F153A" w:rsidRPr="00D613F6" w:rsidRDefault="005F153A" w:rsidP="000F2E67">
            <w:pPr>
              <w:snapToGrid w:val="0"/>
              <w:rPr>
                <w:rFonts w:asciiTheme="minorHAnsi" w:hAnsiTheme="minorHAnsi"/>
                <w:b/>
              </w:rPr>
            </w:pPr>
            <w:bookmarkStart w:id="3" w:name="dmeeting" w:colFirst="0" w:colLast="0"/>
            <w:bookmarkStart w:id="4" w:name="dnum" w:colFirst="1" w:colLast="1"/>
          </w:p>
        </w:tc>
        <w:tc>
          <w:tcPr>
            <w:tcW w:w="3793" w:type="dxa"/>
          </w:tcPr>
          <w:p w:rsidR="005F153A" w:rsidRPr="000F2E67" w:rsidRDefault="005F153A" w:rsidP="00F629DB">
            <w:pPr>
              <w:snapToGrid w:val="0"/>
              <w:ind w:left="57"/>
              <w:rPr>
                <w:rFonts w:asciiTheme="minorHAnsi" w:hAnsiTheme="minorHAnsi" w:cs="Times New Roman Bold"/>
                <w:b/>
                <w:spacing w:val="-4"/>
                <w:sz w:val="24"/>
                <w:lang w:val="de-CH"/>
              </w:rPr>
            </w:pPr>
            <w:r w:rsidRPr="000F2E67">
              <w:rPr>
                <w:rFonts w:asciiTheme="minorHAnsi" w:hAnsiTheme="minorHAnsi" w:cs="Times New Roman Bold"/>
                <w:b/>
                <w:spacing w:val="-4"/>
                <w:sz w:val="24"/>
                <w:lang w:val="de-CH"/>
              </w:rPr>
              <w:t xml:space="preserve">Document </w:t>
            </w:r>
            <w:r w:rsidR="007B5254">
              <w:rPr>
                <w:rFonts w:asciiTheme="minorHAnsi" w:hAnsiTheme="minorHAnsi" w:cs="Times New Roman Bold"/>
                <w:b/>
                <w:spacing w:val="-4"/>
                <w:sz w:val="24"/>
                <w:lang w:val="de-CH"/>
              </w:rPr>
              <w:t>EG-ITRs</w:t>
            </w:r>
            <w:r w:rsidR="00DE6AB7">
              <w:rPr>
                <w:rFonts w:asciiTheme="minorHAnsi" w:hAnsiTheme="minorHAnsi" w:cs="Times New Roman Bold"/>
                <w:b/>
                <w:spacing w:val="-4"/>
                <w:sz w:val="24"/>
                <w:lang w:val="de-CH"/>
              </w:rPr>
              <w:t>-</w:t>
            </w:r>
            <w:r w:rsidR="007B5254">
              <w:rPr>
                <w:rFonts w:asciiTheme="minorHAnsi" w:hAnsiTheme="minorHAnsi" w:cs="Times New Roman Bold"/>
                <w:b/>
                <w:spacing w:val="-4"/>
                <w:sz w:val="24"/>
                <w:lang w:val="de-CH"/>
              </w:rPr>
              <w:t>3</w:t>
            </w:r>
            <w:r w:rsidRPr="000F2E67">
              <w:rPr>
                <w:rFonts w:asciiTheme="minorHAnsi" w:hAnsiTheme="minorHAnsi" w:cs="Times New Roman Bold"/>
                <w:b/>
                <w:spacing w:val="-4"/>
                <w:sz w:val="24"/>
                <w:lang w:val="de-CH"/>
              </w:rPr>
              <w:t>/</w:t>
            </w:r>
            <w:r w:rsidR="00F629DB">
              <w:rPr>
                <w:rFonts w:asciiTheme="minorHAnsi" w:hAnsiTheme="minorHAnsi" w:cs="Times New Roman Bold"/>
                <w:b/>
                <w:spacing w:val="-4"/>
                <w:sz w:val="24"/>
                <w:lang w:val="de-CH"/>
              </w:rPr>
              <w:t>8</w:t>
            </w:r>
            <w:r w:rsidR="006B460D" w:rsidRPr="000F2E67">
              <w:rPr>
                <w:rFonts w:asciiTheme="minorHAnsi" w:hAnsiTheme="minorHAnsi" w:cs="Times New Roman Bold"/>
                <w:b/>
                <w:spacing w:val="-4"/>
                <w:sz w:val="24"/>
                <w:lang w:val="de-CH"/>
              </w:rPr>
              <w:t>-E</w:t>
            </w:r>
          </w:p>
        </w:tc>
      </w:tr>
      <w:tr w:rsidR="005F153A" w:rsidRPr="00E544AC" w:rsidTr="000F2E67">
        <w:trPr>
          <w:cantSplit/>
          <w:trHeight w:val="23"/>
        </w:trPr>
        <w:tc>
          <w:tcPr>
            <w:tcW w:w="6521" w:type="dxa"/>
            <w:vMerge/>
          </w:tcPr>
          <w:p w:rsidR="005F153A" w:rsidRPr="00D613F6" w:rsidRDefault="005F153A" w:rsidP="000F2E67">
            <w:pPr>
              <w:snapToGrid w:val="0"/>
              <w:rPr>
                <w:rFonts w:asciiTheme="minorHAnsi" w:hAnsiTheme="minorHAnsi"/>
                <w:b/>
                <w:lang w:val="de-CH"/>
              </w:rPr>
            </w:pPr>
            <w:bookmarkStart w:id="5" w:name="ddate" w:colFirst="1" w:colLast="1"/>
            <w:bookmarkEnd w:id="3"/>
            <w:bookmarkEnd w:id="4"/>
          </w:p>
        </w:tc>
        <w:tc>
          <w:tcPr>
            <w:tcW w:w="3793" w:type="dxa"/>
          </w:tcPr>
          <w:p w:rsidR="005F153A" w:rsidRPr="000F2E67" w:rsidRDefault="004154E9" w:rsidP="00F629DB">
            <w:pPr>
              <w:snapToGrid w:val="0"/>
              <w:ind w:left="57"/>
              <w:rPr>
                <w:rFonts w:asciiTheme="minorHAnsi" w:hAnsiTheme="minorHAnsi"/>
                <w:b/>
                <w:sz w:val="24"/>
              </w:rPr>
            </w:pPr>
            <w:r>
              <w:rPr>
                <w:rFonts w:asciiTheme="minorHAnsi" w:hAnsiTheme="minorHAnsi"/>
                <w:b/>
                <w:sz w:val="24"/>
              </w:rPr>
              <w:t>2</w:t>
            </w:r>
            <w:r w:rsidR="00F629DB">
              <w:rPr>
                <w:rFonts w:asciiTheme="minorHAnsi" w:hAnsiTheme="minorHAnsi"/>
                <w:b/>
                <w:sz w:val="24"/>
              </w:rPr>
              <w:t>7</w:t>
            </w:r>
            <w:r>
              <w:rPr>
                <w:rFonts w:asciiTheme="minorHAnsi" w:hAnsiTheme="minorHAnsi"/>
                <w:b/>
                <w:sz w:val="24"/>
              </w:rPr>
              <w:t xml:space="preserve"> December 2017</w:t>
            </w:r>
          </w:p>
        </w:tc>
      </w:tr>
      <w:tr w:rsidR="005F153A" w:rsidRPr="00E544AC" w:rsidTr="000F2E67">
        <w:trPr>
          <w:cantSplit/>
          <w:trHeight w:val="80"/>
        </w:trPr>
        <w:tc>
          <w:tcPr>
            <w:tcW w:w="6521" w:type="dxa"/>
            <w:vMerge/>
          </w:tcPr>
          <w:p w:rsidR="005F153A" w:rsidRPr="00E544AC" w:rsidRDefault="005F153A" w:rsidP="000F2E67">
            <w:pPr>
              <w:snapToGrid w:val="0"/>
              <w:rPr>
                <w:rFonts w:asciiTheme="minorHAnsi" w:hAnsiTheme="minorHAnsi"/>
                <w:b/>
              </w:rPr>
            </w:pPr>
            <w:bookmarkStart w:id="6" w:name="dorlang" w:colFirst="1" w:colLast="1"/>
            <w:bookmarkEnd w:id="5"/>
          </w:p>
        </w:tc>
        <w:tc>
          <w:tcPr>
            <w:tcW w:w="3793" w:type="dxa"/>
          </w:tcPr>
          <w:p w:rsidR="005F153A" w:rsidRPr="000F2E67" w:rsidRDefault="007B5254" w:rsidP="000F2E67">
            <w:pPr>
              <w:snapToGrid w:val="0"/>
              <w:ind w:left="57"/>
              <w:rPr>
                <w:rFonts w:asciiTheme="minorHAnsi" w:hAnsiTheme="minorHAnsi"/>
                <w:b/>
                <w:sz w:val="24"/>
              </w:rPr>
            </w:pPr>
            <w:r>
              <w:rPr>
                <w:rFonts w:asciiTheme="minorHAnsi" w:hAnsiTheme="minorHAnsi"/>
                <w:b/>
                <w:sz w:val="24"/>
              </w:rPr>
              <w:t>Original: English</w:t>
            </w:r>
          </w:p>
        </w:tc>
      </w:tr>
    </w:tbl>
    <w:bookmarkEnd w:id="6"/>
    <w:p w:rsidR="004154E9" w:rsidRDefault="00F629DB" w:rsidP="004154E9">
      <w:pPr>
        <w:spacing w:before="840" w:after="120"/>
        <w:jc w:val="center"/>
        <w:rPr>
          <w:rFonts w:asciiTheme="minorHAnsi" w:eastAsiaTheme="minorEastAsia" w:hAnsiTheme="minorHAnsi"/>
          <w:b/>
          <w:sz w:val="28"/>
          <w:szCs w:val="32"/>
          <w:lang w:eastAsia="ja-JP"/>
        </w:rPr>
      </w:pPr>
      <w:r>
        <w:rPr>
          <w:rFonts w:asciiTheme="minorHAnsi" w:hAnsiTheme="minorHAnsi"/>
          <w:b/>
          <w:sz w:val="28"/>
          <w:szCs w:val="32"/>
        </w:rPr>
        <w:t>United States of America</w:t>
      </w:r>
    </w:p>
    <w:p w:rsidR="00AF50A8" w:rsidRPr="00F629DB" w:rsidRDefault="00F629DB" w:rsidP="007223F0">
      <w:pPr>
        <w:pStyle w:val="Title1"/>
        <w:spacing w:before="360"/>
        <w:rPr>
          <w:caps/>
          <w:sz w:val="28"/>
          <w:szCs w:val="36"/>
        </w:rPr>
      </w:pPr>
      <w:r w:rsidRPr="00F629DB">
        <w:rPr>
          <w:bCs/>
          <w:caps/>
          <w:sz w:val="28"/>
          <w:szCs w:val="32"/>
          <w:lang w:val="en-GB"/>
        </w:rPr>
        <w:t>United States Views on the Draft of the Final Report on the Review of the International Telecommunication Regulations (ITRs)</w:t>
      </w:r>
    </w:p>
    <w:p w:rsidR="007223F0" w:rsidRPr="007223F0" w:rsidRDefault="007223F0" w:rsidP="007223F0">
      <w:pPr>
        <w:spacing w:line="280" w:lineRule="atLeast"/>
        <w:jc w:val="both"/>
        <w:rPr>
          <w:rFonts w:asciiTheme="minorHAnsi" w:eastAsia="Calibri" w:hAnsiTheme="minorHAnsi"/>
          <w:color w:val="000000"/>
          <w:sz w:val="24"/>
        </w:rPr>
      </w:pPr>
    </w:p>
    <w:p w:rsidR="00F629DB" w:rsidRPr="00F629DB" w:rsidRDefault="00F629DB" w:rsidP="00F629DB">
      <w:pPr>
        <w:spacing w:before="120" w:after="120"/>
        <w:jc w:val="both"/>
        <w:rPr>
          <w:rFonts w:asciiTheme="minorHAnsi" w:hAnsiTheme="minorHAnsi" w:cstheme="majorBidi"/>
          <w:b/>
          <w:sz w:val="24"/>
        </w:rPr>
      </w:pPr>
      <w:r w:rsidRPr="00F629DB">
        <w:rPr>
          <w:rFonts w:asciiTheme="minorHAnsi" w:hAnsiTheme="minorHAnsi" w:cstheme="majorBidi"/>
          <w:b/>
          <w:sz w:val="24"/>
        </w:rPr>
        <w:t>Introduction</w:t>
      </w:r>
    </w:p>
    <w:p w:rsidR="00F629DB" w:rsidRPr="00F629DB" w:rsidRDefault="00F629DB" w:rsidP="00F629DB">
      <w:pPr>
        <w:spacing w:before="120" w:after="120"/>
        <w:jc w:val="both"/>
        <w:rPr>
          <w:rFonts w:asciiTheme="minorHAnsi" w:hAnsiTheme="minorHAnsi" w:cstheme="majorBidi"/>
          <w:sz w:val="24"/>
        </w:rPr>
      </w:pPr>
      <w:r w:rsidRPr="00F629DB">
        <w:rPr>
          <w:rFonts w:asciiTheme="minorHAnsi" w:hAnsiTheme="minorHAnsi" w:cstheme="majorBidi"/>
          <w:sz w:val="24"/>
        </w:rPr>
        <w:t>The United States would like to congratulate the Chairman of the Expert Group on the ITRs (EG-ITRs) for the draft final report on the review of the ITRs.  We believe the draft report properly and succinctly reflects the views expressed by Member States and Sector Members in their contributions and meeting discussions in a format that is accessible and useful to all.  In addition, the draft report is consistent with the Council Resolution 1379.</w:t>
      </w:r>
    </w:p>
    <w:p w:rsidR="00F629DB" w:rsidRPr="00F629DB" w:rsidRDefault="00F629DB" w:rsidP="00F629DB">
      <w:pPr>
        <w:spacing w:before="120" w:after="120"/>
        <w:jc w:val="both"/>
        <w:rPr>
          <w:rFonts w:asciiTheme="minorHAnsi" w:hAnsiTheme="minorHAnsi" w:cstheme="majorBidi"/>
          <w:sz w:val="24"/>
        </w:rPr>
      </w:pPr>
      <w:r w:rsidRPr="00F629DB">
        <w:rPr>
          <w:rFonts w:asciiTheme="minorHAnsi" w:hAnsiTheme="minorHAnsi" w:cstheme="majorBidi"/>
          <w:sz w:val="24"/>
        </w:rPr>
        <w:t xml:space="preserve">In this contribution, the United States would like to reiterate its views on the review of the ITRs.  Even though pursuant to the Plenipotentiary Resolution 146 (Busan) and Council Resolution 1379 the scope of EG-ITRs is limited to the review the ITRs, many have already expressed their views possibly revising the 2012 ITRs.  The United States would like to express its views on the perils of convening a World Conference on International Telecommunications (WCIT) to revise the 2012 ITRs.  </w:t>
      </w:r>
    </w:p>
    <w:p w:rsidR="00F629DB" w:rsidRPr="00F629DB" w:rsidRDefault="00F629DB" w:rsidP="00F629DB">
      <w:pPr>
        <w:spacing w:before="120" w:after="120"/>
        <w:jc w:val="both"/>
        <w:rPr>
          <w:rFonts w:asciiTheme="minorHAnsi" w:hAnsiTheme="minorHAnsi" w:cstheme="majorBidi"/>
          <w:b/>
          <w:sz w:val="24"/>
        </w:rPr>
      </w:pPr>
      <w:r w:rsidRPr="00F629DB">
        <w:rPr>
          <w:rFonts w:asciiTheme="minorHAnsi" w:hAnsiTheme="minorHAnsi" w:cstheme="majorBidi"/>
          <w:b/>
          <w:sz w:val="24"/>
        </w:rPr>
        <w:t>Discussions</w:t>
      </w:r>
    </w:p>
    <w:p w:rsidR="00F629DB" w:rsidRPr="00F629DB" w:rsidRDefault="00F629DB" w:rsidP="00F629DB">
      <w:pPr>
        <w:spacing w:before="120" w:after="120"/>
        <w:jc w:val="both"/>
        <w:rPr>
          <w:rFonts w:asciiTheme="minorHAnsi" w:hAnsiTheme="minorHAnsi" w:cstheme="majorBidi"/>
          <w:sz w:val="24"/>
        </w:rPr>
      </w:pPr>
      <w:r w:rsidRPr="00F629DB">
        <w:rPr>
          <w:rFonts w:asciiTheme="minorHAnsi" w:hAnsiTheme="minorHAnsi" w:cstheme="majorBidi"/>
          <w:b/>
          <w:sz w:val="24"/>
        </w:rPr>
        <w:t>United States Position on the ITRs</w:t>
      </w:r>
      <w:r w:rsidRPr="00F629DB">
        <w:rPr>
          <w:rFonts w:asciiTheme="minorHAnsi" w:hAnsiTheme="minorHAnsi" w:cstheme="majorBidi"/>
          <w:sz w:val="24"/>
        </w:rPr>
        <w:t xml:space="preserve">:  The United States continues to believe that the ITRs are no longer applicable or relevant to the vast majority of international communications traffic.  The ITRs were essential to the provision and operation of international telecommunication services in the monopoly era.  However, this monopolistic environment has disappeared in most countries, along with the rationale for a treaty addressing its potential effects on international telecommunications services.  </w:t>
      </w:r>
    </w:p>
    <w:p w:rsidR="00F629DB" w:rsidRPr="00F629DB" w:rsidRDefault="00F629DB" w:rsidP="00F629DB">
      <w:pPr>
        <w:spacing w:before="120" w:after="120"/>
        <w:jc w:val="both"/>
        <w:rPr>
          <w:rFonts w:asciiTheme="minorHAnsi" w:hAnsiTheme="minorHAnsi" w:cstheme="majorBidi"/>
          <w:sz w:val="24"/>
        </w:rPr>
      </w:pPr>
      <w:r w:rsidRPr="00F629DB">
        <w:rPr>
          <w:rFonts w:asciiTheme="minorHAnsi" w:hAnsiTheme="minorHAnsi" w:cstheme="majorBidi"/>
          <w:sz w:val="24"/>
        </w:rPr>
        <w:t xml:space="preserve">The existence of two versions of the ITRs has not created any legal or practical conflicts.  The United States is not aware of any situation where the existence of two versions of the ITRs has interfered with the provision and operation of international telecommunications services and there has been no demonstration of such conflicts in the contributions submitted to this group.  Moreover, most countries that signed the 2012 ITRs have not followed up with formal ratification; as of June 2017, only nine of the 89 countries that are signatory to the ITRs have ratified the treaty.  </w:t>
      </w:r>
    </w:p>
    <w:p w:rsidR="00F629DB" w:rsidRPr="00F629DB" w:rsidRDefault="00F629DB" w:rsidP="00F629DB">
      <w:pPr>
        <w:spacing w:before="120" w:after="120"/>
        <w:jc w:val="both"/>
        <w:rPr>
          <w:rFonts w:asciiTheme="minorHAnsi" w:hAnsiTheme="minorHAnsi" w:cstheme="majorBidi"/>
          <w:sz w:val="24"/>
        </w:rPr>
      </w:pPr>
      <w:r w:rsidRPr="00F629DB">
        <w:rPr>
          <w:rFonts w:asciiTheme="minorHAnsi" w:hAnsiTheme="minorHAnsi" w:cstheme="majorBidi"/>
          <w:sz w:val="24"/>
        </w:rPr>
        <w:t>The United States expressed several serious concerns about the scope and applicability of the 2012 ITRs during the 2012 WCIT.  In particular, we noted our concern that some of the provisions are outside the stated purpose and scope of the ITRs as articulated in Article 1 of both the 1988 and 2012 ITRs.  The United States continues to have these concerns.</w:t>
      </w:r>
    </w:p>
    <w:p w:rsidR="00F629DB" w:rsidRDefault="00F629DB">
      <w:pPr>
        <w:rPr>
          <w:rFonts w:asciiTheme="minorHAnsi" w:hAnsiTheme="minorHAnsi" w:cstheme="majorBidi"/>
          <w:b/>
          <w:sz w:val="24"/>
        </w:rPr>
      </w:pPr>
      <w:r>
        <w:rPr>
          <w:rFonts w:asciiTheme="minorHAnsi" w:hAnsiTheme="minorHAnsi" w:cstheme="majorBidi"/>
          <w:b/>
          <w:sz w:val="24"/>
        </w:rPr>
        <w:br w:type="page"/>
      </w:r>
    </w:p>
    <w:p w:rsidR="00F629DB" w:rsidRPr="00F629DB" w:rsidRDefault="00F629DB" w:rsidP="00F629DB">
      <w:pPr>
        <w:spacing w:before="120" w:after="120"/>
        <w:jc w:val="both"/>
        <w:rPr>
          <w:rFonts w:asciiTheme="minorHAnsi" w:hAnsiTheme="minorHAnsi" w:cstheme="majorBidi"/>
          <w:sz w:val="24"/>
        </w:rPr>
      </w:pPr>
      <w:r w:rsidRPr="00F629DB">
        <w:rPr>
          <w:rFonts w:asciiTheme="minorHAnsi" w:hAnsiTheme="minorHAnsi" w:cstheme="majorBidi"/>
          <w:b/>
          <w:sz w:val="24"/>
        </w:rPr>
        <w:t xml:space="preserve">Future WCIT:  </w:t>
      </w:r>
      <w:r w:rsidRPr="00F629DB">
        <w:rPr>
          <w:rFonts w:asciiTheme="minorHAnsi" w:hAnsiTheme="minorHAnsi" w:cstheme="majorBidi"/>
          <w:sz w:val="24"/>
        </w:rPr>
        <w:t xml:space="preserve">Consistent with the relevant Plenipotentiary and the Council Resolutions, the United States is of the view that only the 2018 Plenipotentiary Conference in Dubai should decide whether to convene a WCIT.  The United States is of the view that a future WCIT is riddled with perils and would divert valuable ITU resources away from the implementation of the ITU’s core mission of developing international telecommunications.  Moreover, another WCIT may not reach consensus on the issues and may potentially result in a third set of ITRs.  We also believe that treaty instruments like the ITRs should include provisions that can stand the test of time.  In a rapidly changing and constantly evolving telecommunications environment, any attempt to revise the ITRs with narrow provisions to reflect “new trends” would render it obsolete as soon as the regulations are adopted.  Instead of spending collective energy on a future WCIT, the United States believes that the Union should work constructively to address the digital divide and work toward fulfilling the 2030 development goals.  </w:t>
      </w:r>
    </w:p>
    <w:p w:rsidR="007223F0" w:rsidRPr="007223F0" w:rsidRDefault="007223F0" w:rsidP="007223F0">
      <w:pPr>
        <w:pStyle w:val="Title1"/>
        <w:rPr>
          <w:caps/>
          <w:sz w:val="28"/>
          <w:szCs w:val="36"/>
          <w:u w:val="single"/>
        </w:rPr>
      </w:pPr>
      <w:r w:rsidRPr="007223F0">
        <w:rPr>
          <w:caps/>
          <w:sz w:val="28"/>
          <w:szCs w:val="36"/>
          <w:u w:val="single"/>
        </w:rPr>
        <w:t>                         </w:t>
      </w:r>
    </w:p>
    <w:sectPr w:rsidR="007223F0" w:rsidRPr="007223F0" w:rsidSect="0056246D">
      <w:headerReference w:type="default" r:id="rId12"/>
      <w:pgSz w:w="11901" w:h="16840" w:code="9"/>
      <w:pgMar w:top="1418" w:right="1077" w:bottom="851" w:left="1077" w:header="142" w:footer="720"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EC9" w:rsidRDefault="00D27EC9">
      <w:r>
        <w:separator/>
      </w:r>
    </w:p>
  </w:endnote>
  <w:endnote w:type="continuationSeparator" w:id="0">
    <w:p w:rsidR="00D27EC9" w:rsidRDefault="00D27EC9">
      <w:r>
        <w:continuationSeparator/>
      </w:r>
    </w:p>
  </w:endnote>
  <w:endnote w:type="continuationNotice" w:id="1">
    <w:p w:rsidR="00D27EC9" w:rsidRDefault="00D27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EC9" w:rsidRDefault="00D27EC9">
      <w:r>
        <w:separator/>
      </w:r>
    </w:p>
  </w:footnote>
  <w:footnote w:type="continuationSeparator" w:id="0">
    <w:p w:rsidR="00D27EC9" w:rsidRDefault="00D27EC9">
      <w:r>
        <w:continuationSeparator/>
      </w:r>
    </w:p>
  </w:footnote>
  <w:footnote w:type="continuationNotice" w:id="1">
    <w:p w:rsidR="00D27EC9" w:rsidRDefault="00D27E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46D" w:rsidRPr="0056246D" w:rsidRDefault="0056246D" w:rsidP="0056246D">
    <w:pPr>
      <w:pStyle w:val="Header"/>
      <w:jc w:val="center"/>
      <w:rPr>
        <w:rFonts w:asciiTheme="minorHAnsi" w:hAnsiTheme="minorHAnsi"/>
      </w:rPr>
    </w:pPr>
    <w:r w:rsidRPr="0056246D">
      <w:rPr>
        <w:rFonts w:asciiTheme="minorHAnsi" w:hAnsiTheme="minorHAnsi"/>
      </w:rPr>
      <w:fldChar w:fldCharType="begin"/>
    </w:r>
    <w:r w:rsidRPr="0056246D">
      <w:rPr>
        <w:rFonts w:asciiTheme="minorHAnsi" w:hAnsiTheme="minorHAnsi"/>
      </w:rPr>
      <w:instrText xml:space="preserve"> PAGE   \* MERGEFORMAT </w:instrText>
    </w:r>
    <w:r w:rsidRPr="0056246D">
      <w:rPr>
        <w:rFonts w:asciiTheme="minorHAnsi" w:hAnsiTheme="minorHAnsi"/>
      </w:rPr>
      <w:fldChar w:fldCharType="separate"/>
    </w:r>
    <w:r w:rsidR="00F9347D">
      <w:rPr>
        <w:rFonts w:asciiTheme="minorHAnsi" w:hAnsiTheme="minorHAnsi"/>
        <w:noProof/>
      </w:rPr>
      <w:t>2</w:t>
    </w:r>
    <w:r w:rsidRPr="0056246D">
      <w:rPr>
        <w:rFonts w:asciiTheme="minorHAnsi" w:hAnsiTheme="minorHAnsi"/>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0C6"/>
    <w:rsid w:val="00000257"/>
    <w:rsid w:val="00001A9C"/>
    <w:rsid w:val="000038C4"/>
    <w:rsid w:val="00007F7F"/>
    <w:rsid w:val="00010C32"/>
    <w:rsid w:val="00010F48"/>
    <w:rsid w:val="000147CA"/>
    <w:rsid w:val="0001781D"/>
    <w:rsid w:val="0002197D"/>
    <w:rsid w:val="00021DF9"/>
    <w:rsid w:val="0002607F"/>
    <w:rsid w:val="000264BE"/>
    <w:rsid w:val="000268B0"/>
    <w:rsid w:val="00027767"/>
    <w:rsid w:val="0003282D"/>
    <w:rsid w:val="00047F0D"/>
    <w:rsid w:val="00052578"/>
    <w:rsid w:val="00052886"/>
    <w:rsid w:val="00052EB0"/>
    <w:rsid w:val="00053C26"/>
    <w:rsid w:val="00053FE3"/>
    <w:rsid w:val="00054724"/>
    <w:rsid w:val="000548E3"/>
    <w:rsid w:val="0006023C"/>
    <w:rsid w:val="00060990"/>
    <w:rsid w:val="0006108F"/>
    <w:rsid w:val="00061780"/>
    <w:rsid w:val="00065E3D"/>
    <w:rsid w:val="000720AB"/>
    <w:rsid w:val="0007733F"/>
    <w:rsid w:val="000811C5"/>
    <w:rsid w:val="0008236A"/>
    <w:rsid w:val="000929FF"/>
    <w:rsid w:val="00093ACA"/>
    <w:rsid w:val="000A1688"/>
    <w:rsid w:val="000A5071"/>
    <w:rsid w:val="000B4C95"/>
    <w:rsid w:val="000C20DC"/>
    <w:rsid w:val="000C2A2E"/>
    <w:rsid w:val="000C2C28"/>
    <w:rsid w:val="000C4839"/>
    <w:rsid w:val="000D1EC9"/>
    <w:rsid w:val="000D746E"/>
    <w:rsid w:val="000E0B2E"/>
    <w:rsid w:val="000E6444"/>
    <w:rsid w:val="000E6F49"/>
    <w:rsid w:val="000E738E"/>
    <w:rsid w:val="000F2E67"/>
    <w:rsid w:val="000F366F"/>
    <w:rsid w:val="000F7587"/>
    <w:rsid w:val="0010077D"/>
    <w:rsid w:val="00100FFB"/>
    <w:rsid w:val="001012BC"/>
    <w:rsid w:val="0010361A"/>
    <w:rsid w:val="0010375B"/>
    <w:rsid w:val="001054A9"/>
    <w:rsid w:val="00111A8A"/>
    <w:rsid w:val="0011506D"/>
    <w:rsid w:val="001158FB"/>
    <w:rsid w:val="001164E6"/>
    <w:rsid w:val="001217CF"/>
    <w:rsid w:val="00121D0F"/>
    <w:rsid w:val="00122205"/>
    <w:rsid w:val="0012767B"/>
    <w:rsid w:val="00130BEC"/>
    <w:rsid w:val="0014173E"/>
    <w:rsid w:val="00143AFF"/>
    <w:rsid w:val="00144878"/>
    <w:rsid w:val="00151F6B"/>
    <w:rsid w:val="001668F0"/>
    <w:rsid w:val="0017057A"/>
    <w:rsid w:val="001743A1"/>
    <w:rsid w:val="00193826"/>
    <w:rsid w:val="00194AC8"/>
    <w:rsid w:val="001962CD"/>
    <w:rsid w:val="001A1E52"/>
    <w:rsid w:val="001B0D22"/>
    <w:rsid w:val="001B17B9"/>
    <w:rsid w:val="001B3FBE"/>
    <w:rsid w:val="001B506B"/>
    <w:rsid w:val="001B5EDA"/>
    <w:rsid w:val="001B776D"/>
    <w:rsid w:val="001B7A37"/>
    <w:rsid w:val="001C230E"/>
    <w:rsid w:val="001C2863"/>
    <w:rsid w:val="001C36A8"/>
    <w:rsid w:val="001C4440"/>
    <w:rsid w:val="001C533D"/>
    <w:rsid w:val="001D16E1"/>
    <w:rsid w:val="001D27FE"/>
    <w:rsid w:val="001D6882"/>
    <w:rsid w:val="001D69BE"/>
    <w:rsid w:val="001D6BE4"/>
    <w:rsid w:val="001E4BD2"/>
    <w:rsid w:val="001E5885"/>
    <w:rsid w:val="001E5B3B"/>
    <w:rsid w:val="00200486"/>
    <w:rsid w:val="00200CD5"/>
    <w:rsid w:val="0020692F"/>
    <w:rsid w:val="002070AD"/>
    <w:rsid w:val="00207123"/>
    <w:rsid w:val="002079BE"/>
    <w:rsid w:val="0021145F"/>
    <w:rsid w:val="00212BF7"/>
    <w:rsid w:val="00214150"/>
    <w:rsid w:val="0022078A"/>
    <w:rsid w:val="002228D5"/>
    <w:rsid w:val="0022556C"/>
    <w:rsid w:val="00226DAD"/>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438C"/>
    <w:rsid w:val="00287A13"/>
    <w:rsid w:val="00291555"/>
    <w:rsid w:val="00291F7C"/>
    <w:rsid w:val="00292EB7"/>
    <w:rsid w:val="002A09B4"/>
    <w:rsid w:val="002A173B"/>
    <w:rsid w:val="002A264E"/>
    <w:rsid w:val="002A6B9A"/>
    <w:rsid w:val="002B4498"/>
    <w:rsid w:val="002B4C20"/>
    <w:rsid w:val="002B7F6E"/>
    <w:rsid w:val="002D0F7E"/>
    <w:rsid w:val="002E04CE"/>
    <w:rsid w:val="002E581D"/>
    <w:rsid w:val="002E5B9B"/>
    <w:rsid w:val="002F150A"/>
    <w:rsid w:val="003010A1"/>
    <w:rsid w:val="00302584"/>
    <w:rsid w:val="00302B27"/>
    <w:rsid w:val="00306388"/>
    <w:rsid w:val="00307AF2"/>
    <w:rsid w:val="00312766"/>
    <w:rsid w:val="00315C60"/>
    <w:rsid w:val="0031621F"/>
    <w:rsid w:val="003220A7"/>
    <w:rsid w:val="003250E1"/>
    <w:rsid w:val="00332B82"/>
    <w:rsid w:val="003341A5"/>
    <w:rsid w:val="00342898"/>
    <w:rsid w:val="00344CAA"/>
    <w:rsid w:val="00344DC5"/>
    <w:rsid w:val="0034736F"/>
    <w:rsid w:val="00347E04"/>
    <w:rsid w:val="003573BA"/>
    <w:rsid w:val="00366DC6"/>
    <w:rsid w:val="00374C2C"/>
    <w:rsid w:val="0037552B"/>
    <w:rsid w:val="0038108B"/>
    <w:rsid w:val="003834F8"/>
    <w:rsid w:val="00383935"/>
    <w:rsid w:val="0038562C"/>
    <w:rsid w:val="00390067"/>
    <w:rsid w:val="00391655"/>
    <w:rsid w:val="003917D7"/>
    <w:rsid w:val="00394C20"/>
    <w:rsid w:val="003A4FC0"/>
    <w:rsid w:val="003B306B"/>
    <w:rsid w:val="003B63AE"/>
    <w:rsid w:val="003C1B04"/>
    <w:rsid w:val="003C441A"/>
    <w:rsid w:val="003D1349"/>
    <w:rsid w:val="003D1F22"/>
    <w:rsid w:val="003D38E2"/>
    <w:rsid w:val="003D7FD9"/>
    <w:rsid w:val="003E071A"/>
    <w:rsid w:val="003E74D8"/>
    <w:rsid w:val="003E7E4F"/>
    <w:rsid w:val="003F36AF"/>
    <w:rsid w:val="003F6014"/>
    <w:rsid w:val="003F7794"/>
    <w:rsid w:val="00401FA7"/>
    <w:rsid w:val="00403A79"/>
    <w:rsid w:val="00405880"/>
    <w:rsid w:val="00405A0C"/>
    <w:rsid w:val="004061AF"/>
    <w:rsid w:val="00406379"/>
    <w:rsid w:val="00406503"/>
    <w:rsid w:val="00406D07"/>
    <w:rsid w:val="004110D2"/>
    <w:rsid w:val="0041154D"/>
    <w:rsid w:val="00412020"/>
    <w:rsid w:val="004154E9"/>
    <w:rsid w:val="00417936"/>
    <w:rsid w:val="00423041"/>
    <w:rsid w:val="004232D9"/>
    <w:rsid w:val="004268D5"/>
    <w:rsid w:val="004303C3"/>
    <w:rsid w:val="00431D53"/>
    <w:rsid w:val="00431EA7"/>
    <w:rsid w:val="00434926"/>
    <w:rsid w:val="0043494A"/>
    <w:rsid w:val="004351D8"/>
    <w:rsid w:val="0043742A"/>
    <w:rsid w:val="00441E09"/>
    <w:rsid w:val="00453636"/>
    <w:rsid w:val="00455626"/>
    <w:rsid w:val="0045624E"/>
    <w:rsid w:val="00457B00"/>
    <w:rsid w:val="004625E8"/>
    <w:rsid w:val="00463A64"/>
    <w:rsid w:val="00471036"/>
    <w:rsid w:val="00473B64"/>
    <w:rsid w:val="00477A11"/>
    <w:rsid w:val="004812CB"/>
    <w:rsid w:val="004855FD"/>
    <w:rsid w:val="00486CB6"/>
    <w:rsid w:val="004944DB"/>
    <w:rsid w:val="00496213"/>
    <w:rsid w:val="004A0CD0"/>
    <w:rsid w:val="004C1A8E"/>
    <w:rsid w:val="004C4DBE"/>
    <w:rsid w:val="004C53CF"/>
    <w:rsid w:val="004C72E3"/>
    <w:rsid w:val="004D3913"/>
    <w:rsid w:val="004D48DF"/>
    <w:rsid w:val="004E2A9A"/>
    <w:rsid w:val="004E5922"/>
    <w:rsid w:val="004E59D9"/>
    <w:rsid w:val="004F5D70"/>
    <w:rsid w:val="00502CCA"/>
    <w:rsid w:val="005070D4"/>
    <w:rsid w:val="00510FAF"/>
    <w:rsid w:val="00513A75"/>
    <w:rsid w:val="00524EF4"/>
    <w:rsid w:val="00530D10"/>
    <w:rsid w:val="005325DA"/>
    <w:rsid w:val="00532C41"/>
    <w:rsid w:val="00533490"/>
    <w:rsid w:val="00533519"/>
    <w:rsid w:val="0053382F"/>
    <w:rsid w:val="005364C3"/>
    <w:rsid w:val="00536CF3"/>
    <w:rsid w:val="0054047D"/>
    <w:rsid w:val="00545DD0"/>
    <w:rsid w:val="005523DF"/>
    <w:rsid w:val="00555C6E"/>
    <w:rsid w:val="0056246D"/>
    <w:rsid w:val="00566BFF"/>
    <w:rsid w:val="00570FC0"/>
    <w:rsid w:val="00571DB9"/>
    <w:rsid w:val="00575631"/>
    <w:rsid w:val="0057653D"/>
    <w:rsid w:val="00580A4A"/>
    <w:rsid w:val="00581062"/>
    <w:rsid w:val="005816C5"/>
    <w:rsid w:val="00582047"/>
    <w:rsid w:val="00586ABC"/>
    <w:rsid w:val="005940F0"/>
    <w:rsid w:val="0059492C"/>
    <w:rsid w:val="005A000B"/>
    <w:rsid w:val="005A09AC"/>
    <w:rsid w:val="005A39BB"/>
    <w:rsid w:val="005A3ABC"/>
    <w:rsid w:val="005A58DC"/>
    <w:rsid w:val="005B231B"/>
    <w:rsid w:val="005B5D4C"/>
    <w:rsid w:val="005C295A"/>
    <w:rsid w:val="005C3310"/>
    <w:rsid w:val="005C3678"/>
    <w:rsid w:val="005C510E"/>
    <w:rsid w:val="005C51C0"/>
    <w:rsid w:val="005C55D0"/>
    <w:rsid w:val="005C6602"/>
    <w:rsid w:val="005D010A"/>
    <w:rsid w:val="005D23BD"/>
    <w:rsid w:val="005D55E2"/>
    <w:rsid w:val="005D676E"/>
    <w:rsid w:val="005D7FBC"/>
    <w:rsid w:val="005E4B0A"/>
    <w:rsid w:val="005E6248"/>
    <w:rsid w:val="005F0DAC"/>
    <w:rsid w:val="005F153A"/>
    <w:rsid w:val="005F3C9A"/>
    <w:rsid w:val="005F42CA"/>
    <w:rsid w:val="005F43BC"/>
    <w:rsid w:val="005F6E60"/>
    <w:rsid w:val="005F716F"/>
    <w:rsid w:val="005F7189"/>
    <w:rsid w:val="005F7C2E"/>
    <w:rsid w:val="006006FD"/>
    <w:rsid w:val="00602355"/>
    <w:rsid w:val="00607F0B"/>
    <w:rsid w:val="00611188"/>
    <w:rsid w:val="00616D37"/>
    <w:rsid w:val="006204DB"/>
    <w:rsid w:val="00623E67"/>
    <w:rsid w:val="00624887"/>
    <w:rsid w:val="00626262"/>
    <w:rsid w:val="00630805"/>
    <w:rsid w:val="00635161"/>
    <w:rsid w:val="006367B6"/>
    <w:rsid w:val="0064055B"/>
    <w:rsid w:val="00642B5B"/>
    <w:rsid w:val="006463AB"/>
    <w:rsid w:val="006477FD"/>
    <w:rsid w:val="00656B2D"/>
    <w:rsid w:val="00665F5E"/>
    <w:rsid w:val="0066704D"/>
    <w:rsid w:val="00671D68"/>
    <w:rsid w:val="0067474B"/>
    <w:rsid w:val="00683733"/>
    <w:rsid w:val="00683C44"/>
    <w:rsid w:val="00692A3E"/>
    <w:rsid w:val="00692FA4"/>
    <w:rsid w:val="00696709"/>
    <w:rsid w:val="006978E5"/>
    <w:rsid w:val="006A02E2"/>
    <w:rsid w:val="006A079F"/>
    <w:rsid w:val="006A0E15"/>
    <w:rsid w:val="006A15AC"/>
    <w:rsid w:val="006A2F0C"/>
    <w:rsid w:val="006A37B8"/>
    <w:rsid w:val="006A6D99"/>
    <w:rsid w:val="006B361F"/>
    <w:rsid w:val="006B39E1"/>
    <w:rsid w:val="006B460D"/>
    <w:rsid w:val="006C1682"/>
    <w:rsid w:val="006C2B40"/>
    <w:rsid w:val="006C364F"/>
    <w:rsid w:val="006C5D53"/>
    <w:rsid w:val="006D18A0"/>
    <w:rsid w:val="006D42F1"/>
    <w:rsid w:val="006D5D09"/>
    <w:rsid w:val="006D70C6"/>
    <w:rsid w:val="006E0FF3"/>
    <w:rsid w:val="006E36F1"/>
    <w:rsid w:val="006E39B8"/>
    <w:rsid w:val="006F2163"/>
    <w:rsid w:val="006F5ACB"/>
    <w:rsid w:val="007003D6"/>
    <w:rsid w:val="0070262F"/>
    <w:rsid w:val="00704271"/>
    <w:rsid w:val="00713A1D"/>
    <w:rsid w:val="007156E4"/>
    <w:rsid w:val="00717F6C"/>
    <w:rsid w:val="0072067D"/>
    <w:rsid w:val="00721EED"/>
    <w:rsid w:val="007223F0"/>
    <w:rsid w:val="007270D0"/>
    <w:rsid w:val="00733871"/>
    <w:rsid w:val="007339D5"/>
    <w:rsid w:val="00734285"/>
    <w:rsid w:val="00750401"/>
    <w:rsid w:val="0076010E"/>
    <w:rsid w:val="00764696"/>
    <w:rsid w:val="0077353C"/>
    <w:rsid w:val="00775A12"/>
    <w:rsid w:val="00776D75"/>
    <w:rsid w:val="00783E51"/>
    <w:rsid w:val="0078643F"/>
    <w:rsid w:val="00790E9D"/>
    <w:rsid w:val="007944BB"/>
    <w:rsid w:val="0079453B"/>
    <w:rsid w:val="007962C2"/>
    <w:rsid w:val="00797D46"/>
    <w:rsid w:val="007A5462"/>
    <w:rsid w:val="007A54BE"/>
    <w:rsid w:val="007A72FA"/>
    <w:rsid w:val="007B1D6C"/>
    <w:rsid w:val="007B3243"/>
    <w:rsid w:val="007B3BF2"/>
    <w:rsid w:val="007B5254"/>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1AE1"/>
    <w:rsid w:val="008151AA"/>
    <w:rsid w:val="00816221"/>
    <w:rsid w:val="00816507"/>
    <w:rsid w:val="00821976"/>
    <w:rsid w:val="0082335C"/>
    <w:rsid w:val="008233F9"/>
    <w:rsid w:val="00831D35"/>
    <w:rsid w:val="0083200C"/>
    <w:rsid w:val="00833DC2"/>
    <w:rsid w:val="00835CD6"/>
    <w:rsid w:val="0084292A"/>
    <w:rsid w:val="00842DFD"/>
    <w:rsid w:val="008446CA"/>
    <w:rsid w:val="0084622B"/>
    <w:rsid w:val="00853371"/>
    <w:rsid w:val="008543CD"/>
    <w:rsid w:val="00861F9C"/>
    <w:rsid w:val="00872804"/>
    <w:rsid w:val="008749C8"/>
    <w:rsid w:val="0088059A"/>
    <w:rsid w:val="00887F43"/>
    <w:rsid w:val="00891BFC"/>
    <w:rsid w:val="00893BBD"/>
    <w:rsid w:val="00894A9C"/>
    <w:rsid w:val="00897007"/>
    <w:rsid w:val="008A0AAD"/>
    <w:rsid w:val="008A0F72"/>
    <w:rsid w:val="008A2445"/>
    <w:rsid w:val="008A292E"/>
    <w:rsid w:val="008A4F01"/>
    <w:rsid w:val="008B2C85"/>
    <w:rsid w:val="008B56C2"/>
    <w:rsid w:val="008C173B"/>
    <w:rsid w:val="008C2C8E"/>
    <w:rsid w:val="008D18C5"/>
    <w:rsid w:val="008D1B8D"/>
    <w:rsid w:val="008D1DB1"/>
    <w:rsid w:val="008D45D6"/>
    <w:rsid w:val="008E27E9"/>
    <w:rsid w:val="008E28FB"/>
    <w:rsid w:val="008E3915"/>
    <w:rsid w:val="008E74F8"/>
    <w:rsid w:val="008F0348"/>
    <w:rsid w:val="00902E96"/>
    <w:rsid w:val="009039E6"/>
    <w:rsid w:val="0090735D"/>
    <w:rsid w:val="00907F6E"/>
    <w:rsid w:val="00911D35"/>
    <w:rsid w:val="0091462A"/>
    <w:rsid w:val="009152F8"/>
    <w:rsid w:val="009158E2"/>
    <w:rsid w:val="0091691F"/>
    <w:rsid w:val="009208B2"/>
    <w:rsid w:val="00921BD2"/>
    <w:rsid w:val="00925837"/>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A0436"/>
    <w:rsid w:val="009A5599"/>
    <w:rsid w:val="009A68D0"/>
    <w:rsid w:val="009A7E6E"/>
    <w:rsid w:val="009B2CB2"/>
    <w:rsid w:val="009B7A6D"/>
    <w:rsid w:val="009C38EC"/>
    <w:rsid w:val="009C53AB"/>
    <w:rsid w:val="009C7808"/>
    <w:rsid w:val="009D06FA"/>
    <w:rsid w:val="009D6E05"/>
    <w:rsid w:val="009E0E57"/>
    <w:rsid w:val="009E6DA4"/>
    <w:rsid w:val="009E788E"/>
    <w:rsid w:val="009F6474"/>
    <w:rsid w:val="00A004BB"/>
    <w:rsid w:val="00A01278"/>
    <w:rsid w:val="00A017C1"/>
    <w:rsid w:val="00A03373"/>
    <w:rsid w:val="00A034D1"/>
    <w:rsid w:val="00A036B8"/>
    <w:rsid w:val="00A10925"/>
    <w:rsid w:val="00A10EFD"/>
    <w:rsid w:val="00A10EFE"/>
    <w:rsid w:val="00A12C2C"/>
    <w:rsid w:val="00A14D06"/>
    <w:rsid w:val="00A241C3"/>
    <w:rsid w:val="00A26C2E"/>
    <w:rsid w:val="00A26EF2"/>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6A91"/>
    <w:rsid w:val="00A66CCC"/>
    <w:rsid w:val="00A70CB6"/>
    <w:rsid w:val="00A714BD"/>
    <w:rsid w:val="00A77A06"/>
    <w:rsid w:val="00A819C3"/>
    <w:rsid w:val="00A8726B"/>
    <w:rsid w:val="00A93C72"/>
    <w:rsid w:val="00A95D42"/>
    <w:rsid w:val="00A962C3"/>
    <w:rsid w:val="00A973E2"/>
    <w:rsid w:val="00AA5CFE"/>
    <w:rsid w:val="00AB1A29"/>
    <w:rsid w:val="00AC37B1"/>
    <w:rsid w:val="00AC6047"/>
    <w:rsid w:val="00AC7956"/>
    <w:rsid w:val="00AD6268"/>
    <w:rsid w:val="00AE72AF"/>
    <w:rsid w:val="00AF2C12"/>
    <w:rsid w:val="00AF50A8"/>
    <w:rsid w:val="00B012E8"/>
    <w:rsid w:val="00B02AB0"/>
    <w:rsid w:val="00B13CEA"/>
    <w:rsid w:val="00B15C66"/>
    <w:rsid w:val="00B22946"/>
    <w:rsid w:val="00B25573"/>
    <w:rsid w:val="00B32122"/>
    <w:rsid w:val="00B33E2C"/>
    <w:rsid w:val="00B36FB3"/>
    <w:rsid w:val="00B46BB7"/>
    <w:rsid w:val="00B50536"/>
    <w:rsid w:val="00B52617"/>
    <w:rsid w:val="00B548BE"/>
    <w:rsid w:val="00B60E2E"/>
    <w:rsid w:val="00B628B6"/>
    <w:rsid w:val="00B648E7"/>
    <w:rsid w:val="00B660AC"/>
    <w:rsid w:val="00B70A2D"/>
    <w:rsid w:val="00B70AF5"/>
    <w:rsid w:val="00B70B6B"/>
    <w:rsid w:val="00B71491"/>
    <w:rsid w:val="00B7485F"/>
    <w:rsid w:val="00B83F99"/>
    <w:rsid w:val="00B915C1"/>
    <w:rsid w:val="00B921B1"/>
    <w:rsid w:val="00B92D6B"/>
    <w:rsid w:val="00B9352F"/>
    <w:rsid w:val="00B97A98"/>
    <w:rsid w:val="00BA02C1"/>
    <w:rsid w:val="00BA4B96"/>
    <w:rsid w:val="00BA7BE0"/>
    <w:rsid w:val="00BB09A2"/>
    <w:rsid w:val="00BB0AE6"/>
    <w:rsid w:val="00BB1545"/>
    <w:rsid w:val="00BB16E4"/>
    <w:rsid w:val="00BB21AD"/>
    <w:rsid w:val="00BB46DF"/>
    <w:rsid w:val="00BB4B1A"/>
    <w:rsid w:val="00BB611D"/>
    <w:rsid w:val="00BB661F"/>
    <w:rsid w:val="00BC1480"/>
    <w:rsid w:val="00BC30E9"/>
    <w:rsid w:val="00BC4228"/>
    <w:rsid w:val="00BD6AF4"/>
    <w:rsid w:val="00BD6DF5"/>
    <w:rsid w:val="00BE175D"/>
    <w:rsid w:val="00BE364F"/>
    <w:rsid w:val="00BE4BC7"/>
    <w:rsid w:val="00BE5EDE"/>
    <w:rsid w:val="00BE71E9"/>
    <w:rsid w:val="00BE7737"/>
    <w:rsid w:val="00BF3543"/>
    <w:rsid w:val="00BF3A0C"/>
    <w:rsid w:val="00C03ACA"/>
    <w:rsid w:val="00C07674"/>
    <w:rsid w:val="00C077B4"/>
    <w:rsid w:val="00C13CAA"/>
    <w:rsid w:val="00C13CBB"/>
    <w:rsid w:val="00C16177"/>
    <w:rsid w:val="00C201B9"/>
    <w:rsid w:val="00C24302"/>
    <w:rsid w:val="00C243FF"/>
    <w:rsid w:val="00C25ADC"/>
    <w:rsid w:val="00C25D00"/>
    <w:rsid w:val="00C318C0"/>
    <w:rsid w:val="00C37F17"/>
    <w:rsid w:val="00C40E80"/>
    <w:rsid w:val="00C4710B"/>
    <w:rsid w:val="00C566CD"/>
    <w:rsid w:val="00C62E1A"/>
    <w:rsid w:val="00C64BBF"/>
    <w:rsid w:val="00C64EB2"/>
    <w:rsid w:val="00C657EE"/>
    <w:rsid w:val="00C70729"/>
    <w:rsid w:val="00C71595"/>
    <w:rsid w:val="00C73FEA"/>
    <w:rsid w:val="00C863F7"/>
    <w:rsid w:val="00C86BA0"/>
    <w:rsid w:val="00C9084A"/>
    <w:rsid w:val="00CA2A06"/>
    <w:rsid w:val="00CA3CB2"/>
    <w:rsid w:val="00CA3F8B"/>
    <w:rsid w:val="00CA5798"/>
    <w:rsid w:val="00CA59F0"/>
    <w:rsid w:val="00CB0190"/>
    <w:rsid w:val="00CB5E62"/>
    <w:rsid w:val="00CB6567"/>
    <w:rsid w:val="00CB7672"/>
    <w:rsid w:val="00CB7CCD"/>
    <w:rsid w:val="00CC2C8B"/>
    <w:rsid w:val="00CC597D"/>
    <w:rsid w:val="00CD01A7"/>
    <w:rsid w:val="00CD04E4"/>
    <w:rsid w:val="00CD098D"/>
    <w:rsid w:val="00CD6E42"/>
    <w:rsid w:val="00CE036F"/>
    <w:rsid w:val="00CF049D"/>
    <w:rsid w:val="00CF1CD3"/>
    <w:rsid w:val="00CF3EA5"/>
    <w:rsid w:val="00D02CC5"/>
    <w:rsid w:val="00D03809"/>
    <w:rsid w:val="00D03FE6"/>
    <w:rsid w:val="00D078F2"/>
    <w:rsid w:val="00D13E8A"/>
    <w:rsid w:val="00D14744"/>
    <w:rsid w:val="00D15326"/>
    <w:rsid w:val="00D15F1E"/>
    <w:rsid w:val="00D1632D"/>
    <w:rsid w:val="00D24CF3"/>
    <w:rsid w:val="00D27EC9"/>
    <w:rsid w:val="00D35A9D"/>
    <w:rsid w:val="00D44BB2"/>
    <w:rsid w:val="00D45050"/>
    <w:rsid w:val="00D452A3"/>
    <w:rsid w:val="00D50491"/>
    <w:rsid w:val="00D5205D"/>
    <w:rsid w:val="00D55BA5"/>
    <w:rsid w:val="00D565B5"/>
    <w:rsid w:val="00D56BEF"/>
    <w:rsid w:val="00D57D04"/>
    <w:rsid w:val="00D60A90"/>
    <w:rsid w:val="00D626A2"/>
    <w:rsid w:val="00D65D0F"/>
    <w:rsid w:val="00D67FAE"/>
    <w:rsid w:val="00D70819"/>
    <w:rsid w:val="00D70C72"/>
    <w:rsid w:val="00D70EE0"/>
    <w:rsid w:val="00D73265"/>
    <w:rsid w:val="00D82F11"/>
    <w:rsid w:val="00D834CC"/>
    <w:rsid w:val="00D8573B"/>
    <w:rsid w:val="00D91684"/>
    <w:rsid w:val="00D93F41"/>
    <w:rsid w:val="00D96222"/>
    <w:rsid w:val="00D97EE0"/>
    <w:rsid w:val="00DA0B97"/>
    <w:rsid w:val="00DA2A5C"/>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E6AB7"/>
    <w:rsid w:val="00DF7B4D"/>
    <w:rsid w:val="00E00223"/>
    <w:rsid w:val="00E01D38"/>
    <w:rsid w:val="00E023F8"/>
    <w:rsid w:val="00E02AF4"/>
    <w:rsid w:val="00E04B29"/>
    <w:rsid w:val="00E04BBC"/>
    <w:rsid w:val="00E0648E"/>
    <w:rsid w:val="00E06E45"/>
    <w:rsid w:val="00E1258E"/>
    <w:rsid w:val="00E1668A"/>
    <w:rsid w:val="00E30DF6"/>
    <w:rsid w:val="00E33E37"/>
    <w:rsid w:val="00E44ED4"/>
    <w:rsid w:val="00E450ED"/>
    <w:rsid w:val="00E50795"/>
    <w:rsid w:val="00E507AC"/>
    <w:rsid w:val="00E5592F"/>
    <w:rsid w:val="00E55EFC"/>
    <w:rsid w:val="00E57DBA"/>
    <w:rsid w:val="00E6031C"/>
    <w:rsid w:val="00E6198A"/>
    <w:rsid w:val="00E652C7"/>
    <w:rsid w:val="00E8066A"/>
    <w:rsid w:val="00E87721"/>
    <w:rsid w:val="00E90EA7"/>
    <w:rsid w:val="00E950B1"/>
    <w:rsid w:val="00E95A03"/>
    <w:rsid w:val="00E97D5E"/>
    <w:rsid w:val="00EA1E39"/>
    <w:rsid w:val="00EA3A6C"/>
    <w:rsid w:val="00EA5FFD"/>
    <w:rsid w:val="00EA751F"/>
    <w:rsid w:val="00EB1578"/>
    <w:rsid w:val="00EB47FF"/>
    <w:rsid w:val="00EB67D1"/>
    <w:rsid w:val="00EB7CDE"/>
    <w:rsid w:val="00EC7457"/>
    <w:rsid w:val="00EE27ED"/>
    <w:rsid w:val="00EE2DD2"/>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39FB"/>
    <w:rsid w:val="00F37B8E"/>
    <w:rsid w:val="00F40E12"/>
    <w:rsid w:val="00F45331"/>
    <w:rsid w:val="00F47396"/>
    <w:rsid w:val="00F52927"/>
    <w:rsid w:val="00F55548"/>
    <w:rsid w:val="00F567E9"/>
    <w:rsid w:val="00F57E7D"/>
    <w:rsid w:val="00F60063"/>
    <w:rsid w:val="00F60D6B"/>
    <w:rsid w:val="00F629DB"/>
    <w:rsid w:val="00F63237"/>
    <w:rsid w:val="00F63983"/>
    <w:rsid w:val="00F70AE5"/>
    <w:rsid w:val="00F739A8"/>
    <w:rsid w:val="00F75DE1"/>
    <w:rsid w:val="00F8075E"/>
    <w:rsid w:val="00F810B3"/>
    <w:rsid w:val="00F81790"/>
    <w:rsid w:val="00F84989"/>
    <w:rsid w:val="00F8521F"/>
    <w:rsid w:val="00F85428"/>
    <w:rsid w:val="00F87D4E"/>
    <w:rsid w:val="00F91073"/>
    <w:rsid w:val="00F91B39"/>
    <w:rsid w:val="00F93469"/>
    <w:rsid w:val="00F9347D"/>
    <w:rsid w:val="00F93F8E"/>
    <w:rsid w:val="00FA0E59"/>
    <w:rsid w:val="00FA1C6D"/>
    <w:rsid w:val="00FA3BE3"/>
    <w:rsid w:val="00FA473A"/>
    <w:rsid w:val="00FB022C"/>
    <w:rsid w:val="00FB0912"/>
    <w:rsid w:val="00FB21E2"/>
    <w:rsid w:val="00FC30CC"/>
    <w:rsid w:val="00FD1433"/>
    <w:rsid w:val="00FE1C5A"/>
    <w:rsid w:val="00FE5D70"/>
    <w:rsid w:val="00FE6802"/>
    <w:rsid w:val="00FE6FD2"/>
    <w:rsid w:val="00FF2F3B"/>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699BFAAD-14B9-4E79-AC00-E37EDAA7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705"/>
    <w:rPr>
      <w:rFonts w:ascii="Arial" w:hAnsi="Arial"/>
      <w:sz w:val="22"/>
      <w:szCs w:val="24"/>
      <w:lang w:eastAsia="zh-CN"/>
    </w:rPr>
  </w:style>
  <w:style w:type="paragraph" w:styleId="Heading1">
    <w:name w:val="heading 1"/>
    <w:basedOn w:val="Normal"/>
    <w:next w:val="Normal"/>
    <w:link w:val="Heading1Char"/>
    <w:qFormat/>
    <w:rsid w:val="00BF35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962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16F"/>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semiHidden/>
    <w:unhideWhenUsed/>
    <w:qFormat/>
    <w:rsid w:val="00496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Hyperlink">
    <w:name w:val="Hyperlink"/>
    <w:rsid w:val="006D70C6"/>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rsid w:val="005A000B"/>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sz w:val="24"/>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szCs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uiPriority w:val="9"/>
    <w:rsid w:val="005F716F"/>
    <w:rPr>
      <w:rFonts w:eastAsia="Times New Roman"/>
      <w:b/>
      <w:bCs/>
      <w:sz w:val="27"/>
      <w:szCs w:val="27"/>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semiHidden/>
    <w:rsid w:val="00496213"/>
    <w:rPr>
      <w:rFonts w:asciiTheme="majorHAnsi" w:eastAsiaTheme="majorEastAsia" w:hAnsiTheme="majorHAnsi" w:cstheme="majorBidi"/>
      <w:color w:val="2E74B5" w:themeColor="accent1" w:themeShade="BF"/>
      <w:sz w:val="26"/>
      <w:szCs w:val="26"/>
      <w:lang w:eastAsia="zh-CN"/>
    </w:rPr>
  </w:style>
  <w:style w:type="character" w:customStyle="1" w:styleId="Heading4Char">
    <w:name w:val="Heading 4 Char"/>
    <w:basedOn w:val="DefaultParagraphFont"/>
    <w:link w:val="Heading4"/>
    <w:semiHidden/>
    <w:rsid w:val="00496213"/>
    <w:rPr>
      <w:rFonts w:asciiTheme="majorHAnsi" w:eastAsiaTheme="majorEastAsia" w:hAnsiTheme="majorHAnsi" w:cstheme="majorBidi"/>
      <w:i/>
      <w:iCs/>
      <w:color w:val="2E74B5" w:themeColor="accent1" w:themeShade="BF"/>
      <w:sz w:val="22"/>
      <w:szCs w:val="24"/>
      <w:lang w:eastAsia="zh-CN"/>
    </w:rPr>
  </w:style>
  <w:style w:type="paragraph" w:customStyle="1" w:styleId="text-sm-justify">
    <w:name w:val="text-sm-justify"/>
    <w:basedOn w:val="Normal"/>
    <w:rsid w:val="00496213"/>
    <w:pPr>
      <w:spacing w:before="100" w:beforeAutospacing="1" w:after="100" w:afterAutospacing="1"/>
    </w:pPr>
    <w:rPr>
      <w:rFonts w:ascii="Times New Roman" w:eastAsia="Times New Roman" w:hAnsi="Times New Roman"/>
      <w:sz w:val="24"/>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Title1">
    <w:name w:val="Title 1"/>
    <w:basedOn w:val="Normal"/>
    <w:rsid w:val="004625E8"/>
    <w:pPr>
      <w:spacing w:before="120" w:after="360"/>
      <w:jc w:val="center"/>
    </w:pPr>
    <w:rPr>
      <w:rFonts w:asciiTheme="minorHAnsi" w:hAnsiTheme="minorHAns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CC388B33F74A908FE526995B606B" ma:contentTypeVersion="0" ma:contentTypeDescription="Create a new document." ma:contentTypeScope="" ma:versionID="f8bc379bbd3eca3b2cf284620d6388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19C0-88F4-4209-AEC4-671848A5D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3.xml><?xml version="1.0" encoding="utf-8"?>
<ds:datastoreItem xmlns:ds="http://schemas.openxmlformats.org/officeDocument/2006/customXml" ds:itemID="{0CBB7ADF-EB5F-4537-943F-279F722AEB45}">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6367044A-9C3A-4E54-A071-FC95926AA3E6}">
  <ds:schemaRefs>
    <ds:schemaRef ds:uri="http://schemas.openxmlformats.org/officeDocument/2006/bibliography"/>
  </ds:schemaRefs>
</ds:datastoreItem>
</file>

<file path=customXml/itemProps5.xml><?xml version="1.0" encoding="utf-8"?>
<ds:datastoreItem xmlns:ds="http://schemas.openxmlformats.org/officeDocument/2006/customXml" ds:itemID="{28838F5B-1AD1-48D9-A474-F4ED22CC9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3273</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Contribution by Japan</vt:lpstr>
      <vt:lpstr>ITU Normal.dot</vt:lpstr>
    </vt:vector>
  </TitlesOfParts>
  <Company>ITU</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United States</dc:title>
  <dc:subject>Expert Group on the International Telecommunication Regulations</dc:subject>
  <dc:creator>Brouard, Ricarda</dc:creator>
  <cp:keywords>EG-ITRs</cp:keywords>
  <cp:lastModifiedBy>Janin</cp:lastModifiedBy>
  <cp:revision>4</cp:revision>
  <cp:lastPrinted>2013-07-15T09:23:00Z</cp:lastPrinted>
  <dcterms:created xsi:type="dcterms:W3CDTF">2018-01-03T07:24:00Z</dcterms:created>
  <dcterms:modified xsi:type="dcterms:W3CDTF">2018-01-03T07:28:00Z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0x0101004EB0CC388B33F74A908FE526995B606B</vt:lpwstr>
  </property>
</Properties>
</file>