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41BFE">
        <w:trPr>
          <w:cantSplit/>
        </w:trPr>
        <w:tc>
          <w:tcPr>
            <w:tcW w:w="6912" w:type="dxa"/>
          </w:tcPr>
          <w:p w:rsidR="00520F36" w:rsidRPr="00641BFE" w:rsidRDefault="00D837AA" w:rsidP="00AA5154">
            <w:pPr>
              <w:spacing w:before="240" w:line="276" w:lineRule="auto"/>
            </w:pPr>
            <w:r w:rsidRPr="00641BFE">
              <w:rPr>
                <w:rFonts w:eastAsia="Calibri" w:cs="Calibri"/>
                <w:b/>
                <w:bCs/>
                <w:color w:val="000000"/>
                <w:position w:val="6"/>
                <w:sz w:val="30"/>
                <w:szCs w:val="30"/>
              </w:rPr>
              <w:t>Groupe d'experts sur le Règlement des télécommunications internationales (EG</w:t>
            </w:r>
            <w:r w:rsidRPr="00641BFE">
              <w:rPr>
                <w:rFonts w:eastAsia="Calibri" w:cs="Calibri"/>
                <w:b/>
                <w:bCs/>
                <w:color w:val="000000"/>
                <w:position w:val="6"/>
                <w:sz w:val="30"/>
                <w:szCs w:val="30"/>
              </w:rPr>
              <w:noBreakHyphen/>
              <w:t>RTI)</w:t>
            </w:r>
          </w:p>
        </w:tc>
        <w:tc>
          <w:tcPr>
            <w:tcW w:w="3261" w:type="dxa"/>
          </w:tcPr>
          <w:p w:rsidR="00520F36" w:rsidRPr="00641BFE" w:rsidRDefault="00520F36" w:rsidP="00AA5154">
            <w:pPr>
              <w:spacing w:before="0" w:line="276" w:lineRule="auto"/>
              <w:jc w:val="right"/>
            </w:pPr>
            <w:bookmarkStart w:id="0" w:name="ditulogo"/>
            <w:bookmarkEnd w:id="0"/>
            <w:r w:rsidRPr="00641BFE">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41BFE" w:rsidTr="00EF41DD">
        <w:trPr>
          <w:cantSplit/>
          <w:trHeight w:val="20"/>
        </w:trPr>
        <w:tc>
          <w:tcPr>
            <w:tcW w:w="6912" w:type="dxa"/>
            <w:tcBorders>
              <w:bottom w:val="single" w:sz="12" w:space="0" w:color="auto"/>
            </w:tcBorders>
            <w:vAlign w:val="center"/>
          </w:tcPr>
          <w:p w:rsidR="00520F36" w:rsidRPr="00641BFE" w:rsidRDefault="00201533" w:rsidP="00AA5154">
            <w:pPr>
              <w:spacing w:before="0" w:line="276" w:lineRule="auto"/>
              <w:rPr>
                <w:b/>
                <w:bCs/>
                <w:szCs w:val="24"/>
              </w:rPr>
            </w:pPr>
            <w:r w:rsidRPr="00641BFE">
              <w:rPr>
                <w:b/>
                <w:bCs/>
                <w:szCs w:val="24"/>
              </w:rPr>
              <w:t>Troisième</w:t>
            </w:r>
            <w:r w:rsidR="00D837AA" w:rsidRPr="00641BFE">
              <w:rPr>
                <w:b/>
                <w:bCs/>
                <w:szCs w:val="24"/>
              </w:rPr>
              <w:t xml:space="preserve"> réunion –</w:t>
            </w:r>
            <w:r w:rsidR="00F06D00" w:rsidRPr="00641BFE">
              <w:rPr>
                <w:b/>
                <w:bCs/>
                <w:szCs w:val="24"/>
              </w:rPr>
              <w:t xml:space="preserve"> </w:t>
            </w:r>
            <w:r w:rsidR="009B3BDE" w:rsidRPr="00641BFE">
              <w:rPr>
                <w:b/>
                <w:bCs/>
                <w:szCs w:val="24"/>
              </w:rPr>
              <w:t>Genève</w:t>
            </w:r>
            <w:r w:rsidR="00D837AA" w:rsidRPr="00641BFE">
              <w:rPr>
                <w:b/>
                <w:bCs/>
                <w:szCs w:val="24"/>
              </w:rPr>
              <w:t xml:space="preserve">, </w:t>
            </w:r>
            <w:r w:rsidRPr="00641BFE">
              <w:rPr>
                <w:b/>
                <w:bCs/>
                <w:szCs w:val="24"/>
              </w:rPr>
              <w:t>17-19 janvier</w:t>
            </w:r>
            <w:r w:rsidR="00D837AA" w:rsidRPr="00641BFE">
              <w:rPr>
                <w:b/>
                <w:bCs/>
                <w:szCs w:val="24"/>
              </w:rPr>
              <w:t xml:space="preserve"> 201</w:t>
            </w:r>
            <w:r w:rsidRPr="00641BFE">
              <w:rPr>
                <w:b/>
                <w:bCs/>
                <w:szCs w:val="24"/>
              </w:rPr>
              <w:t>8</w:t>
            </w:r>
          </w:p>
        </w:tc>
        <w:tc>
          <w:tcPr>
            <w:tcW w:w="3261" w:type="dxa"/>
            <w:tcBorders>
              <w:bottom w:val="single" w:sz="12" w:space="0" w:color="auto"/>
            </w:tcBorders>
          </w:tcPr>
          <w:p w:rsidR="00520F36" w:rsidRPr="00641BFE" w:rsidRDefault="00520F36" w:rsidP="00AA5154">
            <w:pPr>
              <w:spacing w:before="0" w:line="276" w:lineRule="auto"/>
              <w:rPr>
                <w:b/>
                <w:bCs/>
              </w:rPr>
            </w:pPr>
          </w:p>
        </w:tc>
      </w:tr>
      <w:tr w:rsidR="00520F36" w:rsidRPr="00641BFE">
        <w:trPr>
          <w:cantSplit/>
          <w:trHeight w:val="20"/>
        </w:trPr>
        <w:tc>
          <w:tcPr>
            <w:tcW w:w="6912" w:type="dxa"/>
            <w:tcBorders>
              <w:top w:val="single" w:sz="12" w:space="0" w:color="auto"/>
            </w:tcBorders>
          </w:tcPr>
          <w:p w:rsidR="00520F36" w:rsidRPr="00641BFE" w:rsidRDefault="00520F36" w:rsidP="00AA5154">
            <w:pPr>
              <w:spacing w:before="0" w:line="276" w:lineRule="auto"/>
              <w:rPr>
                <w:smallCaps/>
                <w:sz w:val="22"/>
              </w:rPr>
            </w:pPr>
          </w:p>
        </w:tc>
        <w:tc>
          <w:tcPr>
            <w:tcW w:w="3261" w:type="dxa"/>
            <w:tcBorders>
              <w:top w:val="single" w:sz="12" w:space="0" w:color="auto"/>
            </w:tcBorders>
          </w:tcPr>
          <w:p w:rsidR="00520F36" w:rsidRPr="00641BFE" w:rsidRDefault="00520F36" w:rsidP="00AA5154">
            <w:pPr>
              <w:spacing w:before="0" w:line="276" w:lineRule="auto"/>
              <w:rPr>
                <w:b/>
                <w:bCs/>
              </w:rPr>
            </w:pPr>
          </w:p>
        </w:tc>
      </w:tr>
      <w:tr w:rsidR="00520F36" w:rsidRPr="00641BFE">
        <w:trPr>
          <w:cantSplit/>
          <w:trHeight w:val="20"/>
        </w:trPr>
        <w:tc>
          <w:tcPr>
            <w:tcW w:w="6912" w:type="dxa"/>
            <w:vMerge w:val="restart"/>
          </w:tcPr>
          <w:p w:rsidR="00520F36" w:rsidRPr="00641BFE" w:rsidRDefault="00520F36" w:rsidP="00AA5154">
            <w:pPr>
              <w:spacing w:before="0" w:line="276" w:lineRule="auto"/>
              <w:rPr>
                <w:rFonts w:cs="Times"/>
                <w:b/>
                <w:bCs/>
                <w:szCs w:val="24"/>
              </w:rPr>
            </w:pPr>
            <w:bookmarkStart w:id="1" w:name="dnum" w:colFirst="1" w:colLast="1"/>
            <w:bookmarkStart w:id="2" w:name="dmeeting" w:colFirst="0" w:colLast="0"/>
          </w:p>
        </w:tc>
        <w:tc>
          <w:tcPr>
            <w:tcW w:w="3261" w:type="dxa"/>
          </w:tcPr>
          <w:p w:rsidR="00520F36" w:rsidRPr="00641BFE" w:rsidRDefault="00520F36" w:rsidP="00AA5154">
            <w:pPr>
              <w:spacing w:before="0" w:line="276" w:lineRule="auto"/>
              <w:rPr>
                <w:b/>
                <w:bCs/>
              </w:rPr>
            </w:pPr>
            <w:r w:rsidRPr="00641BFE">
              <w:rPr>
                <w:b/>
                <w:bCs/>
              </w:rPr>
              <w:t xml:space="preserve">Document </w:t>
            </w:r>
            <w:r w:rsidR="00D837AA" w:rsidRPr="00641BFE">
              <w:rPr>
                <w:b/>
              </w:rPr>
              <w:t>EG-ITRs</w:t>
            </w:r>
            <w:r w:rsidR="00F06D00" w:rsidRPr="00641BFE">
              <w:rPr>
                <w:b/>
              </w:rPr>
              <w:t>-</w:t>
            </w:r>
            <w:r w:rsidR="00201533" w:rsidRPr="00641BFE">
              <w:rPr>
                <w:b/>
              </w:rPr>
              <w:t>3</w:t>
            </w:r>
            <w:r w:rsidR="00D837AA" w:rsidRPr="00641BFE">
              <w:rPr>
                <w:b/>
              </w:rPr>
              <w:t>/</w:t>
            </w:r>
            <w:r w:rsidR="002D2995">
              <w:rPr>
                <w:b/>
              </w:rPr>
              <w:t>7</w:t>
            </w:r>
            <w:r w:rsidR="00D837AA" w:rsidRPr="00641BFE">
              <w:rPr>
                <w:b/>
              </w:rPr>
              <w:t>-F</w:t>
            </w:r>
          </w:p>
        </w:tc>
      </w:tr>
      <w:tr w:rsidR="00520F36" w:rsidRPr="00641BFE">
        <w:trPr>
          <w:cantSplit/>
          <w:trHeight w:val="20"/>
        </w:trPr>
        <w:tc>
          <w:tcPr>
            <w:tcW w:w="6912" w:type="dxa"/>
            <w:vMerge/>
          </w:tcPr>
          <w:p w:rsidR="00520F36" w:rsidRPr="00641BFE" w:rsidRDefault="00520F36" w:rsidP="00AA5154">
            <w:pPr>
              <w:shd w:val="solid" w:color="FFFFFF" w:fill="FFFFFF"/>
              <w:spacing w:before="180" w:line="276" w:lineRule="auto"/>
              <w:rPr>
                <w:smallCaps/>
              </w:rPr>
            </w:pPr>
            <w:bookmarkStart w:id="3" w:name="ddate" w:colFirst="1" w:colLast="1"/>
            <w:bookmarkEnd w:id="1"/>
            <w:bookmarkEnd w:id="2"/>
          </w:p>
        </w:tc>
        <w:tc>
          <w:tcPr>
            <w:tcW w:w="3261" w:type="dxa"/>
          </w:tcPr>
          <w:p w:rsidR="00520F36" w:rsidRPr="00641BFE" w:rsidRDefault="002D2995" w:rsidP="00AA5154">
            <w:pPr>
              <w:spacing w:before="0" w:line="276" w:lineRule="auto"/>
              <w:rPr>
                <w:b/>
                <w:bCs/>
              </w:rPr>
            </w:pPr>
            <w:r>
              <w:rPr>
                <w:b/>
                <w:bCs/>
              </w:rPr>
              <w:t>26</w:t>
            </w:r>
            <w:r w:rsidR="00201533" w:rsidRPr="00641BFE">
              <w:rPr>
                <w:b/>
                <w:bCs/>
              </w:rPr>
              <w:t xml:space="preserve"> décembre</w:t>
            </w:r>
            <w:r w:rsidR="00520F36" w:rsidRPr="00641BFE">
              <w:rPr>
                <w:b/>
                <w:bCs/>
              </w:rPr>
              <w:t xml:space="preserve"> 2017</w:t>
            </w:r>
          </w:p>
        </w:tc>
      </w:tr>
      <w:tr w:rsidR="00520F36" w:rsidRPr="00641BFE">
        <w:trPr>
          <w:cantSplit/>
          <w:trHeight w:val="20"/>
        </w:trPr>
        <w:tc>
          <w:tcPr>
            <w:tcW w:w="6912" w:type="dxa"/>
            <w:vMerge/>
          </w:tcPr>
          <w:p w:rsidR="00520F36" w:rsidRPr="00641BFE" w:rsidRDefault="00520F36" w:rsidP="00AA5154">
            <w:pPr>
              <w:shd w:val="solid" w:color="FFFFFF" w:fill="FFFFFF"/>
              <w:spacing w:before="180" w:line="276" w:lineRule="auto"/>
              <w:rPr>
                <w:smallCaps/>
              </w:rPr>
            </w:pPr>
            <w:bookmarkStart w:id="4" w:name="dorlang" w:colFirst="1" w:colLast="1"/>
            <w:bookmarkEnd w:id="3"/>
          </w:p>
        </w:tc>
        <w:tc>
          <w:tcPr>
            <w:tcW w:w="3261" w:type="dxa"/>
          </w:tcPr>
          <w:p w:rsidR="00520F36" w:rsidRPr="00641BFE" w:rsidRDefault="00520F36" w:rsidP="00AA5154">
            <w:pPr>
              <w:spacing w:before="0" w:line="276" w:lineRule="auto"/>
              <w:rPr>
                <w:b/>
                <w:bCs/>
              </w:rPr>
            </w:pPr>
            <w:r w:rsidRPr="00641BFE">
              <w:rPr>
                <w:b/>
                <w:bCs/>
              </w:rPr>
              <w:t>Original: anglais</w:t>
            </w:r>
          </w:p>
        </w:tc>
      </w:tr>
      <w:tr w:rsidR="00520F36" w:rsidRPr="00641BFE">
        <w:trPr>
          <w:cantSplit/>
        </w:trPr>
        <w:tc>
          <w:tcPr>
            <w:tcW w:w="10173" w:type="dxa"/>
            <w:gridSpan w:val="2"/>
          </w:tcPr>
          <w:p w:rsidR="00520F36" w:rsidRPr="00641BFE" w:rsidRDefault="00201533" w:rsidP="001B2253">
            <w:pPr>
              <w:pStyle w:val="Source"/>
              <w:spacing w:line="276" w:lineRule="auto"/>
            </w:pPr>
            <w:bookmarkStart w:id="5" w:name="dsource" w:colFirst="0" w:colLast="0"/>
            <w:bookmarkEnd w:id="4"/>
            <w:r w:rsidRPr="00641BFE">
              <w:rPr>
                <w:rFonts w:asciiTheme="minorHAnsi" w:eastAsiaTheme="minorEastAsia" w:hAnsiTheme="minorHAnsi"/>
                <w:szCs w:val="32"/>
                <w:lang w:eastAsia="ja-JP"/>
              </w:rPr>
              <w:t>Japon</w:t>
            </w:r>
          </w:p>
        </w:tc>
      </w:tr>
      <w:tr w:rsidR="00520F36" w:rsidRPr="00641BFE">
        <w:trPr>
          <w:cantSplit/>
        </w:trPr>
        <w:tc>
          <w:tcPr>
            <w:tcW w:w="10173" w:type="dxa"/>
            <w:gridSpan w:val="2"/>
          </w:tcPr>
          <w:p w:rsidR="00520F36" w:rsidRPr="00641BFE" w:rsidRDefault="007E0DAB" w:rsidP="00641BFE">
            <w:pPr>
              <w:pStyle w:val="Title1"/>
              <w:spacing w:line="276" w:lineRule="auto"/>
            </w:pPr>
            <w:bookmarkStart w:id="6" w:name="dtitle1" w:colFirst="0" w:colLast="0"/>
            <w:bookmarkEnd w:id="5"/>
            <w:r w:rsidRPr="00641BFE">
              <w:rPr>
                <w:rFonts w:asciiTheme="minorHAnsi" w:hAnsiTheme="minorHAnsi" w:cstheme="majorBidi"/>
                <w:spacing w:val="-4"/>
                <w:szCs w:val="24"/>
              </w:rPr>
              <w:t xml:space="preserve">examen </w:t>
            </w:r>
            <w:r w:rsidR="00641BFE" w:rsidRPr="00641BFE">
              <w:rPr>
                <w:rFonts w:asciiTheme="minorHAnsi" w:hAnsiTheme="minorHAnsi" w:cstheme="majorBidi"/>
                <w:spacing w:val="-4"/>
                <w:szCs w:val="24"/>
              </w:rPr>
              <w:t>DE LA</w:t>
            </w:r>
            <w:r w:rsidR="001B2253" w:rsidRPr="00641BFE">
              <w:rPr>
                <w:rFonts w:asciiTheme="minorHAnsi" w:hAnsiTheme="minorHAnsi" w:cstheme="majorBidi"/>
                <w:spacing w:val="-4"/>
                <w:szCs w:val="24"/>
              </w:rPr>
              <w:t xml:space="preserve"> version</w:t>
            </w:r>
            <w:r w:rsidR="001B2253" w:rsidRPr="00641BFE">
              <w:rPr>
                <w:rFonts w:asciiTheme="minorHAnsi" w:hAnsiTheme="minorHAnsi"/>
              </w:rPr>
              <w:t xml:space="preserve"> de </w:t>
            </w:r>
            <w:r w:rsidR="001B2253" w:rsidRPr="00641BFE">
              <w:rPr>
                <w:bCs/>
              </w:rPr>
              <w:t xml:space="preserve">2012 </w:t>
            </w:r>
            <w:r w:rsidRPr="00641BFE">
              <w:rPr>
                <w:rFonts w:asciiTheme="minorHAnsi" w:hAnsiTheme="minorHAnsi" w:cstheme="majorBidi"/>
                <w:spacing w:val="-4"/>
                <w:szCs w:val="24"/>
              </w:rPr>
              <w:t xml:space="preserve">du Règlement </w:t>
            </w:r>
            <w:r w:rsidR="00641BFE" w:rsidRPr="00641BFE">
              <w:rPr>
                <w:rFonts w:asciiTheme="minorHAnsi" w:hAnsiTheme="minorHAnsi" w:cstheme="majorBidi"/>
                <w:spacing w:val="-4"/>
                <w:szCs w:val="24"/>
              </w:rPr>
              <w:br/>
            </w:r>
            <w:r w:rsidRPr="00641BFE">
              <w:rPr>
                <w:rFonts w:asciiTheme="minorHAnsi" w:hAnsiTheme="minorHAnsi" w:cstheme="majorBidi"/>
                <w:spacing w:val="-4"/>
                <w:szCs w:val="24"/>
              </w:rPr>
              <w:t xml:space="preserve">des télécommunications internationales </w:t>
            </w:r>
          </w:p>
        </w:tc>
      </w:tr>
    </w:tbl>
    <w:bookmarkEnd w:id="6"/>
    <w:p w:rsidR="001B2253" w:rsidRPr="00641BFE" w:rsidRDefault="008E598C" w:rsidP="008E598C">
      <w:pPr>
        <w:pStyle w:val="Heading1"/>
      </w:pPr>
      <w:r w:rsidRPr="00641BFE">
        <w:t>1</w:t>
      </w:r>
      <w:r w:rsidRPr="00641BFE">
        <w:tab/>
        <w:t>A</w:t>
      </w:r>
      <w:r w:rsidR="001B2253" w:rsidRPr="00641BFE">
        <w:t>nalyse juridique</w:t>
      </w:r>
    </w:p>
    <w:p w:rsidR="001B2253" w:rsidRPr="00641BFE" w:rsidRDefault="001B2253" w:rsidP="001B2253">
      <w:r w:rsidRPr="00641BFE">
        <w:t>Il existe de profondes</w:t>
      </w:r>
      <w:r w:rsidR="00641BFE" w:rsidRPr="00641BFE">
        <w:t xml:space="preserve"> divergences de vues entre les E</w:t>
      </w:r>
      <w:r w:rsidRPr="00641BFE">
        <w:t>tats Membres concernant le champ d'application du RTI et il paraît extrêmement difficile de parvenir à un consensus à cet égard. De l'avis du Japon, le RTI devrait continuer d'être axé sur les services internationaux de télécommunication offerts au public et ne devrait pas traiter</w:t>
      </w:r>
      <w:r w:rsidR="008E598C" w:rsidRPr="00641BFE">
        <w:t xml:space="preserve"> </w:t>
      </w:r>
      <w:r w:rsidRPr="00641BFE">
        <w:t>de questions nationales ou</w:t>
      </w:r>
      <w:r w:rsidR="008E598C" w:rsidRPr="00641BFE">
        <w:t xml:space="preserve"> </w:t>
      </w:r>
      <w:r w:rsidRPr="00641BFE">
        <w:t>d'autres services, infrastructures ou réseaux liés aux communications, y compris les questions ayant trait à l'Internet. Chacun reconnaît que les</w:t>
      </w:r>
      <w:r w:rsidR="008E598C" w:rsidRPr="00641BFE">
        <w:t xml:space="preserve"> télécommunications</w:t>
      </w:r>
      <w:r w:rsidRPr="00641BFE">
        <w:t>/TIC constituent un puissant moteur et un instrument indispensable au service</w:t>
      </w:r>
      <w:r w:rsidR="008E598C" w:rsidRPr="00641BFE">
        <w:t xml:space="preserve"> </w:t>
      </w:r>
      <w:r w:rsidRPr="00641BFE">
        <w:t>de la croissance économique</w:t>
      </w:r>
      <w:r w:rsidR="008E598C" w:rsidRPr="00641BFE">
        <w:t xml:space="preserve"> </w:t>
      </w:r>
      <w:r w:rsidRPr="00641BFE">
        <w:t>durable et jouent un rôle important</w:t>
      </w:r>
      <w:r w:rsidR="00641BFE" w:rsidRPr="00641BFE">
        <w:t>,</w:t>
      </w:r>
      <w:r w:rsidRPr="00641BFE">
        <w:t xml:space="preserve"> en ce sens qu'elles servent de base</w:t>
      </w:r>
      <w:r w:rsidR="008E598C" w:rsidRPr="00641BFE">
        <w:t xml:space="preserve"> </w:t>
      </w:r>
      <w:r w:rsidRPr="00641BFE">
        <w:t>aux activités économiques et sociales. Afin de tirer le plus grand parti possible de ces avantages, nous devons mettre en place des conditions propres à accélérer les activités commerciales des opérateurs et à encourager la concurrence, au lieu de privilégier la réglementation.</w:t>
      </w:r>
    </w:p>
    <w:p w:rsidR="001B2253" w:rsidRPr="00641BFE" w:rsidRDefault="001B2253" w:rsidP="00641BFE">
      <w:r w:rsidRPr="00641BFE">
        <w:t>Le développement rapide des technologies s'accompagne de profondes mutations de l'environnement intern</w:t>
      </w:r>
      <w:r w:rsidR="00641BFE" w:rsidRPr="00641BFE">
        <w:t>ational des télécommunications/</w:t>
      </w:r>
      <w:r w:rsidRPr="00641BFE">
        <w:t xml:space="preserve">TIC, qui évolue rapidement. De nouvelles tendances se font jour et de nouveaux problèmes (dénommés ci-après </w:t>
      </w:r>
      <w:r w:rsidR="00641BFE" w:rsidRPr="00641BFE">
        <w:t>"</w:t>
      </w:r>
      <w:r w:rsidRPr="00641BFE">
        <w:t>nouveaux problèmes</w:t>
      </w:r>
      <w:r w:rsidR="00641BFE" w:rsidRPr="00641BFE">
        <w:t>"</w:t>
      </w:r>
      <w:r w:rsidRPr="00641BFE">
        <w:t>) apparaissent</w:t>
      </w:r>
      <w:r w:rsidR="008E598C" w:rsidRPr="00641BFE">
        <w:t xml:space="preserve"> </w:t>
      </w:r>
      <w:r w:rsidRPr="00641BFE">
        <w:t>en permanence</w:t>
      </w:r>
      <w:r w:rsidR="00641BFE" w:rsidRPr="00641BFE">
        <w:t>. E</w:t>
      </w:r>
      <w:r w:rsidRPr="00641BFE">
        <w:t>tant donné que nul ne peut prédire comment évolueront ces nouveaux problèmes à terme, il paraît impossible d'en donner une définition claire et précise</w:t>
      </w:r>
      <w:r w:rsidR="008E598C" w:rsidRPr="00641BFE">
        <w:t>.</w:t>
      </w:r>
    </w:p>
    <w:p w:rsidR="001B2253" w:rsidRPr="00641BFE" w:rsidRDefault="001B2253" w:rsidP="00641BFE">
      <w:r w:rsidRPr="00641BFE">
        <w:t>Dans ce contexte, il ne paraît pas judicieux d'aborder les nouveaux problèmes qui se po</w:t>
      </w:r>
      <w:r w:rsidR="00641BFE" w:rsidRPr="00641BFE">
        <w:t>sent –</w:t>
      </w:r>
      <w:r w:rsidRPr="00641BFE">
        <w:t xml:space="preserve"> </w:t>
      </w:r>
      <w:r w:rsidR="00641BFE" w:rsidRPr="00641BFE">
        <w:t>en constante mutation –</w:t>
      </w:r>
      <w:r w:rsidRPr="00641BFE">
        <w:t>, dans le cadre d'instruments internationaux contraignants, en faisant des conjectures sur la façon dont ils évolueront. Il convient d'ajouter que les nouveaux problèmes sont source d'instabilité pour les instruments internationaux contraignants. De surcroît, si l'on établit</w:t>
      </w:r>
      <w:r w:rsidR="008E598C" w:rsidRPr="00641BFE">
        <w:t xml:space="preserve"> </w:t>
      </w:r>
      <w:r w:rsidRPr="00641BFE">
        <w:t>un cadre juridique international pour réglementer les nouveaux problèmes, les opérateurs éprouveront des difficultés à s'adapter avec la souplesse nécessaire à l'évolution rapide de l'environnement international, y compris aux progrès techniques et à l'</w:t>
      </w:r>
      <w:r w:rsidR="008E598C" w:rsidRPr="00641BFE">
        <w:t>émergence de nouveaux marchés</w:t>
      </w:r>
      <w:r w:rsidRPr="00641BFE">
        <w:t xml:space="preserve">. </w:t>
      </w:r>
      <w:r w:rsidR="00641BFE" w:rsidRPr="00641BFE">
        <w:t>En conséquence,</w:t>
      </w:r>
      <w:r w:rsidRPr="00641BFE">
        <w:t xml:space="preserve"> </w:t>
      </w:r>
      <w:r w:rsidR="00641BFE" w:rsidRPr="00641BFE">
        <w:t>l</w:t>
      </w:r>
      <w:r w:rsidRPr="00641BFE">
        <w:t xml:space="preserve">es possibilités de création de nouvelles activités commerciales </w:t>
      </w:r>
      <w:r w:rsidR="00641BFE" w:rsidRPr="00641BFE">
        <w:t>seront moins nombreuses et l</w:t>
      </w:r>
      <w:r w:rsidRPr="00641BFE">
        <w:t xml:space="preserve">es perspectives d'innovation technologique </w:t>
      </w:r>
      <w:r w:rsidR="00641BFE" w:rsidRPr="00641BFE">
        <w:t xml:space="preserve">seront </w:t>
      </w:r>
      <w:r w:rsidRPr="00641BFE">
        <w:t>plus limitées, ce qui risque d'avoir des incidences négatives sur la</w:t>
      </w:r>
      <w:r w:rsidR="008E598C" w:rsidRPr="00641BFE">
        <w:t xml:space="preserve"> croissance économique mondiale.</w:t>
      </w:r>
    </w:p>
    <w:p w:rsidR="001B2253" w:rsidRPr="00641BFE" w:rsidRDefault="001B2253" w:rsidP="008E598C">
      <w:pPr>
        <w:pStyle w:val="Heading1"/>
      </w:pPr>
      <w:r w:rsidRPr="00641BFE">
        <w:lastRenderedPageBreak/>
        <w:t>2</w:t>
      </w:r>
      <w:r w:rsidRPr="00641BFE">
        <w:tab/>
        <w:t>Point d</w:t>
      </w:r>
      <w:bookmarkStart w:id="7" w:name="_GoBack"/>
      <w:bookmarkEnd w:id="7"/>
      <w:r w:rsidRPr="00641BFE">
        <w:t>e vue sur la tenue d'une nouvelle CMTI</w:t>
      </w:r>
    </w:p>
    <w:p w:rsidR="00201533" w:rsidRPr="00641BFE" w:rsidRDefault="008E598C" w:rsidP="001B2253">
      <w:r w:rsidRPr="00641BFE">
        <w:t>S</w:t>
      </w:r>
      <w:r w:rsidR="001B2253" w:rsidRPr="00641BFE">
        <w:t>i aucun consensus international ne se dégage</w:t>
      </w:r>
      <w:r w:rsidRPr="00641BFE">
        <w:t xml:space="preserve"> </w:t>
      </w:r>
      <w:r w:rsidR="001B2253" w:rsidRPr="00641BFE">
        <w:t>entre les Etats Membres au sujet du RTI,</w:t>
      </w:r>
      <w:r w:rsidRPr="00641BFE">
        <w:t xml:space="preserve"> </w:t>
      </w:r>
      <w:r w:rsidR="001B2253" w:rsidRPr="00641BFE">
        <w:t>nous ne voyons pas l'intérêt de modifier ledit Règlement et d'organiser une Conférence mondiale des télécommunications internationales</w:t>
      </w:r>
      <w:r w:rsidRPr="00641BFE">
        <w:t xml:space="preserve"> (CMTI)</w:t>
      </w:r>
      <w:r w:rsidR="001B2253" w:rsidRPr="00641BFE">
        <w:t>. Comme l'ont déjà souligné certains membres,</w:t>
      </w:r>
      <w:r w:rsidRPr="00641BFE">
        <w:t xml:space="preserve"> </w:t>
      </w:r>
      <w:r w:rsidR="001B2253" w:rsidRPr="00641BFE">
        <w:t>nous craignons par ailleurs que la révision du RTI et le processus de préparation qui lui est associé n'imposent un lourd fardeau, sur le plan des ressources financières et des ressources humaines, aux Etats Membres, aux bureaux régionaux, à l'UIT, au pays hôte de la CMTI et à toutes les parties concernées</w:t>
      </w:r>
      <w:r w:rsidRPr="00641BFE">
        <w:t>.</w:t>
      </w:r>
    </w:p>
    <w:p w:rsidR="008E598C" w:rsidRPr="00641BFE" w:rsidRDefault="008E598C" w:rsidP="001B2253"/>
    <w:p w:rsidR="008E598C" w:rsidRPr="00641BFE" w:rsidRDefault="008E598C" w:rsidP="005D33FA">
      <w:pPr>
        <w:jc w:val="center"/>
      </w:pPr>
      <w:r w:rsidRPr="00641BFE">
        <w:t>______________</w:t>
      </w:r>
    </w:p>
    <w:sectPr w:rsidR="008E598C" w:rsidRPr="00641BFE"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7D" w:rsidRDefault="006E747D">
      <w:r>
        <w:separator/>
      </w:r>
    </w:p>
  </w:endnote>
  <w:endnote w:type="continuationSeparator" w:id="0">
    <w:p w:rsidR="006E747D" w:rsidRDefault="006E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2D2995">
      <w:rPr>
        <w:lang w:val="en-US"/>
      </w:rPr>
      <w:t>P:\FRA\SG\CONSEIL\EG-ITR\EG-ITR-3\000\007F.docx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5D33FA">
      <w:t>12.01.18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2D2995">
      <w:t>12.01.18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2D2995">
      <w:rPr>
        <w:lang w:val="en-US"/>
      </w:rPr>
      <w:t>P:\FRA\SG\CONSEIL\EG-ITR\EG-ITR-3\000\007F.docx</w:t>
    </w:r>
    <w:r>
      <w:fldChar w:fldCharType="end"/>
    </w:r>
    <w:r w:rsidR="008E598C">
      <w:t xml:space="preserve"> (430377</w:t>
    </w:r>
    <w:r w:rsidR="0020153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7D" w:rsidRDefault="006E747D">
      <w:r>
        <w:t>____________________</w:t>
      </w:r>
    </w:p>
  </w:footnote>
  <w:footnote w:type="continuationSeparator" w:id="0">
    <w:p w:rsidR="006E747D" w:rsidRDefault="006E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5D33FA">
    <w:pPr>
      <w:pStyle w:val="Header"/>
    </w:pPr>
    <w:r>
      <w:fldChar w:fldCharType="begin"/>
    </w:r>
    <w:r>
      <w:instrText>PAGE</w:instrText>
    </w:r>
    <w:r>
      <w:fldChar w:fldCharType="separate"/>
    </w:r>
    <w:r w:rsidR="005D33FA">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7BFD988-8227-46E6-A539-14D8371615AE}"/>
    <w:docVar w:name="dgnword-eventsink" w:val="450813072"/>
  </w:docVars>
  <w:rsids>
    <w:rsidRoot w:val="006E747D"/>
    <w:rsid w:val="000861BC"/>
    <w:rsid w:val="000D0D0A"/>
    <w:rsid w:val="00103163"/>
    <w:rsid w:val="0010758F"/>
    <w:rsid w:val="00115D93"/>
    <w:rsid w:val="001247A8"/>
    <w:rsid w:val="001378C0"/>
    <w:rsid w:val="0018694A"/>
    <w:rsid w:val="001A3287"/>
    <w:rsid w:val="001A6508"/>
    <w:rsid w:val="001B2253"/>
    <w:rsid w:val="001D4C31"/>
    <w:rsid w:val="001E4D21"/>
    <w:rsid w:val="00201533"/>
    <w:rsid w:val="0020660E"/>
    <w:rsid w:val="00207CD1"/>
    <w:rsid w:val="002477A2"/>
    <w:rsid w:val="00263A51"/>
    <w:rsid w:val="00267E02"/>
    <w:rsid w:val="002A0D38"/>
    <w:rsid w:val="002A5D44"/>
    <w:rsid w:val="002D2995"/>
    <w:rsid w:val="002E0BC4"/>
    <w:rsid w:val="002F1B76"/>
    <w:rsid w:val="00355FF5"/>
    <w:rsid w:val="00361350"/>
    <w:rsid w:val="004038CB"/>
    <w:rsid w:val="0040546F"/>
    <w:rsid w:val="0042404A"/>
    <w:rsid w:val="0044618F"/>
    <w:rsid w:val="0046769A"/>
    <w:rsid w:val="00474A8E"/>
    <w:rsid w:val="00475FB3"/>
    <w:rsid w:val="004C37A9"/>
    <w:rsid w:val="004F259E"/>
    <w:rsid w:val="00506566"/>
    <w:rsid w:val="00511F1D"/>
    <w:rsid w:val="00520F36"/>
    <w:rsid w:val="00540615"/>
    <w:rsid w:val="00540A6D"/>
    <w:rsid w:val="00571EEA"/>
    <w:rsid w:val="00575417"/>
    <w:rsid w:val="005768E1"/>
    <w:rsid w:val="005C3890"/>
    <w:rsid w:val="005D33FA"/>
    <w:rsid w:val="005F7BFE"/>
    <w:rsid w:val="00600017"/>
    <w:rsid w:val="006235CA"/>
    <w:rsid w:val="00641BFE"/>
    <w:rsid w:val="006643AB"/>
    <w:rsid w:val="006E747D"/>
    <w:rsid w:val="007147F1"/>
    <w:rsid w:val="007210CD"/>
    <w:rsid w:val="00732045"/>
    <w:rsid w:val="007369DB"/>
    <w:rsid w:val="00756723"/>
    <w:rsid w:val="007956C2"/>
    <w:rsid w:val="007A187E"/>
    <w:rsid w:val="007C72C2"/>
    <w:rsid w:val="007D4436"/>
    <w:rsid w:val="007E0DAB"/>
    <w:rsid w:val="007F257A"/>
    <w:rsid w:val="007F3665"/>
    <w:rsid w:val="00800037"/>
    <w:rsid w:val="00861D73"/>
    <w:rsid w:val="008A3858"/>
    <w:rsid w:val="008A4E87"/>
    <w:rsid w:val="008D76E6"/>
    <w:rsid w:val="008E598C"/>
    <w:rsid w:val="0092392D"/>
    <w:rsid w:val="0093234A"/>
    <w:rsid w:val="0099613D"/>
    <w:rsid w:val="009B3BDE"/>
    <w:rsid w:val="009C307F"/>
    <w:rsid w:val="009D08CE"/>
    <w:rsid w:val="00A2113E"/>
    <w:rsid w:val="00A23A51"/>
    <w:rsid w:val="00A24607"/>
    <w:rsid w:val="00A25CD3"/>
    <w:rsid w:val="00A82767"/>
    <w:rsid w:val="00AA332F"/>
    <w:rsid w:val="00AA5154"/>
    <w:rsid w:val="00AA7BBB"/>
    <w:rsid w:val="00AB64A8"/>
    <w:rsid w:val="00AC0266"/>
    <w:rsid w:val="00AD24EC"/>
    <w:rsid w:val="00B309F9"/>
    <w:rsid w:val="00B32B60"/>
    <w:rsid w:val="00B61619"/>
    <w:rsid w:val="00B7385A"/>
    <w:rsid w:val="00BB4545"/>
    <w:rsid w:val="00BD5873"/>
    <w:rsid w:val="00C04BE3"/>
    <w:rsid w:val="00C25D29"/>
    <w:rsid w:val="00C27A7C"/>
    <w:rsid w:val="00C333A2"/>
    <w:rsid w:val="00CA08ED"/>
    <w:rsid w:val="00CF183B"/>
    <w:rsid w:val="00D375CD"/>
    <w:rsid w:val="00D553A2"/>
    <w:rsid w:val="00D774D3"/>
    <w:rsid w:val="00D837AA"/>
    <w:rsid w:val="00D904E8"/>
    <w:rsid w:val="00DA08C3"/>
    <w:rsid w:val="00DA75E8"/>
    <w:rsid w:val="00DB5A3E"/>
    <w:rsid w:val="00DC22AA"/>
    <w:rsid w:val="00DF74DD"/>
    <w:rsid w:val="00E25AD0"/>
    <w:rsid w:val="00EB6350"/>
    <w:rsid w:val="00F06D00"/>
    <w:rsid w:val="00F15B57"/>
    <w:rsid w:val="00F427DB"/>
    <w:rsid w:val="00FA5EB1"/>
    <w:rsid w:val="00FA7439"/>
    <w:rsid w:val="00FC4EC0"/>
    <w:rsid w:val="00FE03F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2D17F1-EC8B-4A0F-B1FE-B19A3AD7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6568-55A8-4C32-A1AA-459C5E25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13</TotalTime>
  <Pages>2</Pages>
  <Words>470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Royer, Veronique</cp:lastModifiedBy>
  <cp:revision>7</cp:revision>
  <cp:lastPrinted>2018-01-12T09:17:00Z</cp:lastPrinted>
  <dcterms:created xsi:type="dcterms:W3CDTF">2018-01-12T09:13:00Z</dcterms:created>
  <dcterms:modified xsi:type="dcterms:W3CDTF">2018-01-12T10:25:00Z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