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7B5254" w:rsidP="007B5254">
            <w:pPr>
              <w:spacing w:before="240" w:after="48"/>
              <w:rPr>
                <w:rFonts w:asciiTheme="minorHAnsi" w:hAnsiTheme="minorHAnsi"/>
                <w:b/>
                <w:position w:val="6"/>
                <w:sz w:val="30"/>
                <w:szCs w:val="30"/>
              </w:rPr>
            </w:pPr>
            <w:bookmarkStart w:id="0" w:name="dc06"/>
            <w:bookmarkStart w:id="1" w:name="_GoBack"/>
            <w:bookmarkEnd w:id="0"/>
            <w:bookmarkEnd w:id="1"/>
            <w:r>
              <w:rPr>
                <w:rFonts w:asciiTheme="minorHAnsi" w:hAnsiTheme="minorHAnsi"/>
                <w:b/>
                <w:position w:val="6"/>
                <w:sz w:val="30"/>
                <w:szCs w:val="30"/>
              </w:rPr>
              <w:t>Expert</w:t>
            </w:r>
            <w:r w:rsidR="000F2E67" w:rsidRPr="000F2E67">
              <w:rPr>
                <w:rFonts w:asciiTheme="minorHAnsi" w:hAnsiTheme="minorHAnsi"/>
                <w:b/>
                <w:position w:val="6"/>
                <w:sz w:val="30"/>
                <w:szCs w:val="30"/>
              </w:rPr>
              <w:t xml:space="preserve"> Group on </w:t>
            </w:r>
            <w:r>
              <w:rPr>
                <w:rFonts w:asciiTheme="minorHAnsi" w:hAnsiTheme="minorHAnsi"/>
                <w:b/>
                <w:position w:val="6"/>
                <w:sz w:val="30"/>
                <w:szCs w:val="30"/>
              </w:rPr>
              <w:t xml:space="preserve">the </w:t>
            </w:r>
            <w:r>
              <w:rPr>
                <w:rFonts w:asciiTheme="minorHAnsi" w:hAnsiTheme="minorHAnsi"/>
                <w:b/>
                <w:position w:val="6"/>
                <w:sz w:val="30"/>
                <w:szCs w:val="30"/>
              </w:rPr>
              <w:br/>
            </w:r>
            <w:r w:rsidR="001B506B">
              <w:rPr>
                <w:rFonts w:asciiTheme="minorHAnsi" w:hAnsiTheme="minorHAnsi"/>
                <w:b/>
                <w:position w:val="6"/>
                <w:sz w:val="30"/>
                <w:szCs w:val="30"/>
              </w:rPr>
              <w:t>International</w:t>
            </w:r>
            <w:r>
              <w:rPr>
                <w:rFonts w:asciiTheme="minorHAnsi" w:hAnsiTheme="minorHAnsi"/>
                <w:b/>
                <w:position w:val="6"/>
                <w:sz w:val="30"/>
                <w:szCs w:val="30"/>
              </w:rPr>
              <w:t xml:space="preserve"> Telecommunication Regulations</w:t>
            </w:r>
          </w:p>
          <w:p w:rsidR="005F153A" w:rsidRPr="00D613F6" w:rsidRDefault="007B5254" w:rsidP="00DE6AB7">
            <w:pPr>
              <w:spacing w:after="120"/>
              <w:rPr>
                <w:rFonts w:asciiTheme="minorHAnsi" w:hAnsiTheme="minorHAnsi"/>
                <w:b/>
                <w:position w:val="6"/>
                <w:sz w:val="26"/>
                <w:szCs w:val="26"/>
              </w:rPr>
            </w:pPr>
            <w:r>
              <w:rPr>
                <w:rFonts w:asciiTheme="minorHAnsi" w:hAnsiTheme="minorHAnsi" w:cs="Times New Roman Bold"/>
                <w:b/>
                <w:sz w:val="24"/>
              </w:rPr>
              <w:t>Third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DE6AB7">
              <w:rPr>
                <w:rFonts w:asciiTheme="minorHAnsi" w:hAnsiTheme="minorHAnsi" w:cs="Times New Roman Bold"/>
                <w:b/>
                <w:sz w:val="24"/>
              </w:rPr>
              <w:t>17-19</w:t>
            </w:r>
            <w:r w:rsidR="000F2E67" w:rsidRPr="000F2E67">
              <w:rPr>
                <w:rFonts w:asciiTheme="minorHAnsi" w:hAnsiTheme="minorHAnsi" w:cs="Times New Roman Bold"/>
                <w:b/>
                <w:sz w:val="24"/>
              </w:rPr>
              <w:t xml:space="preserve"> </w:t>
            </w:r>
            <w:r w:rsidR="00DE6AB7">
              <w:rPr>
                <w:rFonts w:asciiTheme="minorHAnsi" w:hAnsiTheme="minorHAnsi" w:cs="Times New Roman Bold"/>
                <w:b/>
                <w:sz w:val="24"/>
              </w:rPr>
              <w:t>January 2018</w:t>
            </w:r>
          </w:p>
        </w:tc>
        <w:tc>
          <w:tcPr>
            <w:tcW w:w="3793" w:type="dxa"/>
          </w:tcPr>
          <w:p w:rsidR="005F153A" w:rsidRPr="00D613F6" w:rsidRDefault="005F153A" w:rsidP="001B506B">
            <w:pPr>
              <w:spacing w:before="120" w:line="240" w:lineRule="atLeast"/>
            </w:pPr>
            <w:bookmarkStart w:id="2" w:name="ditulogo"/>
            <w:bookmarkEnd w:id="2"/>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B506B"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rsidR="005F153A" w:rsidRPr="000F2E67" w:rsidRDefault="005F153A" w:rsidP="00F8075E">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7B5254">
              <w:rPr>
                <w:rFonts w:asciiTheme="minorHAnsi" w:hAnsiTheme="minorHAnsi" w:cs="Times New Roman Bold"/>
                <w:b/>
                <w:spacing w:val="-4"/>
                <w:sz w:val="24"/>
                <w:lang w:val="de-CH"/>
              </w:rPr>
              <w:t>EG-ITRs</w:t>
            </w:r>
            <w:r w:rsidR="00DE6AB7">
              <w:rPr>
                <w:rFonts w:asciiTheme="minorHAnsi" w:hAnsiTheme="minorHAnsi" w:cs="Times New Roman Bold"/>
                <w:b/>
                <w:spacing w:val="-4"/>
                <w:sz w:val="24"/>
                <w:lang w:val="de-CH"/>
              </w:rPr>
              <w:t>-</w:t>
            </w:r>
            <w:r w:rsidR="007B5254">
              <w:rPr>
                <w:rFonts w:asciiTheme="minorHAnsi" w:hAnsiTheme="minorHAnsi" w:cs="Times New Roman Bold"/>
                <w:b/>
                <w:spacing w:val="-4"/>
                <w:sz w:val="24"/>
                <w:lang w:val="de-CH"/>
              </w:rPr>
              <w:t>3</w:t>
            </w:r>
            <w:r w:rsidRPr="000F2E67">
              <w:rPr>
                <w:rFonts w:asciiTheme="minorHAnsi" w:hAnsiTheme="minorHAnsi" w:cs="Times New Roman Bold"/>
                <w:b/>
                <w:spacing w:val="-4"/>
                <w:sz w:val="24"/>
                <w:lang w:val="de-CH"/>
              </w:rPr>
              <w:t>/</w:t>
            </w:r>
            <w:r w:rsidR="00F8075E">
              <w:rPr>
                <w:rFonts w:asciiTheme="minorHAnsi" w:hAnsiTheme="minorHAnsi" w:cs="Times New Roman Bold"/>
                <w:b/>
                <w:spacing w:val="-4"/>
                <w:sz w:val="24"/>
                <w:lang w:val="de-CH"/>
              </w:rPr>
              <w:t>7</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rsidR="005F153A" w:rsidRPr="000F2E67" w:rsidRDefault="004154E9" w:rsidP="007223F0">
            <w:pPr>
              <w:snapToGrid w:val="0"/>
              <w:ind w:left="57"/>
              <w:rPr>
                <w:rFonts w:asciiTheme="minorHAnsi" w:hAnsiTheme="minorHAnsi"/>
                <w:b/>
                <w:sz w:val="24"/>
              </w:rPr>
            </w:pPr>
            <w:r>
              <w:rPr>
                <w:rFonts w:asciiTheme="minorHAnsi" w:hAnsiTheme="minorHAnsi"/>
                <w:b/>
                <w:sz w:val="24"/>
              </w:rPr>
              <w:t>2</w:t>
            </w:r>
            <w:r w:rsidR="007223F0">
              <w:rPr>
                <w:rFonts w:asciiTheme="minorHAnsi" w:hAnsiTheme="minorHAnsi"/>
                <w:b/>
                <w:sz w:val="24"/>
              </w:rPr>
              <w:t>6</w:t>
            </w:r>
            <w:r>
              <w:rPr>
                <w:rFonts w:asciiTheme="minorHAnsi" w:hAnsiTheme="minorHAnsi"/>
                <w:b/>
                <w:sz w:val="24"/>
              </w:rPr>
              <w:t xml:space="preserve"> December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rsidR="005F153A" w:rsidRPr="000F2E67" w:rsidRDefault="007B5254" w:rsidP="000F2E67">
            <w:pPr>
              <w:snapToGrid w:val="0"/>
              <w:ind w:left="57"/>
              <w:rPr>
                <w:rFonts w:asciiTheme="minorHAnsi" w:hAnsiTheme="minorHAnsi"/>
                <w:b/>
                <w:sz w:val="24"/>
              </w:rPr>
            </w:pPr>
            <w:r>
              <w:rPr>
                <w:rFonts w:asciiTheme="minorHAnsi" w:hAnsiTheme="minorHAnsi"/>
                <w:b/>
                <w:sz w:val="24"/>
              </w:rPr>
              <w:t>Original: English</w:t>
            </w:r>
          </w:p>
        </w:tc>
      </w:tr>
    </w:tbl>
    <w:bookmarkEnd w:id="6"/>
    <w:p w:rsidR="004154E9" w:rsidRDefault="00F8075E" w:rsidP="004154E9">
      <w:pPr>
        <w:spacing w:before="840" w:after="120"/>
        <w:jc w:val="center"/>
        <w:rPr>
          <w:rFonts w:asciiTheme="minorHAnsi" w:eastAsiaTheme="minorEastAsia" w:hAnsiTheme="minorHAnsi"/>
          <w:b/>
          <w:sz w:val="28"/>
          <w:szCs w:val="32"/>
          <w:lang w:eastAsia="ja-JP"/>
        </w:rPr>
      </w:pPr>
      <w:r>
        <w:rPr>
          <w:rFonts w:asciiTheme="minorHAnsi" w:hAnsiTheme="minorHAnsi"/>
          <w:b/>
          <w:sz w:val="28"/>
          <w:szCs w:val="32"/>
        </w:rPr>
        <w:t>Japan</w:t>
      </w:r>
    </w:p>
    <w:p w:rsidR="00AF50A8" w:rsidRDefault="00F8075E" w:rsidP="007223F0">
      <w:pPr>
        <w:pStyle w:val="Title1"/>
        <w:spacing w:before="360"/>
        <w:rPr>
          <w:caps/>
          <w:sz w:val="28"/>
          <w:szCs w:val="36"/>
        </w:rPr>
      </w:pPr>
      <w:r>
        <w:rPr>
          <w:rFonts w:cs="Times New Roman Bold" w:hint="eastAsia"/>
          <w:bCs/>
          <w:caps/>
          <w:sz w:val="28"/>
          <w:szCs w:val="22"/>
          <w:lang w:eastAsia="ja-JP"/>
        </w:rPr>
        <w:t>re</w:t>
      </w:r>
      <w:r>
        <w:rPr>
          <w:rFonts w:cs="Times New Roman Bold"/>
          <w:bCs/>
          <w:caps/>
          <w:sz w:val="28"/>
          <w:szCs w:val="22"/>
          <w:lang w:eastAsia="ja-JP"/>
        </w:rPr>
        <w:t>view of the 2012 international telecommunication regulations</w:t>
      </w:r>
    </w:p>
    <w:p w:rsidR="007223F0" w:rsidRPr="007223F0" w:rsidRDefault="007223F0" w:rsidP="007223F0">
      <w:pPr>
        <w:spacing w:line="280" w:lineRule="atLeast"/>
        <w:jc w:val="both"/>
        <w:rPr>
          <w:rFonts w:asciiTheme="minorHAnsi" w:eastAsia="Calibri" w:hAnsiTheme="minorHAnsi"/>
          <w:color w:val="000000"/>
          <w:sz w:val="24"/>
        </w:rPr>
      </w:pPr>
    </w:p>
    <w:p w:rsidR="00F8075E" w:rsidRPr="00F8075E" w:rsidRDefault="00F8075E" w:rsidP="00F8075E">
      <w:pPr>
        <w:snapToGrid w:val="0"/>
        <w:spacing w:before="200" w:after="120"/>
        <w:rPr>
          <w:rFonts w:asciiTheme="minorHAnsi" w:hAnsiTheme="minorHAnsi"/>
          <w:b/>
          <w:sz w:val="24"/>
        </w:rPr>
      </w:pPr>
      <w:r w:rsidRPr="00F8075E">
        <w:rPr>
          <w:rFonts w:asciiTheme="minorHAnsi" w:hAnsiTheme="minorHAnsi"/>
          <w:b/>
          <w:sz w:val="24"/>
        </w:rPr>
        <w:t>1</w:t>
      </w:r>
      <w:r w:rsidRPr="00F8075E">
        <w:rPr>
          <w:rFonts w:asciiTheme="minorHAnsi" w:hAnsiTheme="minorHAnsi"/>
          <w:b/>
          <w:sz w:val="24"/>
        </w:rPr>
        <w:tab/>
        <w:t>Legal analyses</w:t>
      </w:r>
    </w:p>
    <w:p w:rsidR="00F8075E" w:rsidRPr="00F8075E" w:rsidRDefault="00F8075E" w:rsidP="00F8075E">
      <w:pPr>
        <w:snapToGrid w:val="0"/>
        <w:spacing w:before="200" w:after="120"/>
        <w:rPr>
          <w:rFonts w:asciiTheme="minorHAnsi" w:eastAsia="AR Pゴシック体M" w:hAnsiTheme="minorHAnsi"/>
          <w:sz w:val="24"/>
          <w:lang w:eastAsia="ja-JP"/>
        </w:rPr>
      </w:pPr>
      <w:r w:rsidRPr="00F8075E">
        <w:rPr>
          <w:rFonts w:asciiTheme="minorHAnsi" w:hAnsiTheme="minorHAnsi"/>
          <w:color w:val="000000"/>
          <w:sz w:val="24"/>
          <w:lang w:eastAsia="ja-JP"/>
        </w:rPr>
        <w:t>Regarding the scope of the ITRs, there is a huge divergence in views among Member States and it seems extremely difficult to reach a consensus, while Japan is of the view that the ITRs should remain focused on international telecommunication services offered to the public and should not be extended to domestic issues or to other communication-related services, infrastructure or networks, including issues related to the Internet. As everyone recognizes, telecommunications/ICT is a powerful and indispensable engine for sustainable economic growth and plays a significant role as a foundation of economic and social activities. In order to maximize those benefits, we need to build an enabling environment for accelerating operators’ business activity and fostering competition, instead of regulation.</w:t>
      </w:r>
    </w:p>
    <w:p w:rsidR="00F8075E" w:rsidRPr="00F8075E" w:rsidRDefault="00F8075E" w:rsidP="00F8075E">
      <w:pPr>
        <w:snapToGrid w:val="0"/>
        <w:spacing w:before="200" w:after="120"/>
        <w:rPr>
          <w:rFonts w:asciiTheme="minorHAnsi" w:hAnsiTheme="minorHAnsi"/>
          <w:color w:val="000000"/>
          <w:sz w:val="24"/>
          <w:lang w:eastAsia="ja-JP"/>
        </w:rPr>
      </w:pPr>
      <w:r w:rsidRPr="00F8075E">
        <w:rPr>
          <w:rFonts w:asciiTheme="minorHAnsi" w:hAnsiTheme="minorHAnsi"/>
          <w:color w:val="000000"/>
          <w:sz w:val="24"/>
          <w:lang w:eastAsia="ja-JP"/>
        </w:rPr>
        <w:t>Along with the rapid development of technologies, international telecommunications/ICT environments are drastically and rapidly evolving, and new trends/emerging issues (hereinafter referred to as new issues) are also ever-changing. As no one can predict how such new issues will develop in the future, it seems impossible to give a clear and precise definition of them.</w:t>
      </w:r>
    </w:p>
    <w:p w:rsidR="00F8075E" w:rsidRPr="00F8075E" w:rsidRDefault="00F8075E" w:rsidP="00F8075E">
      <w:pPr>
        <w:snapToGrid w:val="0"/>
        <w:spacing w:before="200" w:after="120"/>
        <w:rPr>
          <w:rFonts w:asciiTheme="minorHAnsi" w:eastAsia="AR Pゴシック体M" w:hAnsiTheme="minorHAnsi"/>
          <w:sz w:val="24"/>
          <w:lang w:eastAsia="ja-JP"/>
        </w:rPr>
      </w:pPr>
      <w:r w:rsidRPr="00F8075E">
        <w:rPr>
          <w:rFonts w:asciiTheme="minorHAnsi" w:hAnsiTheme="minorHAnsi"/>
          <w:color w:val="000000"/>
          <w:sz w:val="24"/>
          <w:lang w:eastAsia="ja-JP"/>
        </w:rPr>
        <w:t xml:space="preserve">Taking into account these facts, it is unfitting that continually changing new issues will be addressed by binding international instruments by </w:t>
      </w:r>
      <w:r w:rsidRPr="00F8075E">
        <w:rPr>
          <w:rFonts w:asciiTheme="minorHAnsi" w:eastAsia="AR Pゴシック体M" w:hAnsiTheme="minorHAnsi"/>
          <w:sz w:val="24"/>
        </w:rPr>
        <w:t xml:space="preserve">making assumptions about how </w:t>
      </w:r>
      <w:r w:rsidRPr="00F8075E">
        <w:rPr>
          <w:rFonts w:asciiTheme="minorHAnsi" w:hAnsiTheme="minorHAnsi"/>
          <w:color w:val="000000"/>
          <w:sz w:val="24"/>
          <w:lang w:eastAsia="ja-JP"/>
        </w:rPr>
        <w:t xml:space="preserve">new issues will evolve. In addition, new issues cause a lack of stability to binding international instruments. Furthermore, setting an international legal framework to regulate new issues will make operators difficult to respond flexibly to rapidly evolving international environments, including </w:t>
      </w:r>
      <w:r w:rsidRPr="00F8075E">
        <w:rPr>
          <w:rFonts w:asciiTheme="minorHAnsi" w:eastAsia="AR Pゴシック体M" w:hAnsiTheme="minorHAnsi"/>
          <w:sz w:val="24"/>
        </w:rPr>
        <w:t xml:space="preserve">technological change </w:t>
      </w:r>
      <w:r w:rsidRPr="00F8075E">
        <w:rPr>
          <w:rFonts w:asciiTheme="minorHAnsi" w:eastAsia="AR Pゴシック体M" w:hAnsiTheme="minorHAnsi"/>
          <w:sz w:val="24"/>
          <w:lang w:eastAsia="ja-JP"/>
        </w:rPr>
        <w:t>and</w:t>
      </w:r>
      <w:r w:rsidRPr="00F8075E">
        <w:rPr>
          <w:rFonts w:asciiTheme="minorHAnsi" w:eastAsia="AR Pゴシック体M" w:hAnsiTheme="minorHAnsi"/>
          <w:sz w:val="24"/>
        </w:rPr>
        <w:t xml:space="preserve"> </w:t>
      </w:r>
      <w:r w:rsidRPr="00F8075E">
        <w:rPr>
          <w:rFonts w:asciiTheme="minorHAnsi" w:eastAsia="AR Pゴシック体M" w:hAnsiTheme="minorHAnsi"/>
          <w:sz w:val="24"/>
          <w:lang w:eastAsia="ja-JP"/>
        </w:rPr>
        <w:t>emergence</w:t>
      </w:r>
      <w:r w:rsidRPr="00F8075E">
        <w:rPr>
          <w:rFonts w:asciiTheme="minorHAnsi" w:eastAsia="AR Pゴシック体M" w:hAnsiTheme="minorHAnsi"/>
          <w:sz w:val="24"/>
        </w:rPr>
        <w:t xml:space="preserve"> of new markets, and as a result</w:t>
      </w:r>
      <w:r w:rsidRPr="00F8075E">
        <w:rPr>
          <w:rFonts w:asciiTheme="minorHAnsi" w:eastAsia="AR Pゴシック体M" w:hAnsiTheme="minorHAnsi"/>
          <w:sz w:val="24"/>
          <w:lang w:eastAsia="ja-JP"/>
        </w:rPr>
        <w:t xml:space="preserve"> decrease </w:t>
      </w:r>
      <w:r w:rsidRPr="00F8075E">
        <w:rPr>
          <w:rFonts w:asciiTheme="minorHAnsi" w:eastAsia="AR Pゴシック体M" w:hAnsiTheme="minorHAnsi"/>
          <w:sz w:val="24"/>
        </w:rPr>
        <w:t>the potential</w:t>
      </w:r>
      <w:r w:rsidRPr="00F8075E">
        <w:rPr>
          <w:rFonts w:asciiTheme="minorHAnsi" w:eastAsia="AR Pゴシック体M" w:hAnsiTheme="minorHAnsi"/>
          <w:sz w:val="24"/>
          <w:lang w:eastAsia="ja-JP"/>
        </w:rPr>
        <w:t xml:space="preserve"> of new business and technological </w:t>
      </w:r>
      <w:r w:rsidRPr="00F8075E">
        <w:rPr>
          <w:rFonts w:asciiTheme="minorHAnsi" w:eastAsia="AR Pゴシック体M" w:hAnsiTheme="minorHAnsi"/>
          <w:sz w:val="24"/>
        </w:rPr>
        <w:t>innovation</w:t>
      </w:r>
      <w:r w:rsidRPr="00F8075E">
        <w:rPr>
          <w:rFonts w:asciiTheme="minorHAnsi" w:eastAsia="AR Pゴシック体M" w:hAnsiTheme="minorHAnsi"/>
          <w:sz w:val="24"/>
          <w:lang w:eastAsia="ja-JP"/>
        </w:rPr>
        <w:t xml:space="preserve">, which may make a negative impact on the </w:t>
      </w:r>
      <w:r w:rsidRPr="00F8075E">
        <w:rPr>
          <w:rFonts w:asciiTheme="minorHAnsi" w:eastAsia="AR Pゴシック体M" w:hAnsiTheme="minorHAnsi"/>
          <w:sz w:val="24"/>
        </w:rPr>
        <w:t>global economic growth</w:t>
      </w:r>
      <w:r w:rsidRPr="00F8075E">
        <w:rPr>
          <w:rFonts w:asciiTheme="minorHAnsi" w:eastAsia="AR Pゴシック体M" w:hAnsiTheme="minorHAnsi"/>
          <w:sz w:val="24"/>
          <w:lang w:eastAsia="ja-JP"/>
        </w:rPr>
        <w:t>.</w:t>
      </w:r>
    </w:p>
    <w:p w:rsidR="00F8075E" w:rsidRPr="00F8075E" w:rsidRDefault="00F8075E" w:rsidP="00F8075E">
      <w:pPr>
        <w:snapToGrid w:val="0"/>
        <w:spacing w:before="200" w:after="120"/>
        <w:rPr>
          <w:rFonts w:asciiTheme="minorHAnsi" w:hAnsiTheme="minorHAnsi"/>
          <w:b/>
          <w:color w:val="000000"/>
          <w:sz w:val="24"/>
        </w:rPr>
      </w:pPr>
      <w:r w:rsidRPr="00F8075E">
        <w:rPr>
          <w:rFonts w:asciiTheme="minorHAnsi" w:hAnsiTheme="minorHAnsi"/>
          <w:b/>
          <w:sz w:val="24"/>
        </w:rPr>
        <w:t>2</w:t>
      </w:r>
      <w:r w:rsidRPr="00F8075E">
        <w:rPr>
          <w:rFonts w:asciiTheme="minorHAnsi" w:hAnsiTheme="minorHAnsi"/>
          <w:b/>
          <w:sz w:val="24"/>
        </w:rPr>
        <w:tab/>
      </w:r>
      <w:r w:rsidRPr="00F8075E">
        <w:rPr>
          <w:rFonts w:asciiTheme="minorHAnsi" w:hAnsiTheme="minorHAnsi"/>
          <w:b/>
          <w:color w:val="000000"/>
          <w:sz w:val="24"/>
          <w:lang w:eastAsia="ja-JP"/>
        </w:rPr>
        <w:t>V</w:t>
      </w:r>
      <w:r w:rsidRPr="00F8075E">
        <w:rPr>
          <w:rFonts w:asciiTheme="minorHAnsi" w:hAnsiTheme="minorHAnsi"/>
          <w:b/>
          <w:color w:val="000000"/>
          <w:sz w:val="24"/>
        </w:rPr>
        <w:t>iews on holding a new WCIT</w:t>
      </w:r>
    </w:p>
    <w:p w:rsidR="00F8075E" w:rsidRPr="00F8075E" w:rsidRDefault="00F8075E" w:rsidP="00F8075E">
      <w:pPr>
        <w:snapToGrid w:val="0"/>
        <w:spacing w:before="200" w:after="120"/>
        <w:rPr>
          <w:rFonts w:asciiTheme="minorHAnsi" w:eastAsia="AR Pゴシック体M" w:hAnsiTheme="minorHAnsi"/>
          <w:sz w:val="24"/>
        </w:rPr>
      </w:pPr>
      <w:r w:rsidRPr="00F8075E">
        <w:rPr>
          <w:rFonts w:asciiTheme="minorHAnsi" w:eastAsia="AR Pゴシック体M" w:hAnsiTheme="minorHAnsi"/>
          <w:sz w:val="24"/>
        </w:rPr>
        <w:t xml:space="preserve">In the absence of international consensus on the ITRs among Member States, we do not recognize the necessity of revising the ITRs and </w:t>
      </w:r>
      <w:r w:rsidRPr="00F8075E">
        <w:rPr>
          <w:rFonts w:asciiTheme="minorHAnsi" w:eastAsia="AR Pゴシック体M" w:hAnsiTheme="minorHAnsi"/>
          <w:sz w:val="24"/>
          <w:lang w:eastAsia="ja-JP"/>
        </w:rPr>
        <w:t xml:space="preserve">of </w:t>
      </w:r>
      <w:r w:rsidRPr="00F8075E">
        <w:rPr>
          <w:rFonts w:asciiTheme="minorHAnsi" w:eastAsia="AR Pゴシック体M" w:hAnsiTheme="minorHAnsi"/>
          <w:sz w:val="24"/>
        </w:rPr>
        <w:t xml:space="preserve">holding a </w:t>
      </w:r>
      <w:r w:rsidRPr="00F8075E">
        <w:rPr>
          <w:rFonts w:asciiTheme="minorHAnsi" w:hAnsiTheme="minorHAnsi"/>
          <w:color w:val="000000"/>
          <w:sz w:val="24"/>
        </w:rPr>
        <w:t>World Conference on International Telecommunications (</w:t>
      </w:r>
      <w:r w:rsidRPr="00F8075E">
        <w:rPr>
          <w:rFonts w:asciiTheme="minorHAnsi" w:eastAsia="AR Pゴシック体M" w:hAnsiTheme="minorHAnsi"/>
          <w:sz w:val="24"/>
        </w:rPr>
        <w:t xml:space="preserve">WCIT). As some members have already pointed out, </w:t>
      </w:r>
      <w:r w:rsidRPr="00F8075E">
        <w:rPr>
          <w:rFonts w:asciiTheme="minorHAnsi" w:eastAsia="AR Pゴシック体M" w:hAnsiTheme="minorHAnsi"/>
          <w:sz w:val="24"/>
          <w:lang w:eastAsia="ja-JP"/>
        </w:rPr>
        <w:t xml:space="preserve">we also have </w:t>
      </w:r>
      <w:r w:rsidRPr="00F8075E">
        <w:rPr>
          <w:rFonts w:asciiTheme="minorHAnsi" w:hAnsiTheme="minorHAnsi"/>
          <w:sz w:val="24"/>
        </w:rPr>
        <w:t xml:space="preserve">significant </w:t>
      </w:r>
      <w:r w:rsidRPr="00F8075E">
        <w:rPr>
          <w:rFonts w:asciiTheme="minorHAnsi" w:eastAsia="AR Pゴシック体M" w:hAnsiTheme="minorHAnsi"/>
          <w:sz w:val="24"/>
          <w:lang w:eastAsia="ja-JP"/>
        </w:rPr>
        <w:t>concern that the r</w:t>
      </w:r>
      <w:r w:rsidRPr="00F8075E">
        <w:rPr>
          <w:rFonts w:asciiTheme="minorHAnsi" w:eastAsia="AR Pゴシック体M" w:hAnsiTheme="minorHAnsi"/>
          <w:sz w:val="24"/>
        </w:rPr>
        <w:t xml:space="preserve">evision of the ITRs and its preparation process including </w:t>
      </w:r>
      <w:r w:rsidRPr="00F8075E">
        <w:rPr>
          <w:rFonts w:asciiTheme="minorHAnsi" w:eastAsia="AR Pゴシック体M" w:hAnsiTheme="minorHAnsi"/>
          <w:sz w:val="24"/>
          <w:lang w:eastAsia="ja-JP"/>
        </w:rPr>
        <w:t>holding</w:t>
      </w:r>
      <w:r w:rsidRPr="00F8075E">
        <w:rPr>
          <w:rFonts w:asciiTheme="minorHAnsi" w:eastAsia="AR Pゴシック体M" w:hAnsiTheme="minorHAnsi"/>
          <w:sz w:val="24"/>
        </w:rPr>
        <w:t xml:space="preserve"> WCIT will impose a huge financial and human resources’ burden on Member States, regional offices, ITU, WCIT host country and all the people involved.</w:t>
      </w:r>
    </w:p>
    <w:p w:rsidR="007223F0" w:rsidRPr="007223F0" w:rsidRDefault="007223F0" w:rsidP="007223F0">
      <w:pPr>
        <w:pStyle w:val="Title1"/>
        <w:rPr>
          <w:caps/>
          <w:sz w:val="28"/>
          <w:szCs w:val="36"/>
          <w:u w:val="single"/>
        </w:rPr>
      </w:pPr>
      <w:r w:rsidRPr="007223F0">
        <w:rPr>
          <w:caps/>
          <w:sz w:val="28"/>
          <w:szCs w:val="36"/>
          <w:u w:val="single"/>
        </w:rPr>
        <w:t>                         </w:t>
      </w:r>
    </w:p>
    <w:sectPr w:rsidR="007223F0" w:rsidRPr="007223F0" w:rsidSect="0056246D">
      <w:headerReference w:type="default" r:id="rId12"/>
      <w:pgSz w:w="11901" w:h="16840" w:code="9"/>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C9" w:rsidRDefault="00D27EC9">
      <w:r>
        <w:separator/>
      </w:r>
    </w:p>
  </w:endnote>
  <w:endnote w:type="continuationSeparator" w:id="0">
    <w:p w:rsidR="00D27EC9" w:rsidRDefault="00D27EC9">
      <w:r>
        <w:continuationSeparator/>
      </w:r>
    </w:p>
  </w:endnote>
  <w:endnote w:type="continuationNotice" w:id="1">
    <w:p w:rsidR="00D27EC9" w:rsidRDefault="00D27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 Pゴシック体M">
    <w:altName w:val="MS Gothic"/>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C9" w:rsidRDefault="00D27EC9">
      <w:r>
        <w:separator/>
      </w:r>
    </w:p>
  </w:footnote>
  <w:footnote w:type="continuationSeparator" w:id="0">
    <w:p w:rsidR="00D27EC9" w:rsidRDefault="00D27EC9">
      <w:r>
        <w:continuationSeparator/>
      </w:r>
    </w:p>
  </w:footnote>
  <w:footnote w:type="continuationNotice" w:id="1">
    <w:p w:rsidR="00D27EC9" w:rsidRDefault="00D27E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46D" w:rsidRPr="0056246D" w:rsidRDefault="0056246D" w:rsidP="0056246D">
    <w:pPr>
      <w:pStyle w:val="Header"/>
      <w:jc w:val="center"/>
      <w:rPr>
        <w:rFonts w:asciiTheme="minorHAnsi" w:hAnsiTheme="minorHAnsi"/>
      </w:rPr>
    </w:pPr>
    <w:r w:rsidRPr="0056246D">
      <w:rPr>
        <w:rFonts w:asciiTheme="minorHAnsi" w:hAnsiTheme="minorHAnsi"/>
      </w:rPr>
      <w:fldChar w:fldCharType="begin"/>
    </w:r>
    <w:r w:rsidRPr="0056246D">
      <w:rPr>
        <w:rFonts w:asciiTheme="minorHAnsi" w:hAnsiTheme="minorHAnsi"/>
      </w:rPr>
      <w:instrText xml:space="preserve"> PAGE   \* MERGEFORMAT </w:instrText>
    </w:r>
    <w:r w:rsidRPr="0056246D">
      <w:rPr>
        <w:rFonts w:asciiTheme="minorHAnsi" w:hAnsiTheme="minorHAnsi"/>
      </w:rPr>
      <w:fldChar w:fldCharType="separate"/>
    </w:r>
    <w:r w:rsidR="00F8075E">
      <w:rPr>
        <w:rFonts w:asciiTheme="minorHAnsi" w:hAnsiTheme="minorHAnsi"/>
        <w:noProof/>
      </w:rPr>
      <w:t>2</w:t>
    </w:r>
    <w:r w:rsidRPr="0056246D">
      <w:rPr>
        <w:rFonts w:asciiTheme="minorHAnsi" w:hAnsiTheme="minorHAnsi"/>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44878"/>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26DAD"/>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220A7"/>
    <w:rsid w:val="003250E1"/>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54E9"/>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25E8"/>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246D"/>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37B8"/>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23F0"/>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A72FA"/>
    <w:rsid w:val="007B1D6C"/>
    <w:rsid w:val="007B3243"/>
    <w:rsid w:val="007B3BF2"/>
    <w:rsid w:val="007B5254"/>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25837"/>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B661F"/>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566CD"/>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27EC9"/>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29"/>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063"/>
    <w:rsid w:val="00F60D6B"/>
    <w:rsid w:val="00F63237"/>
    <w:rsid w:val="00F63983"/>
    <w:rsid w:val="00F70AE5"/>
    <w:rsid w:val="00F739A8"/>
    <w:rsid w:val="00F75DE1"/>
    <w:rsid w:val="00F8075E"/>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699BFAAD-14B9-4E79-AC00-E37EDAA7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Title1">
    <w:name w:val="Title 1"/>
    <w:basedOn w:val="Normal"/>
    <w:rsid w:val="004625E8"/>
    <w:pPr>
      <w:spacing w:before="120" w:after="360"/>
      <w:jc w:val="center"/>
    </w:pPr>
    <w:rPr>
      <w:rFonts w:asciiTheme="minorHAnsi" w:hAnsiTheme="minorHAns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3C379D0-446A-4BBE-8625-3286068D1FF3}">
  <ds:schemaRefs>
    <ds:schemaRef ds:uri="http://schemas.openxmlformats.org/officeDocument/2006/bibliography"/>
  </ds:schemaRefs>
</ds:datastoreItem>
</file>

<file path=customXml/itemProps5.xml><?xml version="1.0" encoding="utf-8"?>
<ds:datastoreItem xmlns:ds="http://schemas.openxmlformats.org/officeDocument/2006/customXml" ds:itemID="{64597729-989D-4607-B3BA-8624E911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2290</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Contribution by KDDI (Japan)</vt:lpstr>
      <vt:lpstr>ITU Normal.dot</vt:lpstr>
    </vt:vector>
  </TitlesOfParts>
  <Company>ITU</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Japan</dc:title>
  <dc:subject>Expert Group on the International Telecommunication Regulations</dc:subject>
  <dc:creator>Brouard, Ricarda</dc:creator>
  <cp:keywords>EG-ITRs</cp:keywords>
  <cp:lastModifiedBy>Janin</cp:lastModifiedBy>
  <cp:revision>5</cp:revision>
  <cp:lastPrinted>2013-07-15T09:23:00Z</cp:lastPrinted>
  <dcterms:created xsi:type="dcterms:W3CDTF">2018-01-03T07:21:00Z</dcterms:created>
  <dcterms:modified xsi:type="dcterms:W3CDTF">2018-01-03T07:24:00Z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