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40912">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0" w:name="lt_pId006"/>
            <w:r w:rsidRPr="008C63B0">
              <w:rPr>
                <w:rFonts w:eastAsiaTheme="minorEastAsia" w:cs="Calibri" w:hint="eastAsia"/>
                <w:b/>
                <w:bCs/>
                <w:color w:val="000000"/>
                <w:position w:val="6"/>
                <w:sz w:val="28"/>
                <w:szCs w:val="28"/>
                <w:lang w:eastAsia="zh-CN"/>
              </w:rPr>
              <w:t>第</w:t>
            </w:r>
            <w:r w:rsidR="00A40912">
              <w:rPr>
                <w:rFonts w:eastAsiaTheme="minorEastAsia" w:cs="Calibri" w:hint="eastAsia"/>
                <w:b/>
                <w:bCs/>
                <w:color w:val="000000"/>
                <w:position w:val="6"/>
                <w:sz w:val="28"/>
                <w:szCs w:val="28"/>
                <w:lang w:eastAsia="zh-CN"/>
              </w:rPr>
              <w:t>三</w:t>
            </w:r>
            <w:r w:rsidRPr="008C63B0">
              <w:rPr>
                <w:rFonts w:eastAsiaTheme="minorEastAsia" w:cs="Calibri"/>
                <w:b/>
                <w:bCs/>
                <w:color w:val="000000"/>
                <w:position w:val="6"/>
                <w:sz w:val="28"/>
                <w:szCs w:val="28"/>
                <w:lang w:eastAsia="zh-CN"/>
              </w:rPr>
              <w:t>次会议</w:t>
            </w:r>
            <w:r w:rsidRPr="008C63B0">
              <w:rPr>
                <w:rFonts w:eastAsia="Calibri" w:cs="Calibri"/>
                <w:b/>
                <w:bCs/>
                <w:color w:val="000000"/>
                <w:position w:val="6"/>
                <w:sz w:val="28"/>
                <w:szCs w:val="28"/>
                <w:lang w:eastAsia="zh-CN"/>
              </w:rPr>
              <w:t xml:space="preserve"> – 201</w:t>
            </w:r>
            <w:bookmarkEnd w:id="0"/>
            <w:r w:rsidR="00A40912">
              <w:rPr>
                <w:rFonts w:eastAsia="Calibri" w:cs="Calibri"/>
                <w:b/>
                <w:bCs/>
                <w:color w:val="000000"/>
                <w:position w:val="6"/>
                <w:sz w:val="28"/>
                <w:szCs w:val="28"/>
                <w:lang w:eastAsia="zh-CN"/>
              </w:rPr>
              <w:t>8</w:t>
            </w:r>
            <w:r w:rsidRPr="008C63B0">
              <w:rPr>
                <w:rFonts w:eastAsiaTheme="minorEastAsia" w:cs="Calibri" w:hint="eastAsia"/>
                <w:b/>
                <w:bCs/>
                <w:color w:val="000000"/>
                <w:position w:val="6"/>
                <w:sz w:val="28"/>
                <w:szCs w:val="28"/>
                <w:lang w:eastAsia="zh-CN"/>
              </w:rPr>
              <w:t>年</w:t>
            </w:r>
            <w:r w:rsidR="00A40912">
              <w:rPr>
                <w:rFonts w:eastAsiaTheme="minorEastAsia" w:cs="Calibri"/>
                <w:b/>
                <w:bCs/>
                <w:color w:val="000000"/>
                <w:position w:val="6"/>
                <w:sz w:val="28"/>
                <w:szCs w:val="28"/>
                <w:lang w:eastAsia="zh-CN"/>
              </w:rPr>
              <w:t>1</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w:t>
            </w:r>
            <w:r w:rsidR="00A40912">
              <w:rPr>
                <w:rFonts w:eastAsiaTheme="minorEastAsia" w:cs="Calibri"/>
                <w:b/>
                <w:bCs/>
                <w:color w:val="000000"/>
                <w:position w:val="6"/>
                <w:sz w:val="28"/>
                <w:szCs w:val="28"/>
                <w:lang w:eastAsia="zh-CN"/>
              </w:rPr>
              <w:t>7</w:t>
            </w:r>
            <w:r w:rsidRPr="008C63B0">
              <w:rPr>
                <w:rFonts w:eastAsiaTheme="minorEastAsia" w:cs="Calibri"/>
                <w:b/>
                <w:bCs/>
                <w:color w:val="000000"/>
                <w:position w:val="6"/>
                <w:sz w:val="28"/>
                <w:szCs w:val="28"/>
                <w:lang w:eastAsia="zh-CN"/>
              </w:rPr>
              <w:t>-1</w:t>
            </w:r>
            <w:r w:rsidR="00A40912">
              <w:rPr>
                <w:rFonts w:eastAsiaTheme="minorEastAsia" w:cs="Calibri"/>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lang w:eastAsia="zh-CN"/>
              </w:rPr>
            </w:pP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955C9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A40912">
              <w:rPr>
                <w:rFonts w:asciiTheme="minorHAnsi" w:hAnsiTheme="minorHAnsi" w:cs="Times New Roman Bold"/>
                <w:b/>
                <w:spacing w:val="-4"/>
                <w:lang w:val="de-CH"/>
              </w:rPr>
              <w:t xml:space="preserve"> 3</w:t>
            </w:r>
            <w:r w:rsidRPr="00C0597A">
              <w:rPr>
                <w:rFonts w:asciiTheme="minorHAnsi" w:hAnsiTheme="minorHAnsi" w:cs="Times New Roman Bold"/>
                <w:b/>
                <w:spacing w:val="-4"/>
                <w:lang w:val="de-CH"/>
              </w:rPr>
              <w:t>/</w:t>
            </w:r>
            <w:r w:rsidR="00955C95">
              <w:rPr>
                <w:rFonts w:asciiTheme="minorHAnsi" w:hAnsiTheme="minorHAnsi" w:cs="Times New Roman Bold"/>
                <w:b/>
                <w:spacing w:val="-4"/>
                <w:lang w:val="de-CH"/>
              </w:rPr>
              <w:t>7</w:t>
            </w:r>
            <w:r>
              <w:rPr>
                <w:rFonts w:asciiTheme="minorHAnsi" w:hAnsiTheme="minorHAnsi" w:cs="Times New Roman Bold"/>
                <w:b/>
                <w:spacing w:val="-4"/>
                <w:lang w:val="de-CH"/>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955C9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88298D">
              <w:rPr>
                <w:rFonts w:asciiTheme="minorHAnsi" w:hAnsiTheme="minorHAnsi" w:cstheme="minorHAnsi"/>
                <w:b/>
                <w:bCs/>
                <w:szCs w:val="24"/>
                <w:lang w:eastAsia="zh-CN"/>
              </w:rPr>
              <w:t>12</w:t>
            </w:r>
            <w:r w:rsidRPr="00FC5386">
              <w:rPr>
                <w:rFonts w:hint="eastAsia"/>
                <w:b/>
                <w:bCs/>
                <w:szCs w:val="24"/>
                <w:lang w:eastAsia="zh-CN"/>
              </w:rPr>
              <w:t>月</w:t>
            </w:r>
            <w:r w:rsidR="00955C95">
              <w:rPr>
                <w:rFonts w:asciiTheme="minorHAnsi" w:hAnsiTheme="minorHAnsi" w:cstheme="minorHAnsi"/>
                <w:b/>
                <w:bCs/>
                <w:szCs w:val="24"/>
                <w:lang w:eastAsia="zh-CN"/>
              </w:rPr>
              <w:t>26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76FB3">
            <w:pPr>
              <w:tabs>
                <w:tab w:val="left" w:pos="993"/>
              </w:tabs>
              <w:spacing w:before="0"/>
              <w:rPr>
                <w:rFonts w:ascii="SimSun" w:hAnsi="SimSun"/>
                <w:b/>
                <w:bCs/>
                <w:szCs w:val="24"/>
                <w:lang w:eastAsia="zh-CN"/>
              </w:rPr>
            </w:pPr>
            <w:r w:rsidRPr="00FC5386">
              <w:rPr>
                <w:rFonts w:hint="eastAsia"/>
                <w:b/>
                <w:bCs/>
                <w:szCs w:val="24"/>
                <w:lang w:eastAsia="zh-CN"/>
              </w:rPr>
              <w:t>原文：</w:t>
            </w:r>
            <w:r w:rsidR="00876FB3">
              <w:rPr>
                <w:rFonts w:hint="eastAsia"/>
                <w:b/>
                <w:bCs/>
                <w:szCs w:val="24"/>
                <w:lang w:eastAsia="zh-CN"/>
              </w:rPr>
              <w:t>中</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55C95" w:rsidP="00955C95">
            <w:pPr>
              <w:pStyle w:val="Source"/>
              <w:rPr>
                <w:lang w:eastAsia="zh-CN"/>
              </w:rPr>
            </w:pPr>
            <w:proofErr w:type="spellStart"/>
            <w:r>
              <w:rPr>
                <w:rFonts w:asciiTheme="minorHAnsi" w:hAnsiTheme="minorHAnsi" w:hint="eastAsia"/>
                <w:szCs w:val="32"/>
              </w:rPr>
              <w:t>日本</w:t>
            </w:r>
            <w:proofErr w:type="spellEnd"/>
          </w:p>
        </w:tc>
      </w:tr>
      <w:tr w:rsidR="0093362E">
        <w:trPr>
          <w:cantSplit/>
        </w:trPr>
        <w:tc>
          <w:tcPr>
            <w:tcW w:w="10031" w:type="dxa"/>
          </w:tcPr>
          <w:p w:rsidR="0093362E" w:rsidRPr="00955C95" w:rsidRDefault="00955C95" w:rsidP="00955C95">
            <w:pPr>
              <w:pStyle w:val="Title1"/>
              <w:rPr>
                <w:rFonts w:asciiTheme="minorHAnsi" w:hAnsiTheme="minorHAnsi"/>
                <w:bCs/>
                <w:lang w:eastAsia="zh-CN"/>
              </w:rPr>
            </w:pPr>
            <w:r w:rsidRPr="00955C95">
              <w:rPr>
                <w:rFonts w:asciiTheme="minorHAnsi" w:eastAsiaTheme="minorEastAsia" w:hAnsiTheme="minorHAnsi" w:cstheme="majorBidi"/>
                <w:bCs/>
                <w:szCs w:val="28"/>
                <w:lang w:eastAsia="zh-CN"/>
              </w:rPr>
              <w:t>2012</w:t>
            </w:r>
            <w:r w:rsidRPr="00955C95">
              <w:rPr>
                <w:rFonts w:asciiTheme="minorHAnsi" w:eastAsiaTheme="minorEastAsia" w:hAnsiTheme="minorHAnsi" w:cstheme="majorBidi"/>
                <w:bCs/>
                <w:szCs w:val="28"/>
                <w:lang w:eastAsia="zh-CN"/>
              </w:rPr>
              <w:t>年版《国际电信规则》的审议</w:t>
            </w:r>
          </w:p>
        </w:tc>
      </w:tr>
    </w:tbl>
    <w:p w:rsidR="0088298D" w:rsidRPr="0047146E" w:rsidRDefault="0088298D" w:rsidP="00955C95">
      <w:pPr>
        <w:pStyle w:val="Heading1"/>
        <w:rPr>
          <w:lang w:eastAsia="zh-CN"/>
        </w:rPr>
      </w:pPr>
      <w:r>
        <w:rPr>
          <w:rFonts w:hint="eastAsia"/>
          <w:lang w:eastAsia="zh-CN"/>
        </w:rPr>
        <w:t>1</w:t>
      </w:r>
      <w:r>
        <w:rPr>
          <w:lang w:eastAsia="zh-CN"/>
        </w:rPr>
        <w:tab/>
      </w:r>
      <w:r w:rsidR="00955C95" w:rsidRPr="00955C95">
        <w:rPr>
          <w:rFonts w:asciiTheme="minorHAnsi" w:hAnsiTheme="minorHAnsi" w:hint="eastAsia"/>
          <w:szCs w:val="28"/>
          <w:lang w:eastAsia="zh-CN"/>
        </w:rPr>
        <w:t>法律</w:t>
      </w:r>
      <w:r w:rsidR="00955C95" w:rsidRPr="00955C95">
        <w:rPr>
          <w:rFonts w:asciiTheme="minorHAnsi" w:hAnsiTheme="minorHAnsi"/>
          <w:szCs w:val="28"/>
          <w:lang w:eastAsia="zh-CN"/>
        </w:rPr>
        <w:t>分析</w:t>
      </w:r>
    </w:p>
    <w:p w:rsidR="00955C95" w:rsidRPr="00955C95" w:rsidRDefault="00955C95" w:rsidP="00955C95">
      <w:pPr>
        <w:ind w:firstLineChars="200" w:firstLine="480"/>
        <w:rPr>
          <w:lang w:eastAsia="zh-CN"/>
        </w:rPr>
      </w:pPr>
      <w:proofErr w:type="spellStart"/>
      <w:r w:rsidRPr="00955C95">
        <w:rPr>
          <w:rFonts w:hint="eastAsia"/>
        </w:rPr>
        <w:t>有关</w:t>
      </w:r>
      <w:r w:rsidRPr="00955C95">
        <w:t>《</w:t>
      </w:r>
      <w:r w:rsidRPr="00955C95">
        <w:rPr>
          <w:rFonts w:hint="eastAsia"/>
        </w:rPr>
        <w:t>国际电信规则</w:t>
      </w:r>
      <w:proofErr w:type="spellEnd"/>
      <w:r w:rsidRPr="00955C95">
        <w:t>》</w:t>
      </w:r>
      <w:r w:rsidRPr="00955C95">
        <w:rPr>
          <w:rFonts w:hint="eastAsia"/>
        </w:rPr>
        <w:t>（</w:t>
      </w:r>
      <w:r w:rsidRPr="00955C95">
        <w:rPr>
          <w:rFonts w:hint="eastAsia"/>
        </w:rPr>
        <w:t>ITR</w:t>
      </w:r>
      <w:r w:rsidRPr="00955C95">
        <w:rPr>
          <w:rFonts w:hint="eastAsia"/>
        </w:rPr>
        <w:t>）</w:t>
      </w:r>
      <w:proofErr w:type="spellStart"/>
      <w:r w:rsidRPr="00955C95">
        <w:rPr>
          <w:rFonts w:hint="eastAsia"/>
        </w:rPr>
        <w:t>的</w:t>
      </w:r>
      <w:r w:rsidRPr="00955C95">
        <w:t>范围，</w:t>
      </w:r>
      <w:r w:rsidRPr="00955C95">
        <w:rPr>
          <w:rFonts w:hint="eastAsia"/>
        </w:rPr>
        <w:t>各</w:t>
      </w:r>
      <w:r w:rsidRPr="00955C95">
        <w:t>成员国之间存在</w:t>
      </w:r>
      <w:r w:rsidRPr="00955C95">
        <w:rPr>
          <w:rFonts w:hint="eastAsia"/>
        </w:rPr>
        <w:t>严重</w:t>
      </w:r>
      <w:r w:rsidRPr="00955C95">
        <w:t>分歧，而且很难达成协商一致。</w:t>
      </w:r>
      <w:r w:rsidRPr="00955C95">
        <w:rPr>
          <w:rFonts w:hint="eastAsia"/>
        </w:rPr>
        <w:t>然而</w:t>
      </w:r>
      <w:r w:rsidRPr="00955C95">
        <w:t>，日本认为</w:t>
      </w:r>
      <w:proofErr w:type="spellEnd"/>
      <w:r w:rsidRPr="00955C95">
        <w:t>，</w:t>
      </w:r>
      <w:r w:rsidRPr="00955C95">
        <w:rPr>
          <w:rFonts w:hint="eastAsia"/>
        </w:rPr>
        <w:t>ITR</w:t>
      </w:r>
      <w:r w:rsidRPr="00955C95">
        <w:t>应侧重于向公众提供的国际电信服务，而不应延伸至国内问题或其他与通信相关的服务、基础设施或网络，包括与互联网相关的问题。众所周知</w:t>
      </w:r>
      <w:r w:rsidRPr="00955C95">
        <w:rPr>
          <w:rFonts w:hint="eastAsia"/>
        </w:rPr>
        <w:t>，</w:t>
      </w:r>
      <w:r w:rsidRPr="00955C95">
        <w:t>电信</w:t>
      </w:r>
      <w:r w:rsidRPr="00955C95">
        <w:rPr>
          <w:rFonts w:hint="eastAsia"/>
        </w:rPr>
        <w:t xml:space="preserve">/ICT </w:t>
      </w:r>
      <w:proofErr w:type="spellStart"/>
      <w:r w:rsidRPr="00955C95">
        <w:rPr>
          <w:rFonts w:hint="eastAsia"/>
        </w:rPr>
        <w:t>是</w:t>
      </w:r>
      <w:r w:rsidRPr="00955C95">
        <w:t>实现可持续经济增长的强有力引擎，不可或缺</w:t>
      </w:r>
      <w:r w:rsidRPr="00955C95">
        <w:rPr>
          <w:rFonts w:hint="eastAsia"/>
        </w:rPr>
        <w:t>，并</w:t>
      </w:r>
      <w:r w:rsidRPr="00955C95">
        <w:t>作为经济和社会活动的基础发挥举足轻重的作用</w:t>
      </w:r>
      <w:proofErr w:type="spellEnd"/>
      <w:r w:rsidRPr="00955C95">
        <w:t>。</w:t>
      </w:r>
      <w:r w:rsidRPr="00955C95">
        <w:rPr>
          <w:rFonts w:hint="eastAsia"/>
          <w:lang w:eastAsia="zh-CN"/>
        </w:rPr>
        <w:t>为</w:t>
      </w:r>
      <w:r w:rsidRPr="00955C95">
        <w:rPr>
          <w:lang w:eastAsia="zh-CN"/>
        </w:rPr>
        <w:t>在最大程度上体现这些优势，我们有必要为加速运营商的业务活动</w:t>
      </w:r>
      <w:r w:rsidRPr="00955C95">
        <w:rPr>
          <w:rFonts w:hint="eastAsia"/>
          <w:lang w:eastAsia="zh-CN"/>
        </w:rPr>
        <w:t>以及促进</w:t>
      </w:r>
      <w:r w:rsidRPr="00955C95">
        <w:rPr>
          <w:lang w:eastAsia="zh-CN"/>
        </w:rPr>
        <w:t>竞争（</w:t>
      </w:r>
      <w:r w:rsidRPr="00955C95">
        <w:rPr>
          <w:rFonts w:hint="eastAsia"/>
          <w:lang w:eastAsia="zh-CN"/>
        </w:rPr>
        <w:t>而不是</w:t>
      </w:r>
      <w:r w:rsidRPr="00955C95">
        <w:rPr>
          <w:lang w:eastAsia="zh-CN"/>
        </w:rPr>
        <w:t>监管）</w:t>
      </w:r>
      <w:r w:rsidRPr="00955C95">
        <w:rPr>
          <w:rFonts w:hint="eastAsia"/>
          <w:lang w:eastAsia="zh-CN"/>
        </w:rPr>
        <w:t>打造</w:t>
      </w:r>
      <w:r w:rsidRPr="00955C95">
        <w:rPr>
          <w:lang w:eastAsia="zh-CN"/>
        </w:rPr>
        <w:t>有利的环境。</w:t>
      </w:r>
      <w:r w:rsidRPr="00955C95">
        <w:rPr>
          <w:lang w:eastAsia="zh-CN"/>
        </w:rPr>
        <w:t xml:space="preserve"> </w:t>
      </w:r>
    </w:p>
    <w:p w:rsidR="00955C95" w:rsidRPr="00955C95" w:rsidRDefault="00955C95" w:rsidP="00955C95">
      <w:pPr>
        <w:ind w:firstLineChars="200" w:firstLine="480"/>
        <w:rPr>
          <w:lang w:eastAsia="zh-CN"/>
        </w:rPr>
      </w:pPr>
      <w:proofErr w:type="spellStart"/>
      <w:r w:rsidRPr="00955C95">
        <w:rPr>
          <w:rFonts w:hint="eastAsia"/>
        </w:rPr>
        <w:t>随着</w:t>
      </w:r>
      <w:r w:rsidRPr="00955C95">
        <w:t>技术的日新月异，国际电信</w:t>
      </w:r>
      <w:proofErr w:type="spellEnd"/>
      <w:r w:rsidRPr="00955C95">
        <w:rPr>
          <w:rFonts w:hint="eastAsia"/>
        </w:rPr>
        <w:t>/ICT</w:t>
      </w:r>
      <w:proofErr w:type="spellStart"/>
      <w:r w:rsidRPr="00955C95">
        <w:rPr>
          <w:rFonts w:hint="eastAsia"/>
        </w:rPr>
        <w:t>环境</w:t>
      </w:r>
      <w:r w:rsidRPr="00955C95">
        <w:t>正在快速发生巨变，新的趋势</w:t>
      </w:r>
      <w:proofErr w:type="spellEnd"/>
      <w:r w:rsidRPr="00955C95">
        <w:rPr>
          <w:rFonts w:hint="eastAsia"/>
        </w:rPr>
        <w:t>/</w:t>
      </w:r>
      <w:proofErr w:type="spellStart"/>
      <w:r w:rsidRPr="00955C95">
        <w:rPr>
          <w:rFonts w:hint="eastAsia"/>
        </w:rPr>
        <w:t>新兴</w:t>
      </w:r>
      <w:r w:rsidRPr="00955C95">
        <w:t>问题（</w:t>
      </w:r>
      <w:r w:rsidRPr="00955C95">
        <w:rPr>
          <w:rFonts w:hint="eastAsia"/>
        </w:rPr>
        <w:t>以下</w:t>
      </w:r>
      <w:r w:rsidRPr="00955C95">
        <w:t>称新问题）</w:t>
      </w:r>
      <w:r w:rsidRPr="00955C95">
        <w:rPr>
          <w:rFonts w:hint="eastAsia"/>
        </w:rPr>
        <w:t>亦</w:t>
      </w:r>
      <w:r w:rsidRPr="00955C95">
        <w:t>变幻莫测</w:t>
      </w:r>
      <w:proofErr w:type="spellEnd"/>
      <w:r w:rsidRPr="00955C95">
        <w:t>。</w:t>
      </w:r>
      <w:r w:rsidRPr="00955C95">
        <w:rPr>
          <w:lang w:eastAsia="zh-CN"/>
        </w:rPr>
        <w:t>鉴于</w:t>
      </w:r>
      <w:r w:rsidRPr="00955C95">
        <w:rPr>
          <w:rFonts w:hint="eastAsia"/>
          <w:lang w:eastAsia="zh-CN"/>
        </w:rPr>
        <w:t>无人</w:t>
      </w:r>
      <w:r w:rsidRPr="00955C95">
        <w:rPr>
          <w:lang w:eastAsia="zh-CN"/>
        </w:rPr>
        <w:t>可对这些新问题的未来走势做出预测，</w:t>
      </w:r>
      <w:r w:rsidRPr="00955C95">
        <w:rPr>
          <w:rFonts w:hint="eastAsia"/>
          <w:lang w:eastAsia="zh-CN"/>
        </w:rPr>
        <w:t>因而</w:t>
      </w:r>
      <w:r w:rsidRPr="00955C95">
        <w:rPr>
          <w:lang w:eastAsia="zh-CN"/>
        </w:rPr>
        <w:t>，无法对其进行明确而精准的定义。</w:t>
      </w:r>
      <w:r w:rsidRPr="00955C95">
        <w:rPr>
          <w:lang w:eastAsia="zh-CN"/>
        </w:rPr>
        <w:t xml:space="preserve"> </w:t>
      </w:r>
    </w:p>
    <w:p w:rsidR="0088298D" w:rsidRPr="0047146E" w:rsidRDefault="00955C95" w:rsidP="00955C95">
      <w:pPr>
        <w:ind w:firstLineChars="200" w:firstLine="480"/>
        <w:rPr>
          <w:lang w:eastAsia="zh-CN"/>
        </w:rPr>
      </w:pPr>
      <w:r w:rsidRPr="00955C95">
        <w:rPr>
          <w:rFonts w:hint="eastAsia"/>
        </w:rPr>
        <w:t>考虑到</w:t>
      </w:r>
      <w:r w:rsidRPr="00955C95">
        <w:t>上述情况，</w:t>
      </w:r>
      <w:r w:rsidRPr="00955C95">
        <w:rPr>
          <w:rFonts w:hint="eastAsia"/>
        </w:rPr>
        <w:t>通过</w:t>
      </w:r>
      <w:r w:rsidRPr="00955C95">
        <w:t>假设</w:t>
      </w:r>
      <w:r w:rsidRPr="00955C95">
        <w:rPr>
          <w:rFonts w:hint="eastAsia"/>
        </w:rPr>
        <w:t>新</w:t>
      </w:r>
      <w:r w:rsidRPr="00955C95">
        <w:t>问题的演变，</w:t>
      </w:r>
      <w:r w:rsidRPr="00955C95">
        <w:rPr>
          <w:rFonts w:hint="eastAsia"/>
        </w:rPr>
        <w:t>利用</w:t>
      </w:r>
      <w:r w:rsidRPr="00955C95">
        <w:t>具有约束性的国际条约</w:t>
      </w:r>
      <w:r w:rsidRPr="00955C95">
        <w:rPr>
          <w:rFonts w:hint="eastAsia"/>
        </w:rPr>
        <w:t>解决</w:t>
      </w:r>
      <w:r w:rsidRPr="00955C95">
        <w:t>瞬息万变的新问题是</w:t>
      </w:r>
      <w:r w:rsidRPr="00955C95">
        <w:rPr>
          <w:rFonts w:hint="eastAsia"/>
        </w:rPr>
        <w:t>不适宜</w:t>
      </w:r>
      <w:r w:rsidRPr="00955C95">
        <w:t>的。此外</w:t>
      </w:r>
      <w:r w:rsidRPr="00955C95">
        <w:rPr>
          <w:rFonts w:hint="eastAsia"/>
        </w:rPr>
        <w:t>，</w:t>
      </w:r>
      <w:r w:rsidRPr="00955C95">
        <w:t>新问题</w:t>
      </w:r>
      <w:r w:rsidRPr="00955C95">
        <w:rPr>
          <w:rFonts w:hint="eastAsia"/>
        </w:rPr>
        <w:t>使</w:t>
      </w:r>
      <w:r w:rsidRPr="00955C95">
        <w:t>国际条约</w:t>
      </w:r>
      <w:r w:rsidRPr="00955C95">
        <w:rPr>
          <w:rFonts w:hint="eastAsia"/>
        </w:rPr>
        <w:t>缺乏</w:t>
      </w:r>
      <w:r w:rsidRPr="00955C95">
        <w:t>稳定性。另一方面</w:t>
      </w:r>
      <w:r w:rsidRPr="00955C95">
        <w:rPr>
          <w:rFonts w:hint="eastAsia"/>
        </w:rPr>
        <w:t>，</w:t>
      </w:r>
      <w:r w:rsidRPr="00955C95">
        <w:t>为管理新问题设定一个国际法律框架将造成运营商难以灵活地应对迅速变化的国际环境</w:t>
      </w:r>
      <w:r w:rsidRPr="00955C95">
        <w:rPr>
          <w:rFonts w:hint="eastAsia"/>
        </w:rPr>
        <w:t>（</w:t>
      </w:r>
      <w:r w:rsidRPr="00955C95">
        <w:t>包括技术变革和</w:t>
      </w:r>
      <w:r w:rsidRPr="00955C95">
        <w:rPr>
          <w:rFonts w:hint="eastAsia"/>
        </w:rPr>
        <w:t>新兴</w:t>
      </w:r>
      <w:r w:rsidRPr="00955C95">
        <w:t>市场</w:t>
      </w:r>
      <w:r w:rsidRPr="00955C95">
        <w:rPr>
          <w:rFonts w:hint="eastAsia"/>
        </w:rPr>
        <w:t>），</w:t>
      </w:r>
      <w:r>
        <w:rPr>
          <w:rFonts w:hint="eastAsia"/>
          <w:lang w:eastAsia="zh-CN"/>
        </w:rPr>
        <w:t>从而削弱</w:t>
      </w:r>
      <w:r>
        <w:rPr>
          <w:lang w:eastAsia="zh-CN"/>
        </w:rPr>
        <w:t>新的业务和技术创新潜力，对全球经济发展造成不良影响。</w:t>
      </w:r>
    </w:p>
    <w:p w:rsidR="00955C95" w:rsidRDefault="0088298D" w:rsidP="00955C95">
      <w:pPr>
        <w:pStyle w:val="Heading1"/>
        <w:rPr>
          <w:rFonts w:asciiTheme="minorHAnsi" w:hAnsiTheme="minorHAnsi"/>
          <w:color w:val="000000"/>
          <w:szCs w:val="28"/>
          <w:lang w:eastAsia="zh-CN"/>
        </w:rPr>
      </w:pPr>
      <w:r>
        <w:rPr>
          <w:rFonts w:hint="eastAsia"/>
          <w:lang w:eastAsia="zh-CN"/>
        </w:rPr>
        <w:t>2</w:t>
      </w:r>
      <w:r>
        <w:rPr>
          <w:lang w:eastAsia="zh-CN"/>
        </w:rPr>
        <w:tab/>
      </w:r>
      <w:r w:rsidR="00955C95" w:rsidRPr="00955C95">
        <w:rPr>
          <w:rFonts w:asciiTheme="minorHAnsi" w:hAnsiTheme="minorHAnsi" w:hint="eastAsia"/>
          <w:color w:val="000000"/>
          <w:szCs w:val="28"/>
          <w:lang w:eastAsia="zh-CN"/>
        </w:rPr>
        <w:t>有关</w:t>
      </w:r>
      <w:r w:rsidR="00955C95" w:rsidRPr="00955C95">
        <w:rPr>
          <w:rFonts w:asciiTheme="minorHAnsi" w:hAnsiTheme="minorHAnsi"/>
          <w:color w:val="000000"/>
          <w:szCs w:val="28"/>
          <w:lang w:eastAsia="zh-CN"/>
        </w:rPr>
        <w:t>举办新一届国际电信世界大会（</w:t>
      </w:r>
      <w:r w:rsidR="00955C95" w:rsidRPr="00955C95">
        <w:rPr>
          <w:rFonts w:asciiTheme="minorHAnsi" w:hAnsiTheme="minorHAnsi" w:hint="eastAsia"/>
          <w:color w:val="000000"/>
          <w:szCs w:val="28"/>
          <w:lang w:eastAsia="zh-CN"/>
        </w:rPr>
        <w:t>WCIT</w:t>
      </w:r>
      <w:r w:rsidR="00955C95" w:rsidRPr="00955C95">
        <w:rPr>
          <w:rFonts w:asciiTheme="minorHAnsi" w:hAnsiTheme="minorHAnsi"/>
          <w:color w:val="000000"/>
          <w:szCs w:val="28"/>
          <w:lang w:eastAsia="zh-CN"/>
        </w:rPr>
        <w:t>）</w:t>
      </w:r>
      <w:r w:rsidR="00955C95" w:rsidRPr="00955C95">
        <w:rPr>
          <w:rFonts w:asciiTheme="minorHAnsi" w:hAnsiTheme="minorHAnsi" w:hint="eastAsia"/>
          <w:color w:val="000000"/>
          <w:szCs w:val="28"/>
          <w:lang w:eastAsia="zh-CN"/>
        </w:rPr>
        <w:t>的看法</w:t>
      </w:r>
    </w:p>
    <w:p w:rsidR="0088298D" w:rsidRDefault="00955C95" w:rsidP="00955C95">
      <w:pPr>
        <w:ind w:firstLineChars="200" w:firstLine="480"/>
      </w:pPr>
      <w:proofErr w:type="spellStart"/>
      <w:r w:rsidRPr="00955C95">
        <w:rPr>
          <w:rFonts w:hint="eastAsia"/>
        </w:rPr>
        <w:t>鉴于</w:t>
      </w:r>
      <w:r w:rsidRPr="00955C95">
        <w:t>成员国未</w:t>
      </w:r>
      <w:r w:rsidRPr="00955C95">
        <w:rPr>
          <w:rFonts w:hint="eastAsia"/>
        </w:rPr>
        <w:t>在</w:t>
      </w:r>
      <w:r w:rsidRPr="00955C95">
        <w:t>国际层面</w:t>
      </w:r>
      <w:r w:rsidRPr="00955C95">
        <w:rPr>
          <w:rFonts w:hint="eastAsia"/>
        </w:rPr>
        <w:t>上</w:t>
      </w:r>
      <w:r w:rsidRPr="00955C95">
        <w:t>对</w:t>
      </w:r>
      <w:proofErr w:type="spellEnd"/>
      <w:r w:rsidRPr="00955C95">
        <w:rPr>
          <w:rFonts w:hint="eastAsia"/>
        </w:rPr>
        <w:t>ITR</w:t>
      </w:r>
      <w:proofErr w:type="spellStart"/>
      <w:r w:rsidRPr="00955C95">
        <w:t>达成协商一致</w:t>
      </w:r>
      <w:r w:rsidRPr="00955C95">
        <w:rPr>
          <w:rFonts w:hint="eastAsia"/>
        </w:rPr>
        <w:t>，</w:t>
      </w:r>
      <w:r w:rsidRPr="00955C95">
        <w:t>我们认为没有必要修订</w:t>
      </w:r>
      <w:proofErr w:type="spellEnd"/>
      <w:r w:rsidRPr="00955C95">
        <w:t>ITR</w:t>
      </w:r>
      <w:proofErr w:type="spellStart"/>
      <w:r w:rsidRPr="00955C95">
        <w:t>并举办国际电信世界大会</w:t>
      </w:r>
      <w:proofErr w:type="spellEnd"/>
      <w:r w:rsidRPr="00955C95">
        <w:t>（</w:t>
      </w:r>
      <w:r w:rsidRPr="00955C95">
        <w:rPr>
          <w:rFonts w:hint="eastAsia"/>
        </w:rPr>
        <w:t>WCIT</w:t>
      </w:r>
      <w:r w:rsidRPr="00955C95">
        <w:t>）</w:t>
      </w:r>
      <w:r w:rsidRPr="00955C95">
        <w:rPr>
          <w:rFonts w:hint="eastAsia"/>
        </w:rPr>
        <w:t>。</w:t>
      </w:r>
      <w:proofErr w:type="spellStart"/>
      <w:r w:rsidRPr="00955C95">
        <w:t>正如</w:t>
      </w:r>
      <w:r w:rsidRPr="00955C95">
        <w:rPr>
          <w:rFonts w:hint="eastAsia"/>
        </w:rPr>
        <w:t>一些</w:t>
      </w:r>
      <w:r w:rsidRPr="00955C95">
        <w:t>成员所指出的，我们亦对</w:t>
      </w:r>
      <w:proofErr w:type="spellEnd"/>
      <w:r w:rsidRPr="00955C95">
        <w:t>ITR</w:t>
      </w:r>
      <w:proofErr w:type="spellStart"/>
      <w:r w:rsidRPr="00955C95">
        <w:t>的修订</w:t>
      </w:r>
      <w:r w:rsidRPr="00955C95">
        <w:rPr>
          <w:rFonts w:hint="eastAsia"/>
        </w:rPr>
        <w:t>及其</w:t>
      </w:r>
      <w:r w:rsidRPr="00955C95">
        <w:t>筹备过程</w:t>
      </w:r>
      <w:r w:rsidRPr="00955C95">
        <w:rPr>
          <w:rFonts w:hint="eastAsia"/>
        </w:rPr>
        <w:t>（包括</w:t>
      </w:r>
      <w:r w:rsidRPr="00955C95">
        <w:t>举办</w:t>
      </w:r>
      <w:proofErr w:type="spellEnd"/>
      <w:r w:rsidRPr="00955C95">
        <w:t>WCIT</w:t>
      </w:r>
      <w:r w:rsidRPr="00955C95">
        <w:rPr>
          <w:rFonts w:hint="eastAsia"/>
        </w:rPr>
        <w:t>）</w:t>
      </w:r>
      <w:proofErr w:type="spellStart"/>
      <w:r w:rsidRPr="00955C95">
        <w:rPr>
          <w:rFonts w:hint="eastAsia"/>
        </w:rPr>
        <w:t>为</w:t>
      </w:r>
      <w:r w:rsidRPr="00955C95">
        <w:t>成员国、区域代表处、国际电联</w:t>
      </w:r>
      <w:proofErr w:type="spellEnd"/>
      <w:r w:rsidRPr="00955C95">
        <w:t>、</w:t>
      </w:r>
      <w:r w:rsidRPr="00955C95">
        <w:t>WCIT</w:t>
      </w:r>
      <w:proofErr w:type="spellStart"/>
      <w:r w:rsidRPr="00955C95">
        <w:t>东道国和所有相关人员带来的巨大</w:t>
      </w:r>
      <w:r w:rsidRPr="00955C95">
        <w:rPr>
          <w:rFonts w:hint="eastAsia"/>
        </w:rPr>
        <w:t>财务和人力</w:t>
      </w:r>
      <w:r w:rsidRPr="00955C95">
        <w:t>负担深表担忧</w:t>
      </w:r>
      <w:proofErr w:type="spellEnd"/>
      <w:r w:rsidRPr="00955C95">
        <w:t>。</w:t>
      </w:r>
    </w:p>
    <w:p w:rsidR="00955C95" w:rsidRDefault="00955C95" w:rsidP="00955C95">
      <w:pPr>
        <w:ind w:firstLineChars="200" w:firstLine="480"/>
      </w:pPr>
    </w:p>
    <w:p w:rsidR="00955C95" w:rsidRDefault="00955C95" w:rsidP="0032202E">
      <w:pPr>
        <w:pStyle w:val="Reasons"/>
      </w:pPr>
    </w:p>
    <w:p w:rsidR="00955C95" w:rsidRDefault="00955C95">
      <w:pPr>
        <w:jc w:val="center"/>
      </w:pPr>
      <w:r>
        <w:t>______________</w:t>
      </w:r>
    </w:p>
    <w:p w:rsidR="00955C95" w:rsidRPr="00955C95" w:rsidRDefault="00955C95" w:rsidP="00955C95">
      <w:pPr>
        <w:ind w:firstLineChars="200" w:firstLine="480"/>
      </w:pPr>
      <w:bookmarkStart w:id="3" w:name="_GoBack"/>
      <w:bookmarkEnd w:id="3"/>
    </w:p>
    <w:sectPr w:rsidR="00955C95" w:rsidRPr="00955C95"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B3" w:rsidRDefault="00876FB3">
      <w:r>
        <w:separator/>
      </w:r>
    </w:p>
  </w:endnote>
  <w:endnote w:type="continuationSeparator" w:id="0">
    <w:p w:rsidR="00876FB3" w:rsidRDefault="008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955C95" w:rsidP="00AC460A">
    <w:pPr>
      <w:pStyle w:val="Footer"/>
    </w:pPr>
    <w:r>
      <w:fldChar w:fldCharType="begin"/>
    </w:r>
    <w:r>
      <w:instrText xml:space="preserve"> FILENAME \p  \* MERGEFORMAT </w:instrText>
    </w:r>
    <w:r>
      <w:fldChar w:fldCharType="separate"/>
    </w:r>
    <w:r w:rsidR="00AC460A">
      <w:t>P:\CHI\SG\CONSEIL\EG-ITR\EG-ITR-3\DIV\003C.docx</w:t>
    </w:r>
    <w:r>
      <w:fldChar w:fldCharType="end"/>
    </w:r>
    <w:r w:rsidR="004E4BFF">
      <w:t xml:space="preserve"> (</w:t>
    </w:r>
    <w:r w:rsidR="00A40912">
      <w:t>42966</w:t>
    </w:r>
    <w:r w:rsidR="00AC460A">
      <w:t>2</w:t>
    </w:r>
    <w:r w:rsidR="004E4BFF">
      <w:t>)</w:t>
    </w:r>
    <w:r w:rsidR="004E4BFF">
      <w:tab/>
    </w:r>
    <w:r w:rsidR="004E4BFF">
      <w:fldChar w:fldCharType="begin"/>
    </w:r>
    <w:r w:rsidR="004E4BFF">
      <w:instrText xml:space="preserve"> SAVEDATE \@ DD.MM.YY </w:instrText>
    </w:r>
    <w:r w:rsidR="004E4BFF">
      <w:fldChar w:fldCharType="separate"/>
    </w:r>
    <w:r>
      <w:t>06.12.17</w:t>
    </w:r>
    <w:r w:rsidR="004E4BFF">
      <w:fldChar w:fldCharType="end"/>
    </w:r>
    <w:r w:rsidR="004E4BFF">
      <w:tab/>
    </w:r>
    <w:r w:rsidR="004E4BFF">
      <w:fldChar w:fldCharType="begin"/>
    </w:r>
    <w:r w:rsidR="004E4BFF">
      <w:instrText xml:space="preserve"> PRINTDATE \@ DD.MM.YY </w:instrText>
    </w:r>
    <w:r w:rsidR="004E4BFF">
      <w:fldChar w:fldCharType="separate"/>
    </w:r>
    <w:r w:rsidR="00876FB3">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B3" w:rsidRDefault="00876FB3">
      <w:r>
        <w:t>____________________</w:t>
      </w:r>
    </w:p>
  </w:footnote>
  <w:footnote w:type="continuationSeparator" w:id="0">
    <w:p w:rsidR="00876FB3" w:rsidRDefault="0087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876FB3">
    <w:pPr>
      <w:pStyle w:val="Header"/>
    </w:pPr>
    <w:r>
      <w:fldChar w:fldCharType="begin"/>
    </w:r>
    <w:r>
      <w:instrText>PAGE</w:instrText>
    </w:r>
    <w:r>
      <w:fldChar w:fldCharType="separate"/>
    </w:r>
    <w:r w:rsidR="00955C9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3"/>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76FB3"/>
    <w:rsid w:val="0088298D"/>
    <w:rsid w:val="00890AFB"/>
    <w:rsid w:val="00890FC4"/>
    <w:rsid w:val="00895905"/>
    <w:rsid w:val="009164A9"/>
    <w:rsid w:val="009258CB"/>
    <w:rsid w:val="0093362E"/>
    <w:rsid w:val="00944563"/>
    <w:rsid w:val="00953160"/>
    <w:rsid w:val="00955C95"/>
    <w:rsid w:val="009625D8"/>
    <w:rsid w:val="0098459B"/>
    <w:rsid w:val="00997185"/>
    <w:rsid w:val="009C2458"/>
    <w:rsid w:val="009C4A7B"/>
    <w:rsid w:val="009C6123"/>
    <w:rsid w:val="009F1E3E"/>
    <w:rsid w:val="00A1213C"/>
    <w:rsid w:val="00A272FF"/>
    <w:rsid w:val="00A40912"/>
    <w:rsid w:val="00A5354B"/>
    <w:rsid w:val="00AA7356"/>
    <w:rsid w:val="00AB42C1"/>
    <w:rsid w:val="00AC460A"/>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1264"/>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4B5DF6-77DE-4ADC-A38F-10D9E5E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6AA0-3471-47A3-8109-5A71B9B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0</TotalTime>
  <Pages>1</Pages>
  <Words>663</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2</cp:revision>
  <cp:lastPrinted>2015-02-24T13:23:00Z</cp:lastPrinted>
  <dcterms:created xsi:type="dcterms:W3CDTF">2018-01-05T14:31:00Z</dcterms:created>
  <dcterms:modified xsi:type="dcterms:W3CDTF">2018-01-05T14:31:00Z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