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D92832" w:rsidP="00D92832">
            <w:pPr>
              <w:spacing w:before="240"/>
              <w:rPr>
                <w:szCs w:val="24"/>
              </w:rPr>
            </w:pPr>
            <w:bookmarkStart w:id="0" w:name="dbluepink" w:colFirst="0" w:colLast="0"/>
            <w:bookmarkStart w:id="1" w:name="_GoBack"/>
            <w:bookmarkEnd w:id="1"/>
            <w:r w:rsidRPr="00AA22E2">
              <w:rPr>
                <w:b/>
                <w:bCs/>
                <w:position w:val="6"/>
                <w:sz w:val="30"/>
                <w:szCs w:val="30"/>
              </w:rPr>
              <w:t xml:space="preserve">Grupo de Expertos sobre el Reglamento de las </w:t>
            </w:r>
            <w:r w:rsidRPr="00AA22E2">
              <w:rPr>
                <w:b/>
                <w:bCs/>
                <w:position w:val="6"/>
                <w:sz w:val="30"/>
                <w:szCs w:val="30"/>
              </w:rPr>
              <w:br/>
              <w:t>Telecomunicaciones Internacionales (GE-RTI)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BA4764" w:rsidP="00E0473C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Tercera</w:t>
            </w:r>
            <w:r w:rsidR="00D92832" w:rsidRPr="00AA22E2">
              <w:rPr>
                <w:b/>
                <w:bCs/>
              </w:rPr>
              <w:t xml:space="preserve"> reunión – Ginebra, 1</w:t>
            </w:r>
            <w:r>
              <w:rPr>
                <w:b/>
                <w:bCs/>
              </w:rPr>
              <w:t>7</w:t>
            </w:r>
            <w:r w:rsidR="00D92832" w:rsidRPr="00AA22E2">
              <w:rPr>
                <w:b/>
                <w:bCs/>
              </w:rPr>
              <w:t>-1</w:t>
            </w:r>
            <w:r>
              <w:rPr>
                <w:b/>
                <w:bCs/>
              </w:rPr>
              <w:t>9</w:t>
            </w:r>
            <w:r w:rsidR="00D92832" w:rsidRPr="00AA22E2">
              <w:rPr>
                <w:b/>
                <w:bCs/>
              </w:rPr>
              <w:t xml:space="preserve"> de </w:t>
            </w:r>
            <w:r w:rsidR="00E0473C">
              <w:rPr>
                <w:b/>
                <w:bCs/>
              </w:rPr>
              <w:t>enero</w:t>
            </w:r>
            <w:r w:rsidR="00D92832" w:rsidRPr="00AA22E2">
              <w:rPr>
                <w:b/>
                <w:bCs/>
              </w:rPr>
              <w:t xml:space="preserve"> de 201</w:t>
            </w:r>
            <w:r>
              <w:rPr>
                <w:b/>
                <w:bCs/>
              </w:rPr>
              <w:t>8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E0473C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:rsidR="00093EEB" w:rsidRPr="00D92832" w:rsidRDefault="00093EEB" w:rsidP="00BA4764">
            <w:pPr>
              <w:spacing w:before="0"/>
              <w:rPr>
                <w:b/>
                <w:bCs/>
                <w:szCs w:val="24"/>
                <w:lang w:val="en-US"/>
              </w:rPr>
            </w:pPr>
            <w:r w:rsidRPr="00D92832">
              <w:rPr>
                <w:b/>
                <w:bCs/>
                <w:szCs w:val="24"/>
                <w:lang w:val="en-US"/>
              </w:rPr>
              <w:t xml:space="preserve">Documento </w:t>
            </w:r>
            <w:r w:rsidR="00D92832" w:rsidRPr="00D92832">
              <w:rPr>
                <w:rFonts w:asciiTheme="minorHAnsi" w:hAnsiTheme="minorHAnsi" w:cs="Times New Roman Bold"/>
                <w:b/>
                <w:spacing w:val="-4"/>
                <w:lang w:val="en-US"/>
              </w:rPr>
              <w:t>EG-ITRs-</w:t>
            </w:r>
            <w:r w:rsidR="00BA4764">
              <w:rPr>
                <w:rFonts w:asciiTheme="minorHAnsi" w:hAnsiTheme="minorHAnsi" w:cs="Times New Roman Bold"/>
                <w:b/>
                <w:spacing w:val="-4"/>
                <w:lang w:val="en-US"/>
              </w:rPr>
              <w:t>3</w:t>
            </w:r>
            <w:r w:rsidR="00E0473C">
              <w:rPr>
                <w:rFonts w:asciiTheme="minorHAnsi" w:hAnsiTheme="minorHAnsi" w:cs="Times New Roman Bold"/>
                <w:b/>
                <w:spacing w:val="-4"/>
                <w:lang w:val="en-US"/>
              </w:rPr>
              <w:t>/6</w:t>
            </w:r>
            <w:r w:rsidR="00D92832" w:rsidRPr="00D92832">
              <w:rPr>
                <w:rFonts w:asciiTheme="minorHAnsi" w:hAnsiTheme="minorHAnsi" w:cs="Times New Roman Bold"/>
                <w:b/>
                <w:spacing w:val="-4"/>
                <w:lang w:val="en-US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D92832" w:rsidRDefault="00093EEB">
            <w:pPr>
              <w:shd w:val="solid" w:color="FFFFFF" w:fill="FFFFFF"/>
              <w:spacing w:before="0"/>
              <w:rPr>
                <w:smallCaps/>
                <w:szCs w:val="24"/>
                <w:lang w:val="en-US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D02B0C" w:rsidP="00D02B0C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26 de diciembre de </w:t>
            </w:r>
            <w:r w:rsidR="00093EEB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7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E0473C">
            <w:pPr>
              <w:pStyle w:val="Source"/>
            </w:pPr>
            <w:bookmarkStart w:id="7" w:name="dsource" w:colFirst="0" w:colLast="0"/>
            <w:bookmarkEnd w:id="0"/>
            <w:bookmarkEnd w:id="6"/>
            <w:r w:rsidRPr="0009604A">
              <w:rPr>
                <w:rFonts w:asciiTheme="minorHAnsi" w:hAnsiTheme="minorHAnsi"/>
                <w:szCs w:val="32"/>
              </w:rPr>
              <w:t>Portugal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E0473C">
            <w:pPr>
              <w:pStyle w:val="Title1"/>
            </w:pPr>
            <w:bookmarkStart w:id="8" w:name="dtitle1" w:colFirst="0" w:colLast="0"/>
            <w:bookmarkEnd w:id="7"/>
            <w:r w:rsidRPr="0009604A">
              <w:rPr>
                <w:szCs w:val="36"/>
              </w:rPr>
              <w:t>CONTRIBU</w:t>
            </w:r>
            <w:r>
              <w:rPr>
                <w:szCs w:val="36"/>
              </w:rPr>
              <w:t>CIÓ</w:t>
            </w:r>
            <w:r w:rsidRPr="0009604A">
              <w:rPr>
                <w:szCs w:val="36"/>
              </w:rPr>
              <w:t xml:space="preserve">N </w:t>
            </w:r>
            <w:r>
              <w:rPr>
                <w:szCs w:val="36"/>
              </w:rPr>
              <w:t>A LA TERCERA</w:t>
            </w:r>
            <w:r w:rsidRPr="0009604A">
              <w:rPr>
                <w:szCs w:val="36"/>
              </w:rPr>
              <w:t xml:space="preserve"> </w:t>
            </w:r>
            <w:r w:rsidRPr="00F1209D">
              <w:rPr>
                <w:szCs w:val="36"/>
              </w:rPr>
              <w:t>REUNIÓN DEL GRUPO DE EXPERTOS SOBRE EL REGLAMENTO DE LAS TELECOMUNICACIONES INTERNACIONALES (GE-RTI)</w:t>
            </w:r>
          </w:p>
        </w:tc>
      </w:tr>
      <w:bookmarkEnd w:id="8"/>
    </w:tbl>
    <w:p w:rsidR="00E0473C" w:rsidRPr="0009604A" w:rsidRDefault="00E0473C" w:rsidP="00E0473C">
      <w:pPr>
        <w:pStyle w:val="Title1"/>
        <w:rPr>
          <w:caps w:val="0"/>
          <w:szCs w:val="36"/>
        </w:rPr>
      </w:pPr>
    </w:p>
    <w:p w:rsidR="00E0473C" w:rsidRPr="0009604A" w:rsidRDefault="00E0473C" w:rsidP="00E04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4"/>
          <w:tab w:val="left" w:pos="1418"/>
        </w:tabs>
        <w:jc w:val="both"/>
        <w:rPr>
          <w:rFonts w:asciiTheme="minorHAnsi" w:hAnsiTheme="minorHAnsi" w:cs="Calibri"/>
        </w:rPr>
      </w:pPr>
      <w:r w:rsidRPr="00F1209D">
        <w:rPr>
          <w:rFonts w:asciiTheme="minorHAnsi" w:hAnsiTheme="minorHAnsi"/>
        </w:rPr>
        <w:t>El presente documento ha sido preparado y acordado en el marco del Comité sobre Política de la UIT (Com-ITU) de la Conferencia Europea de Administraciones Postales y de Telecomunicaciones (CEPT)</w:t>
      </w:r>
    </w:p>
    <w:p w:rsidR="00E0473C" w:rsidRPr="0009604A" w:rsidRDefault="00E0473C" w:rsidP="00E0473C">
      <w:pPr>
        <w:pStyle w:val="Title1"/>
        <w:rPr>
          <w:caps w:val="0"/>
          <w:szCs w:val="36"/>
        </w:rPr>
      </w:pPr>
    </w:p>
    <w:p w:rsidR="00E0473C" w:rsidRPr="0009604A" w:rsidRDefault="00E0473C" w:rsidP="00E0473C">
      <w:pPr>
        <w:rPr>
          <w:rFonts w:asciiTheme="minorHAnsi" w:hAnsiTheme="minorHAnsi"/>
          <w:caps/>
          <w:sz w:val="28"/>
          <w:szCs w:val="36"/>
        </w:rPr>
      </w:pPr>
      <w:r w:rsidRPr="0009604A">
        <w:rPr>
          <w:caps/>
          <w:sz w:val="28"/>
          <w:szCs w:val="36"/>
        </w:rPr>
        <w:br w:type="page"/>
      </w:r>
    </w:p>
    <w:p w:rsidR="00E0473C" w:rsidRPr="0009604A" w:rsidRDefault="00E0473C" w:rsidP="00E0473C">
      <w:pPr>
        <w:spacing w:line="280" w:lineRule="atLeast"/>
        <w:jc w:val="center"/>
        <w:rPr>
          <w:rFonts w:asciiTheme="minorHAnsi" w:eastAsia="Arial" w:hAnsiTheme="minorHAnsi" w:cs="Arial"/>
          <w:bCs/>
          <w:spacing w:val="-1"/>
          <w:sz w:val="28"/>
          <w:szCs w:val="28"/>
        </w:rPr>
      </w:pPr>
      <w:r w:rsidRPr="0009604A">
        <w:rPr>
          <w:rFonts w:asciiTheme="minorHAnsi" w:hAnsiTheme="minorHAnsi"/>
          <w:bCs/>
          <w:sz w:val="28"/>
          <w:szCs w:val="28"/>
        </w:rPr>
        <w:lastRenderedPageBreak/>
        <w:t xml:space="preserve">CONTRIBUCIÓN A LA TERCERA </w:t>
      </w:r>
      <w:r w:rsidRPr="00F1209D">
        <w:rPr>
          <w:rFonts w:asciiTheme="minorHAnsi" w:hAnsiTheme="minorHAnsi"/>
          <w:bCs/>
          <w:sz w:val="28"/>
          <w:szCs w:val="28"/>
        </w:rPr>
        <w:t>REUNIÓN DEL GRUPO DE EXPERTOS SOBRE EL RTI</w:t>
      </w:r>
    </w:p>
    <w:p w:rsidR="00E0473C" w:rsidRPr="0009604A" w:rsidRDefault="00E0473C" w:rsidP="00E0473C">
      <w:pPr>
        <w:spacing w:line="280" w:lineRule="atLeast"/>
        <w:jc w:val="center"/>
        <w:rPr>
          <w:rFonts w:asciiTheme="minorHAnsi" w:hAnsiTheme="minorHAnsi"/>
        </w:rPr>
      </w:pPr>
    </w:p>
    <w:p w:rsidR="00E0473C" w:rsidRPr="0009604A" w:rsidRDefault="00E0473C" w:rsidP="00E0473C">
      <w:pPr>
        <w:spacing w:before="240" w:line="280" w:lineRule="atLeast"/>
        <w:jc w:val="both"/>
        <w:rPr>
          <w:rFonts w:asciiTheme="minorHAnsi" w:hAnsiTheme="minorHAnsi"/>
        </w:rPr>
      </w:pPr>
      <w:r w:rsidRPr="00F1209D">
        <w:rPr>
          <w:rFonts w:asciiTheme="minorHAnsi" w:hAnsiTheme="minorHAnsi"/>
        </w:rPr>
        <w:t>Europa agradece al Presidente y a todo el Equipo de Dirección del GE-RTI los esfuerzos invertidos en cumplir satisfactoriamente el mandato del Grupo, así como a todos los Miembros de la UIT que han participado en el GE-RTI o presentado contribuciones al mismo.</w:t>
      </w:r>
    </w:p>
    <w:p w:rsidR="00E0473C" w:rsidRDefault="00E0473C" w:rsidP="00E0473C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Habida cuenta de las opiniones discrepantes expresadas por los estados miembros y los operadores sobre la aplicabilidad y utilidad del RTI de 1888 y el RTI de 2012, se considera contraproducente organizar una CMTI por el momento y en un futuro cercano.</w:t>
      </w:r>
    </w:p>
    <w:p w:rsidR="00E0473C" w:rsidRDefault="00E0473C" w:rsidP="00E0473C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efectos de seguir examinando el asunto, Europa considera que el análisis de Brasil (doc. 2/4) y México (doc. 2/14) es particularmente interesante.</w:t>
      </w:r>
    </w:p>
    <w:p w:rsidR="00E0473C" w:rsidRPr="0009604A" w:rsidRDefault="00E0473C" w:rsidP="00E0473C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Estamos convencidos de que la competencia del Presidente permitirá terminar la actividad del Grupo de Expertos en el plazo previsto</w:t>
      </w:r>
      <w:r w:rsidRPr="0009604A">
        <w:rPr>
          <w:rFonts w:asciiTheme="minorHAnsi" w:hAnsiTheme="minorHAnsi"/>
        </w:rPr>
        <w:t>.</w:t>
      </w:r>
    </w:p>
    <w:p w:rsidR="00E0473C" w:rsidRDefault="00E0473C" w:rsidP="00E0473C">
      <w:pPr>
        <w:pStyle w:val="Reasons"/>
        <w:rPr>
          <w:lang w:val="fr-FR"/>
        </w:rPr>
      </w:pPr>
    </w:p>
    <w:p w:rsidR="00E0473C" w:rsidRDefault="00E0473C" w:rsidP="00E0473C">
      <w:pPr>
        <w:jc w:val="center"/>
      </w:pPr>
      <w:r>
        <w:t>______________</w:t>
      </w:r>
    </w:p>
    <w:p w:rsidR="00726872" w:rsidRPr="00F82FEE" w:rsidRDefault="00726872" w:rsidP="00D92832"/>
    <w:sectPr w:rsidR="00726872" w:rsidRPr="00F82FEE" w:rsidSect="006710F6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3C" w:rsidRDefault="00E0473C">
      <w:r>
        <w:separator/>
      </w:r>
    </w:p>
  </w:endnote>
  <w:endnote w:type="continuationSeparator" w:id="0">
    <w:p w:rsidR="00E0473C" w:rsidRDefault="00E0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657DDA" w:rsidP="00322158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322158" w:rsidRPr="00322158">
      <w:rPr>
        <w:lang w:val="en-US"/>
      </w:rPr>
      <w:t>P</w:t>
    </w:r>
    <w:r w:rsidR="00322158">
      <w:t>:\ESP\SG\CONSEIL\EG-ITR\EG-ITR-3\000\006S.docx</w:t>
    </w:r>
    <w:r>
      <w:fldChar w:fldCharType="end"/>
    </w:r>
    <w:r w:rsidR="00322158">
      <w:rPr>
        <w:lang w:val="en-US"/>
      </w:rPr>
      <w:t xml:space="preserve"> (430376)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3C" w:rsidRDefault="00E0473C">
      <w:r>
        <w:t>____________________</w:t>
      </w:r>
    </w:p>
  </w:footnote>
  <w:footnote w:type="continuationSeparator" w:id="0">
    <w:p w:rsidR="00E0473C" w:rsidRDefault="00E04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657DDA">
      <w:rPr>
        <w:noProof/>
      </w:rPr>
      <w:t>2</w:t>
    </w:r>
    <w:r>
      <w:rPr>
        <w:noProof/>
      </w:rPr>
      <w:fldChar w:fldCharType="end"/>
    </w:r>
  </w:p>
  <w:p w:rsidR="00760F1C" w:rsidRDefault="00760F1C" w:rsidP="00B8298E">
    <w:pPr>
      <w:pStyle w:val="Header"/>
    </w:pPr>
    <w:r>
      <w:t>C</w:t>
    </w:r>
    <w:r w:rsidR="007F350B">
      <w:t>1</w:t>
    </w:r>
    <w:r w:rsidR="00B8298E">
      <w:t>7</w:t>
    </w:r>
    <w:r>
      <w:t>/#-S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3C"/>
    <w:rsid w:val="00093EEB"/>
    <w:rsid w:val="000B0D00"/>
    <w:rsid w:val="000B7C15"/>
    <w:rsid w:val="000D1D0F"/>
    <w:rsid w:val="000F5290"/>
    <w:rsid w:val="0010165C"/>
    <w:rsid w:val="00146BFB"/>
    <w:rsid w:val="001F14A2"/>
    <w:rsid w:val="002801AA"/>
    <w:rsid w:val="002C4676"/>
    <w:rsid w:val="002C70B0"/>
    <w:rsid w:val="002F3CC4"/>
    <w:rsid w:val="00322158"/>
    <w:rsid w:val="00513630"/>
    <w:rsid w:val="00560125"/>
    <w:rsid w:val="00585553"/>
    <w:rsid w:val="005B34D9"/>
    <w:rsid w:val="005D0CCF"/>
    <w:rsid w:val="005F410F"/>
    <w:rsid w:val="0060149A"/>
    <w:rsid w:val="00601924"/>
    <w:rsid w:val="006447EA"/>
    <w:rsid w:val="0064731F"/>
    <w:rsid w:val="00657DDA"/>
    <w:rsid w:val="006710F6"/>
    <w:rsid w:val="006C1B56"/>
    <w:rsid w:val="006D4761"/>
    <w:rsid w:val="00726872"/>
    <w:rsid w:val="00760F1C"/>
    <w:rsid w:val="007657F0"/>
    <w:rsid w:val="0077252D"/>
    <w:rsid w:val="007E5DD3"/>
    <w:rsid w:val="007F350B"/>
    <w:rsid w:val="00820BE4"/>
    <w:rsid w:val="008451E8"/>
    <w:rsid w:val="00913B9C"/>
    <w:rsid w:val="00956E77"/>
    <w:rsid w:val="00AA390C"/>
    <w:rsid w:val="00B0200A"/>
    <w:rsid w:val="00B574DB"/>
    <w:rsid w:val="00B826C2"/>
    <w:rsid w:val="00B8298E"/>
    <w:rsid w:val="00BA4764"/>
    <w:rsid w:val="00BD0723"/>
    <w:rsid w:val="00BD2518"/>
    <w:rsid w:val="00BF1D1C"/>
    <w:rsid w:val="00C20C59"/>
    <w:rsid w:val="00C55B1F"/>
    <w:rsid w:val="00CF1A67"/>
    <w:rsid w:val="00D02B0C"/>
    <w:rsid w:val="00D2750E"/>
    <w:rsid w:val="00D62446"/>
    <w:rsid w:val="00D92832"/>
    <w:rsid w:val="00DA4EA2"/>
    <w:rsid w:val="00DC3D3E"/>
    <w:rsid w:val="00DE2C90"/>
    <w:rsid w:val="00DE3B24"/>
    <w:rsid w:val="00E0473C"/>
    <w:rsid w:val="00E06947"/>
    <w:rsid w:val="00E3592D"/>
    <w:rsid w:val="00E92DE8"/>
    <w:rsid w:val="00EB1212"/>
    <w:rsid w:val="00ED65AB"/>
    <w:rsid w:val="00F12850"/>
    <w:rsid w:val="00F33BF4"/>
    <w:rsid w:val="00F7105E"/>
    <w:rsid w:val="00F75F57"/>
    <w:rsid w:val="00F82FEE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11B7750-3F84-4524-9BEE-86AEB452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PS_EG-ITR.dotx</Template>
  <TotalTime>8</TotalTime>
  <Pages>2</Pages>
  <Words>217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1436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Ayala Martinez, Beatriz</dc:creator>
  <cp:keywords>C2010, C10</cp:keywords>
  <dc:description>Documento C17/-S  Para: _x000d_Fecha del documento: enero de 2017_x000d_Registrado por ITU51009317 a 15:32:38 el 06/04/2017</dc:description>
  <cp:lastModifiedBy>Ayala Martinez, Beatriz</cp:lastModifiedBy>
  <cp:revision>4</cp:revision>
  <cp:lastPrinted>2006-03-24T09:51:00Z</cp:lastPrinted>
  <dcterms:created xsi:type="dcterms:W3CDTF">2018-01-16T07:47:00Z</dcterms:created>
  <dcterms:modified xsi:type="dcterms:W3CDTF">2018-01-16T07:58:00Z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