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846938" w:rsidTr="00821479">
        <w:trPr>
          <w:cantSplit/>
        </w:trPr>
        <w:tc>
          <w:tcPr>
            <w:tcW w:w="6911" w:type="dxa"/>
          </w:tcPr>
          <w:p w:rsidR="00821479" w:rsidRPr="00846938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84693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84693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84693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2870" w:type="dxa"/>
          </w:tcPr>
          <w:p w:rsidR="00821479" w:rsidRPr="00846938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46938">
              <w:rPr>
                <w:noProof/>
                <w:lang w:val="ru-RU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846938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846938" w:rsidRDefault="0062675A" w:rsidP="0062675A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46938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846938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846938">
              <w:rPr>
                <w:rFonts w:eastAsia="Calibri" w:cs="Calibri"/>
                <w:b/>
                <w:color w:val="000000"/>
                <w:szCs w:val="24"/>
                <w:lang w:val="ru-RU"/>
              </w:rPr>
              <w:t>17–19 января 2018</w:t>
            </w:r>
            <w:r w:rsidR="00821479" w:rsidRPr="00846938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846938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46938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846938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846938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46938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846938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846938" w:rsidRDefault="007B0DB2" w:rsidP="00A7339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46938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846938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846938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846938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Pr="00846938">
              <w:rPr>
                <w:b/>
                <w:bCs/>
                <w:szCs w:val="22"/>
                <w:lang w:val="ru-RU"/>
              </w:rPr>
              <w:t>-</w:t>
            </w:r>
            <w:r w:rsidR="0062675A" w:rsidRPr="00846938">
              <w:rPr>
                <w:b/>
                <w:bCs/>
                <w:szCs w:val="22"/>
                <w:lang w:val="ru-RU"/>
              </w:rPr>
              <w:t>3</w:t>
            </w:r>
            <w:r w:rsidR="00821479" w:rsidRPr="00846938">
              <w:rPr>
                <w:b/>
                <w:bCs/>
                <w:szCs w:val="22"/>
                <w:lang w:val="ru-RU"/>
              </w:rPr>
              <w:t>/</w:t>
            </w:r>
            <w:r w:rsidR="00A73399" w:rsidRPr="00846938">
              <w:rPr>
                <w:b/>
                <w:bCs/>
                <w:szCs w:val="22"/>
                <w:lang w:val="ru-RU"/>
              </w:rPr>
              <w:t>4</w:t>
            </w:r>
            <w:r w:rsidR="00821479" w:rsidRPr="0084693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846938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846938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846938" w:rsidRDefault="00A7339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46938">
              <w:rPr>
                <w:b/>
                <w:bCs/>
                <w:szCs w:val="22"/>
                <w:lang w:val="ru-RU"/>
              </w:rPr>
              <w:t>21 декабря</w:t>
            </w:r>
            <w:r w:rsidR="00821479" w:rsidRPr="00846938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846938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846938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846938" w:rsidRDefault="00821479" w:rsidP="00A7339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46938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73399" w:rsidRPr="00846938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821479" w:rsidRPr="00846938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846938" w:rsidRDefault="00A73399" w:rsidP="00821479">
            <w:pPr>
              <w:pStyle w:val="Source"/>
              <w:rPr>
                <w:bCs/>
                <w:szCs w:val="22"/>
                <w:lang w:val="ru-RU"/>
              </w:rPr>
            </w:pPr>
            <w:r w:rsidRPr="00846938">
              <w:rPr>
                <w:lang w:val="ru-RU"/>
              </w:rPr>
              <w:t xml:space="preserve">Вклад </w:t>
            </w:r>
            <w:proofErr w:type="spellStart"/>
            <w:r w:rsidRPr="00846938">
              <w:rPr>
                <w:lang w:val="ru-RU"/>
              </w:rPr>
              <w:t>KDDI</w:t>
            </w:r>
            <w:proofErr w:type="spellEnd"/>
            <w:r w:rsidRPr="00846938">
              <w:rPr>
                <w:lang w:val="ru-RU"/>
              </w:rPr>
              <w:t xml:space="preserve"> (Япония)</w:t>
            </w:r>
          </w:p>
        </w:tc>
      </w:tr>
      <w:tr w:rsidR="00821479" w:rsidRPr="00846938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846938" w:rsidRDefault="007F68EE" w:rsidP="00A73399">
            <w:pPr>
              <w:pStyle w:val="Title1"/>
              <w:rPr>
                <w:lang w:val="ru-RU"/>
              </w:rPr>
            </w:pPr>
            <w:r w:rsidRPr="00846938">
              <w:rPr>
                <w:lang w:val="ru-RU"/>
              </w:rPr>
              <w:t>рассмотрени</w:t>
            </w:r>
            <w:r w:rsidR="00A73399" w:rsidRPr="00846938">
              <w:rPr>
                <w:lang w:val="ru-RU"/>
              </w:rPr>
              <w:t>е</w:t>
            </w:r>
            <w:r w:rsidR="00821479" w:rsidRPr="00846938">
              <w:rPr>
                <w:lang w:val="ru-RU"/>
              </w:rPr>
              <w:t xml:space="preserve"> Регламента международной электросвязи</w:t>
            </w:r>
            <w:r w:rsidR="0062675A" w:rsidRPr="00846938">
              <w:rPr>
                <w:lang w:val="ru-RU"/>
              </w:rPr>
              <w:t xml:space="preserve"> </w:t>
            </w:r>
            <w:r w:rsidR="00A73399" w:rsidRPr="00846938">
              <w:rPr>
                <w:lang w:val="ru-RU"/>
              </w:rPr>
              <w:t>2012 года</w:t>
            </w:r>
          </w:p>
        </w:tc>
      </w:tr>
      <w:tr w:rsidR="00821479" w:rsidRPr="00846938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846938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A73399" w:rsidRPr="00846938" w:rsidRDefault="00846938" w:rsidP="00846938">
      <w:pPr>
        <w:widowControl w:val="0"/>
        <w:jc w:val="both"/>
        <w:rPr>
          <w:rFonts w:asciiTheme="minorHAnsi" w:hAnsiTheme="minorHAnsi"/>
          <w:szCs w:val="22"/>
          <w:lang w:val="ru-RU"/>
        </w:rPr>
      </w:pPr>
      <w:r w:rsidRPr="00846938">
        <w:rPr>
          <w:rFonts w:asciiTheme="minorHAnsi" w:hAnsiTheme="minorHAnsi"/>
          <w:szCs w:val="22"/>
          <w:lang w:val="ru-RU"/>
        </w:rPr>
        <w:t>1</w:t>
      </w:r>
      <w:r w:rsidRPr="00846938">
        <w:rPr>
          <w:rFonts w:asciiTheme="minorHAnsi" w:hAnsiTheme="minorHAnsi"/>
          <w:szCs w:val="22"/>
          <w:lang w:val="ru-RU"/>
        </w:rPr>
        <w:tab/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KDDI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 представила последнему собранию ГЭ-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РМЭ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 вклад совместно с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Bell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Mobility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,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America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Movil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,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BT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,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AT&amp;T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,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Verizon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>. Суть этого вклада кратко изложена в Документе </w:t>
      </w:r>
      <w:proofErr w:type="spellStart"/>
      <w:r w:rsidR="00A73399" w:rsidRPr="00846938">
        <w:rPr>
          <w:rFonts w:asciiTheme="minorHAnsi" w:hAnsiTheme="minorHAnsi" w:cs="Calibri"/>
          <w:szCs w:val="22"/>
          <w:lang w:val="ru-RU"/>
        </w:rPr>
        <w:t>EG-ITRs</w:t>
      </w:r>
      <w:proofErr w:type="spellEnd"/>
      <w:r w:rsidR="00A73399" w:rsidRPr="00846938">
        <w:rPr>
          <w:rFonts w:asciiTheme="minorHAnsi" w:hAnsiTheme="minorHAnsi" w:cs="Calibri"/>
          <w:szCs w:val="22"/>
          <w:lang w:val="ru-RU"/>
        </w:rPr>
        <w:t xml:space="preserve"> 2/20 следующим образом:</w:t>
      </w:r>
    </w:p>
    <w:p w:rsidR="00A73399" w:rsidRPr="00846938" w:rsidRDefault="00A73399" w:rsidP="00A73399">
      <w:pPr>
        <w:pStyle w:val="Heading2"/>
        <w:rPr>
          <w:szCs w:val="22"/>
          <w:lang w:val="ru-RU"/>
        </w:rPr>
      </w:pPr>
      <w:r w:rsidRPr="00846938">
        <w:rPr>
          <w:szCs w:val="22"/>
          <w:lang w:val="ru-RU"/>
        </w:rPr>
        <w:t>3.8</w:t>
      </w:r>
      <w:r w:rsidRPr="00846938">
        <w:rPr>
          <w:szCs w:val="22"/>
          <w:lang w:val="ru-RU"/>
        </w:rPr>
        <w:tab/>
      </w:r>
      <w:r w:rsidRPr="00846938">
        <w:rPr>
          <w:rFonts w:asciiTheme="minorHAnsi" w:hAnsiTheme="minorHAnsi" w:cstheme="majorBidi"/>
          <w:szCs w:val="22"/>
          <w:lang w:val="ru-RU"/>
        </w:rPr>
        <w:t xml:space="preserve">Вклад </w:t>
      </w:r>
      <w:proofErr w:type="spellStart"/>
      <w:r w:rsidRPr="00846938">
        <w:rPr>
          <w:rFonts w:asciiTheme="minorHAnsi" w:hAnsiTheme="minorHAnsi" w:cstheme="majorBidi"/>
          <w:szCs w:val="22"/>
          <w:lang w:val="ru-RU"/>
        </w:rPr>
        <w:t>EG-ITRs</w:t>
      </w:r>
      <w:proofErr w:type="spellEnd"/>
      <w:r w:rsidRPr="00846938">
        <w:rPr>
          <w:rFonts w:asciiTheme="minorHAnsi" w:hAnsiTheme="minorHAnsi" w:cstheme="majorBidi"/>
          <w:szCs w:val="22"/>
          <w:lang w:val="ru-RU"/>
        </w:rPr>
        <w:t xml:space="preserve"> 2/9</w:t>
      </w:r>
      <w:r w:rsidRPr="00846938">
        <w:rPr>
          <w:szCs w:val="22"/>
          <w:lang w:val="ru-RU"/>
        </w:rPr>
        <w:t xml:space="preserve"> от </w:t>
      </w:r>
      <w:proofErr w:type="spellStart"/>
      <w:r w:rsidRPr="00846938">
        <w:rPr>
          <w:szCs w:val="22"/>
          <w:lang w:val="ru-RU"/>
        </w:rPr>
        <w:t>Bell</w:t>
      </w:r>
      <w:proofErr w:type="spellEnd"/>
      <w:r w:rsidRPr="00846938">
        <w:rPr>
          <w:szCs w:val="22"/>
          <w:lang w:val="ru-RU"/>
        </w:rPr>
        <w:t xml:space="preserve"> </w:t>
      </w:r>
      <w:proofErr w:type="spellStart"/>
      <w:r w:rsidRPr="00846938">
        <w:rPr>
          <w:szCs w:val="22"/>
          <w:lang w:val="ru-RU"/>
        </w:rPr>
        <w:t>Mobility</w:t>
      </w:r>
      <w:proofErr w:type="spellEnd"/>
      <w:r w:rsidRPr="00846938">
        <w:rPr>
          <w:szCs w:val="22"/>
          <w:lang w:val="ru-RU"/>
        </w:rPr>
        <w:t xml:space="preserve">, </w:t>
      </w:r>
      <w:proofErr w:type="spellStart"/>
      <w:r w:rsidRPr="00846938">
        <w:rPr>
          <w:szCs w:val="22"/>
          <w:lang w:val="ru-RU"/>
        </w:rPr>
        <w:t>KDDI</w:t>
      </w:r>
      <w:proofErr w:type="spellEnd"/>
      <w:r w:rsidRPr="00846938">
        <w:rPr>
          <w:szCs w:val="22"/>
          <w:lang w:val="ru-RU"/>
        </w:rPr>
        <w:t xml:space="preserve">; </w:t>
      </w:r>
      <w:proofErr w:type="spellStart"/>
      <w:r w:rsidRPr="00846938">
        <w:rPr>
          <w:szCs w:val="22"/>
          <w:lang w:val="ru-RU"/>
        </w:rPr>
        <w:t>América</w:t>
      </w:r>
      <w:proofErr w:type="spellEnd"/>
      <w:r w:rsidRPr="00846938">
        <w:rPr>
          <w:szCs w:val="22"/>
          <w:lang w:val="ru-RU"/>
        </w:rPr>
        <w:t xml:space="preserve"> </w:t>
      </w:r>
      <w:proofErr w:type="spellStart"/>
      <w:r w:rsidRPr="00846938">
        <w:rPr>
          <w:szCs w:val="22"/>
          <w:lang w:val="ru-RU"/>
        </w:rPr>
        <w:t>Móvil</w:t>
      </w:r>
      <w:proofErr w:type="spellEnd"/>
      <w:r w:rsidRPr="00846938">
        <w:rPr>
          <w:szCs w:val="22"/>
          <w:lang w:val="ru-RU"/>
        </w:rPr>
        <w:t xml:space="preserve">; </w:t>
      </w:r>
      <w:proofErr w:type="spellStart"/>
      <w:r w:rsidRPr="00846938">
        <w:rPr>
          <w:szCs w:val="22"/>
          <w:lang w:val="ru-RU"/>
        </w:rPr>
        <w:t>BT</w:t>
      </w:r>
      <w:proofErr w:type="spellEnd"/>
      <w:r w:rsidRPr="00846938">
        <w:rPr>
          <w:szCs w:val="22"/>
          <w:lang w:val="ru-RU"/>
        </w:rPr>
        <w:t xml:space="preserve">; </w:t>
      </w:r>
      <w:proofErr w:type="spellStart"/>
      <w:r w:rsidRPr="00846938">
        <w:rPr>
          <w:szCs w:val="22"/>
          <w:lang w:val="ru-RU"/>
        </w:rPr>
        <w:t>AT&amp;T</w:t>
      </w:r>
      <w:proofErr w:type="spellEnd"/>
      <w:r w:rsidRPr="00846938">
        <w:rPr>
          <w:szCs w:val="22"/>
          <w:lang w:val="ru-RU"/>
        </w:rPr>
        <w:t xml:space="preserve">, </w:t>
      </w:r>
      <w:proofErr w:type="spellStart"/>
      <w:r w:rsidRPr="00846938">
        <w:rPr>
          <w:szCs w:val="22"/>
          <w:lang w:val="ru-RU"/>
        </w:rPr>
        <w:t>Verizon</w:t>
      </w:r>
      <w:proofErr w:type="spellEnd"/>
      <w:r w:rsidRPr="00846938">
        <w:rPr>
          <w:lang w:val="ru-RU"/>
        </w:rPr>
        <w:t xml:space="preserve"> − "Рассмотрение Регламента международной электросвязи 2012 года"</w:t>
      </w:r>
    </w:p>
    <w:p w:rsidR="00A73399" w:rsidRPr="00846938" w:rsidRDefault="00A73399" w:rsidP="003173E4">
      <w:pPr>
        <w:rPr>
          <w:rFonts w:cs="Times New Roman Bold"/>
          <w:spacing w:val="-4"/>
          <w:lang w:val="ru-RU"/>
        </w:rPr>
      </w:pPr>
      <w:bookmarkStart w:id="1" w:name="lt_pId093"/>
      <w:r w:rsidRPr="00846938">
        <w:rPr>
          <w:color w:val="000000"/>
          <w:lang w:val="ru-RU"/>
        </w:rPr>
        <w:t xml:space="preserve">На основании коллективного опыта эксплуатации, накопленного перечисленными выше Членами Сектора, представляется, что </w:t>
      </w:r>
      <w:proofErr w:type="spellStart"/>
      <w:r w:rsidRPr="00846938">
        <w:rPr>
          <w:color w:val="000000"/>
          <w:lang w:val="ru-RU"/>
        </w:rPr>
        <w:t>РМЭ</w:t>
      </w:r>
      <w:proofErr w:type="spellEnd"/>
      <w:r w:rsidRPr="00846938">
        <w:rPr>
          <w:color w:val="000000"/>
          <w:lang w:val="ru-RU"/>
        </w:rPr>
        <w:t xml:space="preserve"> более неприменим и неактуален на современном рынке международной электросвязи, характеризующемся высокой конкуренцией</w:t>
      </w:r>
      <w:r w:rsidRPr="00846938">
        <w:rPr>
          <w:rFonts w:cs="Times New Roman Bold"/>
          <w:spacing w:val="-4"/>
          <w:lang w:val="ru-RU"/>
        </w:rPr>
        <w:t xml:space="preserve">. </w:t>
      </w:r>
      <w:r w:rsidRPr="00846938">
        <w:rPr>
          <w:color w:val="000000"/>
          <w:lang w:val="ru-RU"/>
        </w:rPr>
        <w:t xml:space="preserve">Обмен большей частью международного трафика (если не им всем), который осуществляют компании в глобальном масштабе, обеспечивается </w:t>
      </w:r>
      <w:proofErr w:type="gramStart"/>
      <w:r w:rsidRPr="00846938">
        <w:rPr>
          <w:color w:val="000000"/>
          <w:lang w:val="ru-RU"/>
        </w:rPr>
        <w:t>в рамках</w:t>
      </w:r>
      <w:proofErr w:type="gramEnd"/>
      <w:r w:rsidRPr="00846938">
        <w:rPr>
          <w:color w:val="000000"/>
          <w:lang w:val="ru-RU"/>
        </w:rPr>
        <w:t xml:space="preserve"> заключенных на коммерческой основе соглашений</w:t>
      </w:r>
      <w:r w:rsidRPr="00846938">
        <w:rPr>
          <w:rFonts w:cs="Times New Roman Bold"/>
          <w:spacing w:val="-4"/>
          <w:lang w:val="ru-RU"/>
        </w:rPr>
        <w:t xml:space="preserve">. </w:t>
      </w:r>
      <w:r w:rsidRPr="00846938">
        <w:rPr>
          <w:color w:val="000000"/>
          <w:lang w:val="ru-RU"/>
        </w:rPr>
        <w:t xml:space="preserve">Насколько известно этим компаниям, лишь очень немногие страны по-прежнему полагаются на режим учетных такс, базирующийся на </w:t>
      </w:r>
      <w:proofErr w:type="spellStart"/>
      <w:r w:rsidRPr="00846938">
        <w:rPr>
          <w:color w:val="000000"/>
          <w:lang w:val="ru-RU"/>
        </w:rPr>
        <w:t>РМЭ</w:t>
      </w:r>
      <w:proofErr w:type="spellEnd"/>
      <w:r w:rsidRPr="00846938">
        <w:rPr>
          <w:color w:val="000000"/>
          <w:lang w:val="ru-RU"/>
        </w:rPr>
        <w:t>, и на такой трафик приходится лишь менее 1% глобальных потоков трафика</w:t>
      </w:r>
      <w:r w:rsidRPr="00846938">
        <w:rPr>
          <w:rFonts w:cs="Times New Roman Bold"/>
          <w:spacing w:val="-4"/>
          <w:lang w:val="ru-RU"/>
        </w:rPr>
        <w:t xml:space="preserve">. </w:t>
      </w:r>
      <w:r w:rsidR="003173E4" w:rsidRPr="00846938">
        <w:rPr>
          <w:color w:val="000000"/>
          <w:lang w:val="ru-RU"/>
        </w:rPr>
        <w:t>П</w:t>
      </w:r>
      <w:r w:rsidRPr="00846938">
        <w:rPr>
          <w:color w:val="000000"/>
          <w:lang w:val="ru-RU"/>
        </w:rPr>
        <w:t>оявление</w:t>
      </w:r>
      <w:r w:rsidR="003173E4" w:rsidRPr="00846938">
        <w:rPr>
          <w:color w:val="000000"/>
          <w:lang w:val="ru-RU"/>
        </w:rPr>
        <w:t xml:space="preserve"> </w:t>
      </w:r>
      <w:r w:rsidRPr="00846938">
        <w:rPr>
          <w:color w:val="000000"/>
          <w:lang w:val="ru-RU"/>
        </w:rPr>
        <w:t xml:space="preserve">множества конкурирующих операторов в частном секторе </w:t>
      </w:r>
      <w:r w:rsidR="00F2003D" w:rsidRPr="00846938">
        <w:rPr>
          <w:color w:val="000000"/>
          <w:lang w:val="ru-RU"/>
        </w:rPr>
        <w:t xml:space="preserve">каждой страны </w:t>
      </w:r>
      <w:r w:rsidRPr="00846938">
        <w:rPr>
          <w:color w:val="000000"/>
          <w:lang w:val="ru-RU"/>
        </w:rPr>
        <w:t xml:space="preserve">создает конкурентную среду, которая не нуждается в каком-либо договорном инструменте, каковым является </w:t>
      </w:r>
      <w:proofErr w:type="spellStart"/>
      <w:r w:rsidRPr="00846938">
        <w:rPr>
          <w:color w:val="000000"/>
          <w:lang w:val="ru-RU"/>
        </w:rPr>
        <w:t>РМЭ</w:t>
      </w:r>
      <w:proofErr w:type="spellEnd"/>
      <w:r w:rsidRPr="00846938">
        <w:rPr>
          <w:rFonts w:cs="Times New Roman Bold"/>
          <w:spacing w:val="-4"/>
          <w:lang w:val="ru-RU"/>
        </w:rPr>
        <w:t xml:space="preserve">. Кроме того, в ответ на вопросы Государств-Членов, касающиеся возможных проблем с выполнением </w:t>
      </w:r>
      <w:proofErr w:type="spellStart"/>
      <w:r w:rsidRPr="00846938">
        <w:rPr>
          <w:rFonts w:cs="Times New Roman Bold"/>
          <w:spacing w:val="-4"/>
          <w:lang w:val="ru-RU"/>
        </w:rPr>
        <w:t>РМЭ</w:t>
      </w:r>
      <w:proofErr w:type="spellEnd"/>
      <w:r w:rsidRPr="00846938">
        <w:rPr>
          <w:rFonts w:cs="Times New Roman Bold"/>
          <w:spacing w:val="-4"/>
          <w:lang w:val="ru-RU"/>
        </w:rPr>
        <w:t xml:space="preserve"> 2012 года, сообщается, что Члены Сектора не сталкиваются с какими-либо практическими трудностями в этой области. </w:t>
      </w:r>
    </w:p>
    <w:bookmarkEnd w:id="1"/>
    <w:p w:rsidR="00A73399" w:rsidRPr="00846938" w:rsidRDefault="00F2003D" w:rsidP="00AF3477">
      <w:pPr>
        <w:pStyle w:val="Normalaftertitle"/>
        <w:rPr>
          <w:lang w:val="ru-RU"/>
        </w:rPr>
      </w:pPr>
      <w:r w:rsidRPr="00846938">
        <w:rPr>
          <w:lang w:val="ru-RU"/>
        </w:rPr>
        <w:t>Свой вклад представило и правительство Японии</w:t>
      </w:r>
      <w:r w:rsidR="00A73399" w:rsidRPr="00846938">
        <w:rPr>
          <w:lang w:val="ru-RU"/>
        </w:rPr>
        <w:t xml:space="preserve">. </w:t>
      </w:r>
      <w:r w:rsidRPr="00846938">
        <w:rPr>
          <w:lang w:val="ru-RU"/>
        </w:rPr>
        <w:t>Его суть кратко изложена в Документе </w:t>
      </w:r>
      <w:proofErr w:type="spellStart"/>
      <w:r w:rsidR="00A73399" w:rsidRPr="00846938">
        <w:rPr>
          <w:rFonts w:cs="Calibri"/>
          <w:lang w:val="ru-RU"/>
        </w:rPr>
        <w:t>EG</w:t>
      </w:r>
      <w:r w:rsidRPr="00846938">
        <w:rPr>
          <w:rFonts w:cs="Calibri"/>
          <w:lang w:val="ru-RU"/>
        </w:rPr>
        <w:noBreakHyphen/>
      </w:r>
      <w:r w:rsidR="00A73399" w:rsidRPr="00846938">
        <w:rPr>
          <w:rFonts w:cs="Calibri"/>
          <w:lang w:val="ru-RU"/>
        </w:rPr>
        <w:t>ITRs</w:t>
      </w:r>
      <w:proofErr w:type="spellEnd"/>
      <w:r w:rsidRPr="00846938">
        <w:rPr>
          <w:rFonts w:cs="Calibri"/>
          <w:lang w:val="ru-RU"/>
        </w:rPr>
        <w:t> </w:t>
      </w:r>
      <w:r w:rsidR="00A73399" w:rsidRPr="00846938">
        <w:rPr>
          <w:rFonts w:cs="Calibri"/>
          <w:lang w:val="ru-RU"/>
        </w:rPr>
        <w:t xml:space="preserve">2/20 </w:t>
      </w:r>
      <w:r w:rsidRPr="00846938">
        <w:rPr>
          <w:rFonts w:cs="Calibri"/>
          <w:lang w:val="ru-RU"/>
        </w:rPr>
        <w:t>следующим образом</w:t>
      </w:r>
      <w:r w:rsidR="00A73399" w:rsidRPr="00846938">
        <w:rPr>
          <w:rFonts w:cs="Calibri"/>
          <w:lang w:val="ru-RU"/>
        </w:rPr>
        <w:t>:</w:t>
      </w:r>
    </w:p>
    <w:p w:rsidR="00333D9C" w:rsidRPr="00846938" w:rsidRDefault="00333D9C" w:rsidP="00333D9C">
      <w:pPr>
        <w:pStyle w:val="Heading2"/>
        <w:rPr>
          <w:szCs w:val="22"/>
          <w:lang w:val="ru-RU"/>
        </w:rPr>
      </w:pPr>
      <w:r w:rsidRPr="00846938">
        <w:rPr>
          <w:szCs w:val="22"/>
          <w:lang w:val="ru-RU"/>
        </w:rPr>
        <w:t>3.9</w:t>
      </w:r>
      <w:r w:rsidRPr="00846938">
        <w:rPr>
          <w:szCs w:val="22"/>
          <w:lang w:val="ru-RU"/>
        </w:rPr>
        <w:tab/>
      </w:r>
      <w:r w:rsidRPr="00846938">
        <w:rPr>
          <w:rFonts w:asciiTheme="minorHAnsi" w:hAnsiTheme="minorHAnsi" w:cstheme="majorBidi"/>
          <w:szCs w:val="22"/>
          <w:lang w:val="ru-RU"/>
        </w:rPr>
        <w:t xml:space="preserve">Вклад </w:t>
      </w:r>
      <w:proofErr w:type="spellStart"/>
      <w:r w:rsidRPr="00846938">
        <w:rPr>
          <w:rFonts w:asciiTheme="minorHAnsi" w:hAnsiTheme="minorHAnsi" w:cstheme="majorBidi"/>
          <w:szCs w:val="22"/>
          <w:lang w:val="ru-RU"/>
        </w:rPr>
        <w:t>EG-ITRs</w:t>
      </w:r>
      <w:proofErr w:type="spellEnd"/>
      <w:r w:rsidRPr="00846938">
        <w:rPr>
          <w:rFonts w:asciiTheme="minorHAnsi" w:hAnsiTheme="minorHAnsi" w:cstheme="majorBidi"/>
          <w:szCs w:val="22"/>
          <w:lang w:val="ru-RU"/>
        </w:rPr>
        <w:t xml:space="preserve"> 2/11</w:t>
      </w:r>
      <w:r w:rsidRPr="00846938">
        <w:rPr>
          <w:szCs w:val="22"/>
          <w:lang w:val="ru-RU"/>
        </w:rPr>
        <w:t xml:space="preserve"> от Японии – "</w:t>
      </w:r>
      <w:r w:rsidRPr="00846938">
        <w:rPr>
          <w:bCs/>
          <w:lang w:val="ru-RU"/>
        </w:rPr>
        <w:t>Мнения Японии о рас</w:t>
      </w:r>
      <w:bookmarkStart w:id="2" w:name="_GoBack"/>
      <w:bookmarkEnd w:id="2"/>
      <w:r w:rsidRPr="00846938">
        <w:rPr>
          <w:bCs/>
          <w:lang w:val="ru-RU"/>
        </w:rPr>
        <w:t xml:space="preserve">смотрении </w:t>
      </w:r>
      <w:proofErr w:type="spellStart"/>
      <w:r w:rsidRPr="00846938">
        <w:rPr>
          <w:bCs/>
          <w:lang w:val="ru-RU"/>
        </w:rPr>
        <w:t>РМЭ</w:t>
      </w:r>
      <w:proofErr w:type="spellEnd"/>
      <w:r w:rsidRPr="00846938">
        <w:rPr>
          <w:bCs/>
          <w:lang w:val="ru-RU"/>
        </w:rPr>
        <w:t>"</w:t>
      </w:r>
    </w:p>
    <w:p w:rsidR="00333D9C" w:rsidRPr="00846938" w:rsidRDefault="00333D9C" w:rsidP="00333D9C">
      <w:pPr>
        <w:rPr>
          <w:lang w:val="ru-RU"/>
        </w:rPr>
      </w:pPr>
      <w:r w:rsidRPr="00846938">
        <w:rPr>
          <w:lang w:val="ru-RU"/>
        </w:rPr>
        <w:t xml:space="preserve">Япония провела обследование в форме вопросника в отношении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 и получила ответы от 12 японских операторов. Что касается "препятствий, вызываемых соблюдением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 2012 года", то они не сталкиваются с какими-либо проблемами или препятствиями в этой области. Что касается "противоречия между двумя версиями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", то они до сих пор не сталкивались с какими-либо потенциальными или реальными противоречиями и не ожидают их возникновения. Что касается "применимости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 2012 года", то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 не имеет большого значения для современных услуг международной электросвязи, поскольку они предоставляются на основе коммерческих соглашений. Япония полагает, что на современном конкурентном рынке услуг электросвязи в Японии и в тех районах, где действуют японские операторы, ценность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 существенно снизилась.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 не следует часто пересматривать. Операторы будут находиться в уязвимом положении до тех пор, пока не будет закончена подготовка нового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. Эта уязвимость будет оказывать негативное воздействие на </w:t>
      </w:r>
      <w:r w:rsidRPr="00846938">
        <w:rPr>
          <w:lang w:val="ru-RU"/>
        </w:rPr>
        <w:lastRenderedPageBreak/>
        <w:t xml:space="preserve">операторов, в </w:t>
      </w:r>
      <w:proofErr w:type="gramStart"/>
      <w:r w:rsidRPr="00846938">
        <w:rPr>
          <w:lang w:val="ru-RU"/>
        </w:rPr>
        <w:t>том</w:t>
      </w:r>
      <w:proofErr w:type="gramEnd"/>
      <w:r w:rsidRPr="00846938">
        <w:rPr>
          <w:lang w:val="ru-RU"/>
        </w:rPr>
        <w:t xml:space="preserve"> что касается осуществления инвестиций и долгосрочного планирования или расширения коммерческой деятельности. По мнению Японии, </w:t>
      </w:r>
      <w:proofErr w:type="spellStart"/>
      <w:r w:rsidRPr="00846938">
        <w:rPr>
          <w:lang w:val="ru-RU"/>
        </w:rPr>
        <w:t>РМЭ</w:t>
      </w:r>
      <w:proofErr w:type="spellEnd"/>
      <w:r w:rsidRPr="00846938">
        <w:rPr>
          <w:lang w:val="ru-RU"/>
        </w:rPr>
        <w:t xml:space="preserve"> не должен препятствовать предпринимательской деятельности операторов. </w:t>
      </w:r>
    </w:p>
    <w:p w:rsidR="00A73399" w:rsidRPr="00846938" w:rsidRDefault="00846938" w:rsidP="00846938">
      <w:pPr>
        <w:keepNext/>
        <w:keepLines/>
        <w:widowControl w:val="0"/>
        <w:jc w:val="both"/>
        <w:rPr>
          <w:rFonts w:asciiTheme="minorHAnsi" w:hAnsiTheme="minorHAnsi"/>
          <w:szCs w:val="22"/>
          <w:lang w:val="ru-RU"/>
        </w:rPr>
      </w:pPr>
      <w:r w:rsidRPr="00846938">
        <w:rPr>
          <w:rFonts w:asciiTheme="minorHAnsi" w:hAnsiTheme="minorHAnsi"/>
          <w:szCs w:val="22"/>
          <w:lang w:val="ru-RU"/>
        </w:rPr>
        <w:t>2</w:t>
      </w:r>
      <w:r w:rsidRPr="00846938">
        <w:rPr>
          <w:rFonts w:asciiTheme="minorHAnsi" w:hAnsiTheme="minorHAnsi"/>
          <w:szCs w:val="22"/>
          <w:lang w:val="ru-RU"/>
        </w:rPr>
        <w:tab/>
      </w:r>
      <w:r w:rsidR="00333D9C" w:rsidRPr="00846938">
        <w:rPr>
          <w:rFonts w:asciiTheme="minorHAnsi" w:hAnsiTheme="minorHAnsi"/>
          <w:szCs w:val="22"/>
          <w:lang w:val="ru-RU"/>
        </w:rPr>
        <w:t xml:space="preserve">Позиция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KDDI</w:t>
      </w:r>
      <w:proofErr w:type="spellEnd"/>
      <w:r w:rsidR="00333D9C" w:rsidRPr="00846938">
        <w:rPr>
          <w:rFonts w:asciiTheme="minorHAnsi" w:hAnsiTheme="minorHAnsi"/>
          <w:szCs w:val="22"/>
          <w:lang w:val="ru-RU"/>
        </w:rPr>
        <w:t xml:space="preserve"> не изменилась со времени проведения последнего собрания ГЭ-</w:t>
      </w:r>
      <w:proofErr w:type="spellStart"/>
      <w:r w:rsidR="00333D9C" w:rsidRPr="00846938">
        <w:rPr>
          <w:rFonts w:asciiTheme="minorHAnsi" w:hAnsiTheme="minorHAnsi"/>
          <w:szCs w:val="22"/>
          <w:lang w:val="ru-RU"/>
        </w:rPr>
        <w:t>РМЭ</w:t>
      </w:r>
      <w:proofErr w:type="spellEnd"/>
      <w:r w:rsidR="00333D9C" w:rsidRPr="00846938">
        <w:rPr>
          <w:rFonts w:asciiTheme="minorHAnsi" w:hAnsiTheme="minorHAnsi"/>
          <w:szCs w:val="22"/>
          <w:lang w:val="ru-RU"/>
        </w:rPr>
        <w:t xml:space="preserve">, но </w:t>
      </w:r>
      <w:proofErr w:type="spellStart"/>
      <w:r w:rsidR="00A73399" w:rsidRPr="00846938">
        <w:rPr>
          <w:rFonts w:asciiTheme="minorHAnsi" w:hAnsiTheme="minorHAnsi"/>
          <w:szCs w:val="22"/>
          <w:lang w:val="ru-RU"/>
        </w:rPr>
        <w:t>KDDI</w:t>
      </w:r>
      <w:proofErr w:type="spellEnd"/>
      <w:r w:rsidR="00A73399" w:rsidRPr="00846938">
        <w:rPr>
          <w:rFonts w:asciiTheme="minorHAnsi" w:hAnsiTheme="minorHAnsi"/>
          <w:szCs w:val="22"/>
          <w:lang w:val="ru-RU"/>
        </w:rPr>
        <w:t xml:space="preserve"> </w:t>
      </w:r>
      <w:r w:rsidR="00333D9C" w:rsidRPr="00846938">
        <w:rPr>
          <w:rFonts w:asciiTheme="minorHAnsi" w:hAnsiTheme="minorHAnsi"/>
          <w:szCs w:val="22"/>
          <w:lang w:val="ru-RU"/>
        </w:rPr>
        <w:t>хотела бы отметить следующее</w:t>
      </w:r>
      <w:r w:rsidR="00A73399" w:rsidRPr="00846938">
        <w:rPr>
          <w:rFonts w:asciiTheme="minorHAnsi" w:hAnsiTheme="minorHAnsi"/>
          <w:szCs w:val="22"/>
          <w:lang w:val="ru-RU"/>
        </w:rPr>
        <w:t>.</w:t>
      </w:r>
    </w:p>
    <w:p w:rsidR="00A73399" w:rsidRPr="00846938" w:rsidRDefault="00846938" w:rsidP="00846938">
      <w:pPr>
        <w:pStyle w:val="enumlev1"/>
        <w:rPr>
          <w:lang w:val="ru-RU"/>
        </w:rPr>
      </w:pPr>
      <w:r w:rsidRPr="00846938">
        <w:rPr>
          <w:rFonts w:eastAsia="MS Mincho" w:cs="MS Mincho"/>
          <w:lang w:val="ru-RU"/>
        </w:rPr>
        <w:t>•</w:t>
      </w:r>
      <w:r w:rsidRPr="00846938">
        <w:rPr>
          <w:rFonts w:eastAsia="MS Mincho" w:cs="MS Mincho"/>
          <w:lang w:val="ru-RU"/>
        </w:rPr>
        <w:tab/>
      </w:r>
      <w:proofErr w:type="spellStart"/>
      <w:r w:rsidR="00A73399" w:rsidRPr="00846938">
        <w:rPr>
          <w:lang w:val="ru-RU"/>
        </w:rPr>
        <w:t>KDDI</w:t>
      </w:r>
      <w:proofErr w:type="spellEnd"/>
      <w:r w:rsidR="00A73399" w:rsidRPr="00846938">
        <w:rPr>
          <w:lang w:val="ru-RU"/>
        </w:rPr>
        <w:t xml:space="preserve"> </w:t>
      </w:r>
      <w:r w:rsidR="00B07E23" w:rsidRPr="00846938">
        <w:rPr>
          <w:lang w:val="ru-RU"/>
        </w:rPr>
        <w:t xml:space="preserve">активно участвует в работе </w:t>
      </w:r>
      <w:proofErr w:type="spellStart"/>
      <w:r w:rsidR="00B07E23" w:rsidRPr="00846938">
        <w:rPr>
          <w:lang w:val="ru-RU"/>
        </w:rPr>
        <w:t>ИК3</w:t>
      </w:r>
      <w:proofErr w:type="spellEnd"/>
      <w:r w:rsidR="00B07E23" w:rsidRPr="00846938">
        <w:rPr>
          <w:lang w:val="ru-RU"/>
        </w:rPr>
        <w:t xml:space="preserve"> МСЭ-Т</w:t>
      </w:r>
      <w:r w:rsidR="00A73399" w:rsidRPr="00846938">
        <w:rPr>
          <w:lang w:val="ru-RU"/>
        </w:rPr>
        <w:t xml:space="preserve">. </w:t>
      </w:r>
      <w:r w:rsidR="00B07E23" w:rsidRPr="00846938">
        <w:rPr>
          <w:lang w:val="ru-RU"/>
        </w:rPr>
        <w:t>Это весьма полезный форум для обсуждения регуляторных и экономических вопросов электросвязи</w:t>
      </w:r>
      <w:r w:rsidR="00A73399" w:rsidRPr="00846938">
        <w:rPr>
          <w:lang w:val="ru-RU"/>
        </w:rPr>
        <w:t xml:space="preserve">. </w:t>
      </w:r>
      <w:r w:rsidR="00B07E23" w:rsidRPr="00846938">
        <w:rPr>
          <w:lang w:val="ru-RU"/>
        </w:rPr>
        <w:t>Собрания проходят регулярно, в гибких формах для разработки Рекомендаций</w:t>
      </w:r>
      <w:r w:rsidR="00A73399" w:rsidRPr="00846938">
        <w:rPr>
          <w:lang w:val="ru-RU"/>
        </w:rPr>
        <w:t xml:space="preserve">. </w:t>
      </w:r>
      <w:r w:rsidR="00B07E23" w:rsidRPr="00846938">
        <w:rPr>
          <w:lang w:val="ru-RU"/>
        </w:rPr>
        <w:t xml:space="preserve">В Рекомендациях изменения можно учитывать более оперативно, чем в </w:t>
      </w:r>
      <w:proofErr w:type="spellStart"/>
      <w:r w:rsidR="00B07E23" w:rsidRPr="00846938">
        <w:rPr>
          <w:lang w:val="ru-RU"/>
        </w:rPr>
        <w:t>РМЭ</w:t>
      </w:r>
      <w:proofErr w:type="spellEnd"/>
      <w:r w:rsidR="00A73399" w:rsidRPr="00846938">
        <w:rPr>
          <w:lang w:val="ru-RU"/>
        </w:rPr>
        <w:t>.</w:t>
      </w:r>
    </w:p>
    <w:p w:rsidR="00F44C6B" w:rsidRPr="00846938" w:rsidRDefault="00846938" w:rsidP="00846938">
      <w:pPr>
        <w:pStyle w:val="enumlev1"/>
        <w:rPr>
          <w:lang w:val="ru-RU"/>
        </w:rPr>
      </w:pPr>
      <w:r w:rsidRPr="00846938">
        <w:rPr>
          <w:rFonts w:eastAsia="MS Mincho" w:cs="MS Mincho"/>
          <w:sz w:val="24"/>
          <w:lang w:val="ru-RU"/>
        </w:rPr>
        <w:t>•</w:t>
      </w:r>
      <w:r w:rsidRPr="00846938">
        <w:rPr>
          <w:rFonts w:eastAsia="MS Mincho" w:cs="MS Mincho"/>
          <w:sz w:val="24"/>
          <w:lang w:val="ru-RU"/>
        </w:rPr>
        <w:tab/>
      </w:r>
      <w:r w:rsidR="00B07E23" w:rsidRPr="00846938">
        <w:rPr>
          <w:rFonts w:eastAsia="MS Mincho" w:cs="MS Mincho"/>
          <w:lang w:val="ru-RU"/>
        </w:rPr>
        <w:t xml:space="preserve">На последнем собрании </w:t>
      </w:r>
      <w:r w:rsidR="00B07E23" w:rsidRPr="00846938">
        <w:rPr>
          <w:lang w:val="ru-RU"/>
        </w:rPr>
        <w:t>ГЭ-</w:t>
      </w:r>
      <w:proofErr w:type="spellStart"/>
      <w:r w:rsidR="00B07E23" w:rsidRPr="00846938">
        <w:rPr>
          <w:lang w:val="ru-RU"/>
        </w:rPr>
        <w:t>РМЭ</w:t>
      </w:r>
      <w:proofErr w:type="spellEnd"/>
      <w:r w:rsidR="00B07E23" w:rsidRPr="00846938">
        <w:rPr>
          <w:lang w:val="ru-RU"/>
        </w:rPr>
        <w:t xml:space="preserve"> отмечалась необходимость учета "новых тенденций"</w:t>
      </w:r>
      <w:r w:rsidR="00A73399" w:rsidRPr="00846938">
        <w:rPr>
          <w:lang w:val="ru-RU"/>
        </w:rPr>
        <w:t xml:space="preserve">. </w:t>
      </w:r>
      <w:r w:rsidR="00B07E23" w:rsidRPr="00846938">
        <w:rPr>
          <w:lang w:val="ru-RU"/>
        </w:rPr>
        <w:t>Вместе с тем</w:t>
      </w:r>
      <w:r w:rsidR="00A73399" w:rsidRPr="00846938">
        <w:rPr>
          <w:lang w:val="ru-RU"/>
        </w:rPr>
        <w:t xml:space="preserve"> </w:t>
      </w:r>
      <w:proofErr w:type="spellStart"/>
      <w:r w:rsidR="00A73399" w:rsidRPr="00846938">
        <w:rPr>
          <w:lang w:val="ru-RU"/>
        </w:rPr>
        <w:t>KDDI</w:t>
      </w:r>
      <w:proofErr w:type="spellEnd"/>
      <w:r w:rsidR="00B07E23" w:rsidRPr="00846938">
        <w:rPr>
          <w:lang w:val="ru-RU"/>
        </w:rPr>
        <w:t xml:space="preserve"> как частный оператор считает, что "новые тенденции" следует </w:t>
      </w:r>
      <w:proofErr w:type="gramStart"/>
      <w:r w:rsidR="00B07E23" w:rsidRPr="00846938">
        <w:rPr>
          <w:lang w:val="ru-RU"/>
        </w:rPr>
        <w:t>учитывать</w:t>
      </w:r>
      <w:proofErr w:type="gramEnd"/>
      <w:r w:rsidR="00B07E23" w:rsidRPr="00846938">
        <w:rPr>
          <w:lang w:val="ru-RU"/>
        </w:rPr>
        <w:t xml:space="preserve"> как лишь один из элементов концепции предпринимательской деятельности в целом</w:t>
      </w:r>
      <w:r w:rsidR="00A73399" w:rsidRPr="00846938">
        <w:rPr>
          <w:lang w:val="ru-RU"/>
        </w:rPr>
        <w:t xml:space="preserve">. </w:t>
      </w:r>
      <w:r w:rsidR="00B07E23" w:rsidRPr="00846938">
        <w:rPr>
          <w:lang w:val="ru-RU"/>
        </w:rPr>
        <w:t>Ввиду этого нежелательно выделять лишь их</w:t>
      </w:r>
      <w:r w:rsidR="00A73399" w:rsidRPr="00846938">
        <w:rPr>
          <w:lang w:val="ru-RU"/>
        </w:rPr>
        <w:t>.</w:t>
      </w:r>
    </w:p>
    <w:p w:rsidR="00846938" w:rsidRPr="00846938" w:rsidRDefault="00846938" w:rsidP="00846938">
      <w:pPr>
        <w:spacing w:before="480"/>
        <w:jc w:val="center"/>
        <w:rPr>
          <w:lang w:val="ru-RU"/>
        </w:rPr>
      </w:pPr>
      <w:r w:rsidRPr="00846938">
        <w:rPr>
          <w:lang w:val="ru-RU"/>
        </w:rPr>
        <w:t>______________</w:t>
      </w:r>
    </w:p>
    <w:sectPr w:rsidR="00846938" w:rsidRPr="00846938" w:rsidSect="00892D06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EF" w:rsidRDefault="006E1EEF">
      <w:r>
        <w:separator/>
      </w:r>
    </w:p>
  </w:endnote>
  <w:endnote w:type="continuationSeparator" w:id="0">
    <w:p w:rsidR="006E1EEF" w:rsidRDefault="006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Pr="00821479" w:rsidRDefault="006E1EEF" w:rsidP="00AF3477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Pr="00821479">
      <w:rPr>
        <w:lang w:val="fr-CH"/>
      </w:rPr>
      <w:t>P:\RUS\SG\CONSEIL\EG-ITR-1\C\000\002R.docx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AF3477" w:rsidRPr="00AF3477">
      <w:rPr>
        <w:lang w:val="fr-CH"/>
      </w:rPr>
      <w:t>430313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938">
      <w:t>05.01.18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Default="006E1EEF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E1EEF" w:rsidRPr="00821479" w:rsidRDefault="006E1EEF" w:rsidP="00AF3477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Pr="00821479">
      <w:rPr>
        <w:lang w:val="fr-CH"/>
      </w:rPr>
      <w:t>P:\RUS\SG\CONSEIL\EG-ITR-1\C\000\002R.docx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AF3477" w:rsidRPr="00AF3477">
      <w:rPr>
        <w:lang w:val="fr-CH"/>
      </w:rPr>
      <w:t>430313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938">
      <w:t>05.01.18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EF" w:rsidRDefault="006E1EEF">
      <w:r>
        <w:t>____________________</w:t>
      </w:r>
    </w:p>
  </w:footnote>
  <w:footnote w:type="continuationSeparator" w:id="0">
    <w:p w:rsidR="006E1EEF" w:rsidRDefault="006E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Default="006E1E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F347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 w15:restartNumberingAfterBreak="0">
    <w:nsid w:val="7340413E"/>
    <w:multiLevelType w:val="hybridMultilevel"/>
    <w:tmpl w:val="63ECECD2"/>
    <w:lvl w:ilvl="0" w:tplc="BDE6CD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68E"/>
    <w:rsid w:val="0002183E"/>
    <w:rsid w:val="00025FBE"/>
    <w:rsid w:val="0003592C"/>
    <w:rsid w:val="000569B4"/>
    <w:rsid w:val="00080E82"/>
    <w:rsid w:val="00080EA0"/>
    <w:rsid w:val="000917D4"/>
    <w:rsid w:val="000B4F95"/>
    <w:rsid w:val="000C7CF6"/>
    <w:rsid w:val="000E0C53"/>
    <w:rsid w:val="000E568E"/>
    <w:rsid w:val="00144815"/>
    <w:rsid w:val="0014734F"/>
    <w:rsid w:val="0015710D"/>
    <w:rsid w:val="00163A32"/>
    <w:rsid w:val="00181532"/>
    <w:rsid w:val="00192B41"/>
    <w:rsid w:val="001A203D"/>
    <w:rsid w:val="001B7B09"/>
    <w:rsid w:val="001D255C"/>
    <w:rsid w:val="001E3018"/>
    <w:rsid w:val="001E6719"/>
    <w:rsid w:val="0020681C"/>
    <w:rsid w:val="00206DB6"/>
    <w:rsid w:val="00211AAD"/>
    <w:rsid w:val="002171F7"/>
    <w:rsid w:val="0022481E"/>
    <w:rsid w:val="00225368"/>
    <w:rsid w:val="0022783A"/>
    <w:rsid w:val="00227FF0"/>
    <w:rsid w:val="00254AC9"/>
    <w:rsid w:val="002873E6"/>
    <w:rsid w:val="00291EB6"/>
    <w:rsid w:val="002D2F57"/>
    <w:rsid w:val="002D48C5"/>
    <w:rsid w:val="002E0AA8"/>
    <w:rsid w:val="002E135C"/>
    <w:rsid w:val="002E397A"/>
    <w:rsid w:val="002E55DE"/>
    <w:rsid w:val="002E7A51"/>
    <w:rsid w:val="002F1B8A"/>
    <w:rsid w:val="003169EE"/>
    <w:rsid w:val="003173E4"/>
    <w:rsid w:val="003271FF"/>
    <w:rsid w:val="00333D9C"/>
    <w:rsid w:val="00347CE6"/>
    <w:rsid w:val="00354D64"/>
    <w:rsid w:val="003624D9"/>
    <w:rsid w:val="003A72C0"/>
    <w:rsid w:val="003B6E1C"/>
    <w:rsid w:val="003D095F"/>
    <w:rsid w:val="003D14CE"/>
    <w:rsid w:val="003D4D1F"/>
    <w:rsid w:val="003D66DA"/>
    <w:rsid w:val="003F099E"/>
    <w:rsid w:val="003F235E"/>
    <w:rsid w:val="004023E0"/>
    <w:rsid w:val="00403DD8"/>
    <w:rsid w:val="00411CC5"/>
    <w:rsid w:val="004179A3"/>
    <w:rsid w:val="004378DE"/>
    <w:rsid w:val="0045686C"/>
    <w:rsid w:val="00473C1E"/>
    <w:rsid w:val="004740B2"/>
    <w:rsid w:val="004918C4"/>
    <w:rsid w:val="004A45B5"/>
    <w:rsid w:val="004A75AD"/>
    <w:rsid w:val="004D0129"/>
    <w:rsid w:val="004F6218"/>
    <w:rsid w:val="0050159A"/>
    <w:rsid w:val="00532B85"/>
    <w:rsid w:val="00550E88"/>
    <w:rsid w:val="00552268"/>
    <w:rsid w:val="00555395"/>
    <w:rsid w:val="005654A0"/>
    <w:rsid w:val="00585D22"/>
    <w:rsid w:val="00595905"/>
    <w:rsid w:val="00597216"/>
    <w:rsid w:val="00597D2C"/>
    <w:rsid w:val="005A64D5"/>
    <w:rsid w:val="005D274E"/>
    <w:rsid w:val="005D386B"/>
    <w:rsid w:val="005F76C8"/>
    <w:rsid w:val="00601994"/>
    <w:rsid w:val="006077E5"/>
    <w:rsid w:val="006264E3"/>
    <w:rsid w:val="00626678"/>
    <w:rsid w:val="0062675A"/>
    <w:rsid w:val="006369BD"/>
    <w:rsid w:val="006511F4"/>
    <w:rsid w:val="0068458A"/>
    <w:rsid w:val="006A1F41"/>
    <w:rsid w:val="006A578A"/>
    <w:rsid w:val="006B5206"/>
    <w:rsid w:val="006C160C"/>
    <w:rsid w:val="006D5E45"/>
    <w:rsid w:val="006E082D"/>
    <w:rsid w:val="006E1EEF"/>
    <w:rsid w:val="006E2D42"/>
    <w:rsid w:val="006F13E8"/>
    <w:rsid w:val="006F2178"/>
    <w:rsid w:val="006F4FDA"/>
    <w:rsid w:val="006F779D"/>
    <w:rsid w:val="00703676"/>
    <w:rsid w:val="00707304"/>
    <w:rsid w:val="00725FDE"/>
    <w:rsid w:val="00732269"/>
    <w:rsid w:val="00762756"/>
    <w:rsid w:val="00767211"/>
    <w:rsid w:val="007743BF"/>
    <w:rsid w:val="00785ABD"/>
    <w:rsid w:val="00792EF4"/>
    <w:rsid w:val="007A2DD4"/>
    <w:rsid w:val="007A3ABD"/>
    <w:rsid w:val="007A45BC"/>
    <w:rsid w:val="007B0DB2"/>
    <w:rsid w:val="007D38B5"/>
    <w:rsid w:val="007E7EA0"/>
    <w:rsid w:val="007F48A7"/>
    <w:rsid w:val="007F68EE"/>
    <w:rsid w:val="00807255"/>
    <w:rsid w:val="0081023E"/>
    <w:rsid w:val="008173AA"/>
    <w:rsid w:val="00821479"/>
    <w:rsid w:val="008400BE"/>
    <w:rsid w:val="00840173"/>
    <w:rsid w:val="00840A14"/>
    <w:rsid w:val="00846938"/>
    <w:rsid w:val="00863648"/>
    <w:rsid w:val="00892D06"/>
    <w:rsid w:val="008956FA"/>
    <w:rsid w:val="008A6EEF"/>
    <w:rsid w:val="008A7E38"/>
    <w:rsid w:val="008C6D60"/>
    <w:rsid w:val="008D2D7B"/>
    <w:rsid w:val="008E0737"/>
    <w:rsid w:val="008F1741"/>
    <w:rsid w:val="008F2220"/>
    <w:rsid w:val="008F7C2C"/>
    <w:rsid w:val="0090751B"/>
    <w:rsid w:val="00924053"/>
    <w:rsid w:val="00940E96"/>
    <w:rsid w:val="00947DE1"/>
    <w:rsid w:val="00971C23"/>
    <w:rsid w:val="0097342A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6347A"/>
    <w:rsid w:val="00A71773"/>
    <w:rsid w:val="00A73399"/>
    <w:rsid w:val="00AB5545"/>
    <w:rsid w:val="00AC06CE"/>
    <w:rsid w:val="00AE2C85"/>
    <w:rsid w:val="00AF2C40"/>
    <w:rsid w:val="00AF3477"/>
    <w:rsid w:val="00AF56EE"/>
    <w:rsid w:val="00B07E23"/>
    <w:rsid w:val="00B12A37"/>
    <w:rsid w:val="00B13C39"/>
    <w:rsid w:val="00B162BC"/>
    <w:rsid w:val="00B167C3"/>
    <w:rsid w:val="00B23CB8"/>
    <w:rsid w:val="00B273F8"/>
    <w:rsid w:val="00B400B1"/>
    <w:rsid w:val="00B558E6"/>
    <w:rsid w:val="00B63EF2"/>
    <w:rsid w:val="00B7579C"/>
    <w:rsid w:val="00B862CD"/>
    <w:rsid w:val="00B902C9"/>
    <w:rsid w:val="00B936E2"/>
    <w:rsid w:val="00BC0D39"/>
    <w:rsid w:val="00BC7BC0"/>
    <w:rsid w:val="00BD57B7"/>
    <w:rsid w:val="00BE63E2"/>
    <w:rsid w:val="00BE658A"/>
    <w:rsid w:val="00BF0C61"/>
    <w:rsid w:val="00C070C1"/>
    <w:rsid w:val="00C158B1"/>
    <w:rsid w:val="00C229F9"/>
    <w:rsid w:val="00C41795"/>
    <w:rsid w:val="00C505A5"/>
    <w:rsid w:val="00C61CEC"/>
    <w:rsid w:val="00C91C88"/>
    <w:rsid w:val="00C96AB1"/>
    <w:rsid w:val="00CA044E"/>
    <w:rsid w:val="00CB156F"/>
    <w:rsid w:val="00CC6B8A"/>
    <w:rsid w:val="00CD2009"/>
    <w:rsid w:val="00CF629C"/>
    <w:rsid w:val="00D10A28"/>
    <w:rsid w:val="00D1411E"/>
    <w:rsid w:val="00D36D92"/>
    <w:rsid w:val="00D402F7"/>
    <w:rsid w:val="00D42FD4"/>
    <w:rsid w:val="00D60C0D"/>
    <w:rsid w:val="00D712F0"/>
    <w:rsid w:val="00D767C7"/>
    <w:rsid w:val="00D77DF3"/>
    <w:rsid w:val="00D83751"/>
    <w:rsid w:val="00D90A6C"/>
    <w:rsid w:val="00D92EEA"/>
    <w:rsid w:val="00DA3752"/>
    <w:rsid w:val="00DA5D4E"/>
    <w:rsid w:val="00DC359C"/>
    <w:rsid w:val="00DC398F"/>
    <w:rsid w:val="00DE14AF"/>
    <w:rsid w:val="00E165D1"/>
    <w:rsid w:val="00E176BA"/>
    <w:rsid w:val="00E31666"/>
    <w:rsid w:val="00E423EC"/>
    <w:rsid w:val="00E632A3"/>
    <w:rsid w:val="00E734D2"/>
    <w:rsid w:val="00E908DF"/>
    <w:rsid w:val="00E969A5"/>
    <w:rsid w:val="00EB461B"/>
    <w:rsid w:val="00EC6BC5"/>
    <w:rsid w:val="00EE40C4"/>
    <w:rsid w:val="00F111FD"/>
    <w:rsid w:val="00F2003D"/>
    <w:rsid w:val="00F20BE1"/>
    <w:rsid w:val="00F32EA6"/>
    <w:rsid w:val="00F35898"/>
    <w:rsid w:val="00F36526"/>
    <w:rsid w:val="00F44C6B"/>
    <w:rsid w:val="00F5225B"/>
    <w:rsid w:val="00F560E3"/>
    <w:rsid w:val="00F5742C"/>
    <w:rsid w:val="00F77FDA"/>
    <w:rsid w:val="00F94E97"/>
    <w:rsid w:val="00FA3DED"/>
    <w:rsid w:val="00FA6A0C"/>
    <w:rsid w:val="00FB19E1"/>
    <w:rsid w:val="00FD22DD"/>
    <w:rsid w:val="00FD43F3"/>
    <w:rsid w:val="00FD733F"/>
    <w:rsid w:val="00FD7AF6"/>
    <w:rsid w:val="00FE3E78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paragraph" w:customStyle="1" w:styleId="Default">
    <w:name w:val="Default"/>
    <w:rsid w:val="0062675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33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18</TotalTime>
  <Pages>2</Pages>
  <Words>485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3739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2006-03-28T16:12:00Z</cp:lastPrinted>
  <dcterms:created xsi:type="dcterms:W3CDTF">2018-01-05T09:30:00Z</dcterms:created>
  <dcterms:modified xsi:type="dcterms:W3CDTF">2018-01-08T08:31:00Z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