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AA5154">
            <w:pPr>
              <w:spacing w:before="240" w:line="276" w:lineRule="auto"/>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AA5154">
            <w:pPr>
              <w:spacing w:before="0" w:line="276" w:lineRule="auto"/>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201533" w:rsidP="00AA5154">
            <w:pPr>
              <w:spacing w:before="0" w:line="276" w:lineRule="auto"/>
              <w:rPr>
                <w:b/>
                <w:bCs/>
                <w:szCs w:val="24"/>
                <w:lang w:val="fr-CH"/>
              </w:rPr>
            </w:pPr>
            <w:r>
              <w:rPr>
                <w:b/>
                <w:bCs/>
                <w:szCs w:val="24"/>
              </w:rPr>
              <w:t>Troisième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xml:space="preserve">, </w:t>
            </w:r>
            <w:r>
              <w:rPr>
                <w:b/>
                <w:bCs/>
                <w:szCs w:val="24"/>
              </w:rPr>
              <w:t>17-19 janvier</w:t>
            </w:r>
            <w:r w:rsidR="00D837AA" w:rsidRPr="0099613D">
              <w:rPr>
                <w:b/>
                <w:bCs/>
                <w:szCs w:val="24"/>
              </w:rPr>
              <w:t xml:space="preserve"> 201</w:t>
            </w:r>
            <w:r>
              <w:rPr>
                <w:b/>
                <w:bCs/>
                <w:szCs w:val="24"/>
              </w:rPr>
              <w:t>8</w:t>
            </w:r>
          </w:p>
        </w:tc>
        <w:tc>
          <w:tcPr>
            <w:tcW w:w="3261" w:type="dxa"/>
            <w:tcBorders>
              <w:bottom w:val="single" w:sz="12" w:space="0" w:color="auto"/>
            </w:tcBorders>
          </w:tcPr>
          <w:p w:rsidR="00520F36" w:rsidRPr="0092392D" w:rsidRDefault="00520F36" w:rsidP="00AA5154">
            <w:pPr>
              <w:spacing w:before="0" w:line="276" w:lineRule="auto"/>
              <w:rPr>
                <w:b/>
                <w:bCs/>
              </w:rPr>
            </w:pPr>
          </w:p>
        </w:tc>
      </w:tr>
      <w:tr w:rsidR="00520F36" w:rsidRPr="0092392D">
        <w:trPr>
          <w:cantSplit/>
          <w:trHeight w:val="20"/>
        </w:trPr>
        <w:tc>
          <w:tcPr>
            <w:tcW w:w="6912" w:type="dxa"/>
            <w:tcBorders>
              <w:top w:val="single" w:sz="12" w:space="0" w:color="auto"/>
            </w:tcBorders>
          </w:tcPr>
          <w:p w:rsidR="00520F36" w:rsidRPr="0092392D" w:rsidRDefault="00520F36" w:rsidP="00AA5154">
            <w:pPr>
              <w:spacing w:before="0" w:line="276" w:lineRule="auto"/>
              <w:rPr>
                <w:smallCaps/>
                <w:sz w:val="22"/>
                <w:lang w:val="fr-CH"/>
              </w:rPr>
            </w:pPr>
          </w:p>
        </w:tc>
        <w:tc>
          <w:tcPr>
            <w:tcW w:w="3261" w:type="dxa"/>
            <w:tcBorders>
              <w:top w:val="single" w:sz="12" w:space="0" w:color="auto"/>
            </w:tcBorders>
          </w:tcPr>
          <w:p w:rsidR="00520F36" w:rsidRPr="0092392D" w:rsidRDefault="00520F36" w:rsidP="00AA5154">
            <w:pPr>
              <w:spacing w:before="0" w:line="276" w:lineRule="auto"/>
              <w:rPr>
                <w:b/>
                <w:bCs/>
              </w:rPr>
            </w:pPr>
          </w:p>
        </w:tc>
      </w:tr>
      <w:tr w:rsidR="00520F36" w:rsidRPr="0092392D">
        <w:trPr>
          <w:cantSplit/>
          <w:trHeight w:val="20"/>
        </w:trPr>
        <w:tc>
          <w:tcPr>
            <w:tcW w:w="6912" w:type="dxa"/>
            <w:vMerge w:val="restart"/>
          </w:tcPr>
          <w:p w:rsidR="00520F36" w:rsidRPr="00520F36" w:rsidRDefault="00520F36" w:rsidP="00AA5154">
            <w:pPr>
              <w:spacing w:before="0" w:line="276" w:lineRule="auto"/>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AA5154">
            <w:pPr>
              <w:spacing w:before="0" w:line="276" w:lineRule="auto"/>
              <w:rPr>
                <w:b/>
                <w:bCs/>
              </w:rPr>
            </w:pPr>
            <w:r>
              <w:rPr>
                <w:b/>
                <w:bCs/>
              </w:rPr>
              <w:t xml:space="preserve">Document </w:t>
            </w:r>
            <w:r w:rsidR="00D837AA" w:rsidRPr="009B70A4">
              <w:rPr>
                <w:b/>
              </w:rPr>
              <w:t>EG-ITRs</w:t>
            </w:r>
            <w:r w:rsidR="00F06D00">
              <w:rPr>
                <w:b/>
              </w:rPr>
              <w:t>-</w:t>
            </w:r>
            <w:r w:rsidR="00201533">
              <w:rPr>
                <w:b/>
              </w:rPr>
              <w:t>3</w:t>
            </w:r>
            <w:r w:rsidR="00D837AA" w:rsidRPr="009B70A4">
              <w:rPr>
                <w:b/>
              </w:rPr>
              <w:t>/</w:t>
            </w:r>
            <w:r w:rsidR="00201533">
              <w:rPr>
                <w:b/>
              </w:rPr>
              <w:t>4</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AA5154">
            <w:pPr>
              <w:shd w:val="solid" w:color="FFFFFF" w:fill="FFFFFF"/>
              <w:spacing w:before="180" w:line="276" w:lineRule="auto"/>
              <w:rPr>
                <w:smallCaps/>
                <w:lang w:val="fr-CH"/>
              </w:rPr>
            </w:pPr>
            <w:bookmarkStart w:id="3" w:name="ddate" w:colFirst="1" w:colLast="1"/>
            <w:bookmarkEnd w:id="1"/>
            <w:bookmarkEnd w:id="2"/>
          </w:p>
        </w:tc>
        <w:tc>
          <w:tcPr>
            <w:tcW w:w="3261" w:type="dxa"/>
          </w:tcPr>
          <w:p w:rsidR="00520F36" w:rsidRPr="00520F36" w:rsidRDefault="00201533" w:rsidP="00AA5154">
            <w:pPr>
              <w:spacing w:before="0" w:line="276" w:lineRule="auto"/>
              <w:rPr>
                <w:b/>
                <w:bCs/>
              </w:rPr>
            </w:pPr>
            <w:r>
              <w:rPr>
                <w:b/>
                <w:bCs/>
              </w:rPr>
              <w:t>21 décembre</w:t>
            </w:r>
            <w:r w:rsidR="00520F36">
              <w:rPr>
                <w:b/>
                <w:bCs/>
              </w:rPr>
              <w:t xml:space="preserve"> 2017</w:t>
            </w:r>
          </w:p>
        </w:tc>
      </w:tr>
      <w:tr w:rsidR="00520F36" w:rsidRPr="0092392D">
        <w:trPr>
          <w:cantSplit/>
          <w:trHeight w:val="20"/>
        </w:trPr>
        <w:tc>
          <w:tcPr>
            <w:tcW w:w="6912" w:type="dxa"/>
            <w:vMerge/>
          </w:tcPr>
          <w:p w:rsidR="00520F36" w:rsidRPr="0092392D" w:rsidRDefault="00520F36" w:rsidP="00AA5154">
            <w:pPr>
              <w:shd w:val="solid" w:color="FFFFFF" w:fill="FFFFFF"/>
              <w:spacing w:before="180" w:line="276" w:lineRule="auto"/>
              <w:rPr>
                <w:smallCaps/>
                <w:lang w:val="fr-CH"/>
              </w:rPr>
            </w:pPr>
            <w:bookmarkStart w:id="4" w:name="dorlang" w:colFirst="1" w:colLast="1"/>
            <w:bookmarkEnd w:id="3"/>
          </w:p>
        </w:tc>
        <w:tc>
          <w:tcPr>
            <w:tcW w:w="3261" w:type="dxa"/>
          </w:tcPr>
          <w:p w:rsidR="00520F36" w:rsidRPr="00520F36" w:rsidRDefault="00520F36" w:rsidP="00AA5154">
            <w:pPr>
              <w:spacing w:before="0" w:line="276" w:lineRule="auto"/>
              <w:rPr>
                <w:b/>
                <w:bCs/>
              </w:rPr>
            </w:pPr>
            <w:r>
              <w:rPr>
                <w:b/>
                <w:bCs/>
              </w:rPr>
              <w:t>Original: anglais</w:t>
            </w:r>
          </w:p>
        </w:tc>
      </w:tr>
      <w:tr w:rsidR="00520F36" w:rsidRPr="0092392D">
        <w:trPr>
          <w:cantSplit/>
        </w:trPr>
        <w:tc>
          <w:tcPr>
            <w:tcW w:w="10173" w:type="dxa"/>
            <w:gridSpan w:val="2"/>
          </w:tcPr>
          <w:p w:rsidR="00520F36" w:rsidRPr="0092392D" w:rsidRDefault="00201533" w:rsidP="00AA5154">
            <w:pPr>
              <w:pStyle w:val="Source"/>
              <w:spacing w:line="276" w:lineRule="auto"/>
            </w:pPr>
            <w:bookmarkStart w:id="5" w:name="dsource" w:colFirst="0" w:colLast="0"/>
            <w:bookmarkEnd w:id="4"/>
            <w:r w:rsidRPr="004154E9">
              <w:rPr>
                <w:rFonts w:asciiTheme="minorHAnsi" w:hAnsiTheme="minorHAnsi"/>
                <w:szCs w:val="32"/>
              </w:rPr>
              <w:t>Contribution</w:t>
            </w:r>
            <w:r w:rsidR="007E0DAB">
              <w:rPr>
                <w:rFonts w:asciiTheme="minorHAnsi" w:hAnsiTheme="minorHAnsi"/>
                <w:szCs w:val="32"/>
              </w:rPr>
              <w:t xml:space="preserve"> de </w:t>
            </w:r>
            <w:r>
              <w:rPr>
                <w:rFonts w:asciiTheme="minorHAnsi" w:eastAsiaTheme="minorEastAsia" w:hAnsiTheme="minorHAnsi"/>
                <w:szCs w:val="32"/>
                <w:lang w:eastAsia="ja-JP"/>
              </w:rPr>
              <w:t>KDDI (Japo</w:t>
            </w:r>
            <w:r w:rsidRPr="004154E9">
              <w:rPr>
                <w:rFonts w:asciiTheme="minorHAnsi" w:eastAsiaTheme="minorEastAsia" w:hAnsiTheme="minorHAnsi"/>
                <w:szCs w:val="32"/>
                <w:lang w:eastAsia="ja-JP"/>
              </w:rPr>
              <w:t>n)</w:t>
            </w:r>
          </w:p>
        </w:tc>
      </w:tr>
      <w:tr w:rsidR="00520F36" w:rsidRPr="0092392D">
        <w:trPr>
          <w:cantSplit/>
        </w:trPr>
        <w:tc>
          <w:tcPr>
            <w:tcW w:w="10173" w:type="dxa"/>
            <w:gridSpan w:val="2"/>
          </w:tcPr>
          <w:p w:rsidR="00520F36" w:rsidRPr="0092392D" w:rsidRDefault="007E0DAB" w:rsidP="00AA5154">
            <w:pPr>
              <w:pStyle w:val="Title1"/>
              <w:spacing w:line="276" w:lineRule="auto"/>
            </w:pPr>
            <w:bookmarkStart w:id="6" w:name="dtitle1" w:colFirst="0" w:colLast="0"/>
            <w:bookmarkEnd w:id="5"/>
            <w:r w:rsidRPr="00774C81">
              <w:rPr>
                <w:rFonts w:asciiTheme="minorHAnsi" w:hAnsiTheme="minorHAnsi" w:cstheme="majorBidi"/>
                <w:spacing w:val="-4"/>
                <w:szCs w:val="24"/>
                <w:lang w:val="fr-CH"/>
              </w:rPr>
              <w:t xml:space="preserve">examen du Règlement des télécommunications internationales </w:t>
            </w:r>
            <w:r w:rsidR="0020660E">
              <w:rPr>
                <w:rFonts w:asciiTheme="minorHAnsi" w:hAnsiTheme="minorHAnsi" w:cstheme="majorBidi"/>
                <w:spacing w:val="-4"/>
                <w:szCs w:val="24"/>
                <w:lang w:val="fr-CH"/>
              </w:rPr>
              <w:br/>
              <w:t>dans sa version</w:t>
            </w:r>
            <w:r>
              <w:rPr>
                <w:rFonts w:asciiTheme="minorHAnsi" w:hAnsiTheme="minorHAnsi"/>
                <w:lang w:val="fr-CH"/>
              </w:rPr>
              <w:t xml:space="preserve"> de </w:t>
            </w:r>
            <w:r w:rsidRPr="00774C81">
              <w:rPr>
                <w:bCs/>
                <w:lang w:val="fr-CH"/>
              </w:rPr>
              <w:t>2012</w:t>
            </w:r>
          </w:p>
        </w:tc>
      </w:tr>
    </w:tbl>
    <w:bookmarkEnd w:id="6"/>
    <w:p w:rsidR="00D837AA" w:rsidRPr="007E0DAB" w:rsidRDefault="00201533" w:rsidP="0010758F">
      <w:pPr>
        <w:spacing w:line="276" w:lineRule="auto"/>
        <w:rPr>
          <w:rFonts w:cs="Calibri"/>
          <w:lang w:val="fr-CH"/>
        </w:rPr>
      </w:pPr>
      <w:r w:rsidRPr="007E0DAB">
        <w:t>1</w:t>
      </w:r>
      <w:r w:rsidRPr="007E0DAB">
        <w:tab/>
      </w:r>
      <w:r w:rsidR="007E0DAB">
        <w:t>Lors de la dernière réunion</w:t>
      </w:r>
      <w:r w:rsidR="00AA5154">
        <w:t xml:space="preserve"> </w:t>
      </w:r>
      <w:r w:rsidR="007E0DAB">
        <w:rPr>
          <w:color w:val="000000"/>
        </w:rPr>
        <w:t>du Groupe d'experts sur le RTI (</w:t>
      </w:r>
      <w:r w:rsidR="007147F1">
        <w:rPr>
          <w:color w:val="000000"/>
        </w:rPr>
        <w:t>EG-RTI</w:t>
      </w:r>
      <w:r w:rsidR="007E0DAB">
        <w:t>)</w:t>
      </w:r>
      <w:r w:rsidR="007E0DAB">
        <w:rPr>
          <w:color w:val="000000"/>
        </w:rPr>
        <w:t>,</w:t>
      </w:r>
      <w:r w:rsidR="007E0DAB" w:rsidRPr="007E0DAB">
        <w:t xml:space="preserve"> </w:t>
      </w:r>
      <w:r w:rsidRPr="007E0DAB">
        <w:t>KDDI</w:t>
      </w:r>
      <w:r w:rsidR="007E0DAB">
        <w:t xml:space="preserve"> a soumis une contribution conjointement avec</w:t>
      </w:r>
      <w:r w:rsidR="00AA5154">
        <w:t xml:space="preserve"> </w:t>
      </w:r>
      <w:r w:rsidRPr="007E0DAB">
        <w:t>Bell Mobility, America Movil, BT, AT&amp;T</w:t>
      </w:r>
      <w:r w:rsidR="007E0DAB">
        <w:t xml:space="preserve"> et</w:t>
      </w:r>
      <w:r w:rsidR="00AA5154">
        <w:t xml:space="preserve"> </w:t>
      </w:r>
      <w:r w:rsidRPr="007E0DAB">
        <w:t xml:space="preserve">Verizon. </w:t>
      </w:r>
      <w:r w:rsidR="007E0DAB" w:rsidRPr="007E0DAB">
        <w:rPr>
          <w:lang w:val="fr-CH"/>
        </w:rPr>
        <w:t>Cette contribution est récapitulée dans le</w:t>
      </w:r>
      <w:r w:rsidR="00AA5154">
        <w:rPr>
          <w:lang w:val="fr-CH"/>
        </w:rPr>
        <w:t xml:space="preserve"> </w:t>
      </w:r>
      <w:r w:rsidRPr="007E0DAB">
        <w:rPr>
          <w:rFonts w:cs="Calibri"/>
          <w:lang w:val="fr-CH"/>
        </w:rPr>
        <w:t>Document EG-ITRs</w:t>
      </w:r>
      <w:r w:rsidR="0010758F">
        <w:rPr>
          <w:rFonts w:cs="Calibri"/>
          <w:lang w:val="fr-CH"/>
        </w:rPr>
        <w:t>-</w:t>
      </w:r>
      <w:r w:rsidRPr="007E0DAB">
        <w:rPr>
          <w:rFonts w:cs="Calibri"/>
          <w:lang w:val="fr-CH"/>
        </w:rPr>
        <w:t>2/20-</w:t>
      </w:r>
      <w:r w:rsidR="0010758F">
        <w:rPr>
          <w:rFonts w:cs="Calibri"/>
          <w:lang w:val="fr-CH"/>
        </w:rPr>
        <w:t>F</w:t>
      </w:r>
      <w:r w:rsidR="007E0DAB">
        <w:rPr>
          <w:rFonts w:cs="Calibri"/>
          <w:lang w:val="fr-CH"/>
        </w:rPr>
        <w:t xml:space="preserve"> de la façon suivante:</w:t>
      </w:r>
      <w:r w:rsidR="00AA5154">
        <w:rPr>
          <w:rFonts w:cs="Calibri"/>
          <w:lang w:val="fr-CH"/>
        </w:rPr>
        <w:t xml:space="preserve"> </w:t>
      </w:r>
    </w:p>
    <w:p w:rsidR="00201533" w:rsidRPr="00774C81" w:rsidRDefault="00201533" w:rsidP="00AA5154">
      <w:pPr>
        <w:pStyle w:val="Heading2"/>
        <w:spacing w:line="276" w:lineRule="auto"/>
        <w:rPr>
          <w:lang w:val="fr-CH"/>
        </w:rPr>
      </w:pPr>
      <w:r w:rsidRPr="00774C81">
        <w:rPr>
          <w:lang w:val="fr-CH"/>
        </w:rPr>
        <w:t>3.8</w:t>
      </w:r>
      <w:r w:rsidRPr="00774C81">
        <w:rPr>
          <w:lang w:val="fr-CH"/>
        </w:rPr>
        <w:tab/>
        <w:t xml:space="preserve">Contribution EG-ITRs 2/9 (Bell Mobility, KDDI, América Móvil, BT, AT&amp;T et Verizon) – </w:t>
      </w:r>
      <w:r w:rsidRPr="00774C81">
        <w:rPr>
          <w:bCs/>
          <w:lang w:val="fr-CH"/>
        </w:rPr>
        <w:t xml:space="preserve">Examen du Règlement des télécommunications internationales </w:t>
      </w:r>
      <w:r w:rsidR="0020660E">
        <w:rPr>
          <w:bCs/>
          <w:lang w:val="fr-CH"/>
        </w:rPr>
        <w:t xml:space="preserve">dans sa version </w:t>
      </w:r>
      <w:r w:rsidRPr="00774C81">
        <w:rPr>
          <w:bCs/>
          <w:lang w:val="fr-CH"/>
        </w:rPr>
        <w:t>de 2012</w:t>
      </w:r>
      <w:r w:rsidRPr="00774C81">
        <w:rPr>
          <w:lang w:val="fr-CH"/>
        </w:rPr>
        <w:t xml:space="preserve"> </w:t>
      </w:r>
    </w:p>
    <w:p w:rsidR="00201533" w:rsidRPr="00774C81" w:rsidRDefault="00201533" w:rsidP="00AA5154">
      <w:pPr>
        <w:spacing w:line="276" w:lineRule="auto"/>
        <w:rPr>
          <w:rFonts w:asciiTheme="minorHAnsi" w:hAnsiTheme="minorHAnsi"/>
          <w:lang w:val="fr-CH"/>
        </w:rPr>
      </w:pPr>
      <w:r w:rsidRPr="00774C81">
        <w:rPr>
          <w:rFonts w:asciiTheme="minorHAnsi" w:hAnsiTheme="minorHAnsi" w:cs="Times New Roman Bold"/>
          <w:spacing w:val="-4"/>
          <w:lang w:val="fr-CH"/>
        </w:rPr>
        <w:t xml:space="preserve">Au vu de l'expérience collective que les Membres de Secteur auteurs de cette contribution ont en matière </w:t>
      </w:r>
      <w:r w:rsidRPr="0020660E">
        <w:t>d'exploitation</w:t>
      </w:r>
      <w:r w:rsidRPr="00774C81">
        <w:rPr>
          <w:rFonts w:asciiTheme="minorHAnsi" w:hAnsiTheme="minorHAnsi" w:cs="Times New Roman Bold"/>
          <w:spacing w:val="-4"/>
          <w:lang w:val="fr-CH"/>
        </w:rPr>
        <w:t>, les dispositions du RTI ne sont plus applicables</w:t>
      </w:r>
      <w:r w:rsidR="007147F1">
        <w:rPr>
          <w:rFonts w:asciiTheme="minorHAnsi" w:hAnsiTheme="minorHAnsi" w:cs="Times New Roman Bold"/>
          <w:spacing w:val="-4"/>
          <w:lang w:val="fr-CH"/>
        </w:rPr>
        <w:t>,</w:t>
      </w:r>
      <w:r w:rsidRPr="00774C81">
        <w:rPr>
          <w:rFonts w:asciiTheme="minorHAnsi" w:hAnsiTheme="minorHAnsi" w:cs="Times New Roman Bold"/>
          <w:spacing w:val="-4"/>
          <w:lang w:val="fr-CH"/>
        </w:rPr>
        <w:t xml:space="preserve"> ni adaptées au marché actuel des télécommunications internationales, sur lequel s'exerce une vive concurrence. La majorité, si ce n'est la totalité du trafic international échangé par ces entreprises</w:t>
      </w:r>
      <w:r w:rsidR="007147F1">
        <w:rPr>
          <w:rFonts w:asciiTheme="minorHAnsi" w:hAnsiTheme="minorHAnsi" w:cs="Times New Roman Bold"/>
          <w:spacing w:val="-4"/>
          <w:lang w:val="fr-CH"/>
        </w:rPr>
        <w:t>,</w:t>
      </w:r>
      <w:r w:rsidRPr="00774C81">
        <w:rPr>
          <w:rFonts w:asciiTheme="minorHAnsi" w:hAnsiTheme="minorHAnsi" w:cs="Times New Roman Bold"/>
          <w:spacing w:val="-4"/>
          <w:lang w:val="fr-CH"/>
        </w:rPr>
        <w:t xml:space="preserve"> se fait généralement dans le cadre d'accords négociés commercialement. A leur connaissance, très peu de pays s'appuient encore sur le régime des taxes de répartition fondé sur le RTI, et un tel trafic représente moins d'un pour cent des flux de trafic à l'échelle mondiale. Du fait de l'arrivée de plusieurs opérateurs privés qui se livrent concurrence dans chaque pays, l'environnement est aujourd'hui concurrentiel et un instrument ayant valeur de traité, comme le RTI, n'a pas de raison d'être.</w:t>
      </w:r>
      <w:r w:rsidRPr="00774C81">
        <w:rPr>
          <w:rFonts w:asciiTheme="minorHAnsi" w:hAnsiTheme="minorHAnsi"/>
          <w:lang w:val="fr-CH"/>
        </w:rPr>
        <w:t xml:space="preserve"> De plus, pour répondre aux questions que des Etats Membres ont soulevées concernant les difficultés que pourrait susciter l'application du RTI de 2012, les Membres de Secteur ont indiqué ne s'être heurtés à aucun obstacle pratique en la matière.</w:t>
      </w:r>
    </w:p>
    <w:p w:rsidR="00201533" w:rsidRPr="007147F1" w:rsidRDefault="007147F1" w:rsidP="0010758F">
      <w:pPr>
        <w:spacing w:line="276" w:lineRule="auto"/>
        <w:rPr>
          <w:rFonts w:asciiTheme="minorHAnsi" w:hAnsiTheme="minorHAnsi" w:cs="Calibri"/>
          <w:lang w:val="fr-CH"/>
        </w:rPr>
      </w:pPr>
      <w:r w:rsidRPr="007147F1">
        <w:rPr>
          <w:rFonts w:asciiTheme="minorHAnsi" w:hAnsiTheme="minorHAnsi"/>
          <w:lang w:val="fr-CH"/>
        </w:rPr>
        <w:t xml:space="preserve">Le Gouvernement japonais a également soumis sa contribution, qui </w:t>
      </w:r>
      <w:r>
        <w:rPr>
          <w:rFonts w:asciiTheme="minorHAnsi" w:hAnsiTheme="minorHAnsi"/>
          <w:lang w:val="fr-CH"/>
        </w:rPr>
        <w:t xml:space="preserve">est récapitulée comme suit dans le </w:t>
      </w:r>
      <w:r w:rsidR="0020660E">
        <w:rPr>
          <w:rFonts w:asciiTheme="minorHAnsi" w:hAnsiTheme="minorHAnsi" w:cs="Calibri"/>
          <w:lang w:val="fr-CH"/>
        </w:rPr>
        <w:t>Document EG-ITRs</w:t>
      </w:r>
      <w:r w:rsidR="0010758F">
        <w:rPr>
          <w:rFonts w:asciiTheme="minorHAnsi" w:hAnsiTheme="minorHAnsi" w:cs="Calibri"/>
          <w:lang w:val="fr-CH"/>
        </w:rPr>
        <w:t>-</w:t>
      </w:r>
      <w:r w:rsidR="0020660E">
        <w:rPr>
          <w:rFonts w:asciiTheme="minorHAnsi" w:hAnsiTheme="minorHAnsi" w:cs="Calibri"/>
          <w:lang w:val="fr-CH"/>
        </w:rPr>
        <w:t>2/20-</w:t>
      </w:r>
      <w:r w:rsidR="0010758F">
        <w:rPr>
          <w:rFonts w:asciiTheme="minorHAnsi" w:hAnsiTheme="minorHAnsi" w:cs="Calibri"/>
          <w:lang w:val="fr-CH"/>
        </w:rPr>
        <w:t>F</w:t>
      </w:r>
      <w:r w:rsidR="0020660E">
        <w:rPr>
          <w:rFonts w:asciiTheme="minorHAnsi" w:hAnsiTheme="minorHAnsi" w:cs="Calibri"/>
          <w:lang w:val="fr-CH"/>
        </w:rPr>
        <w:t>:</w:t>
      </w:r>
    </w:p>
    <w:p w:rsidR="00201533" w:rsidRPr="00774C81" w:rsidRDefault="00201533" w:rsidP="00AA5154">
      <w:pPr>
        <w:pStyle w:val="Heading2"/>
        <w:spacing w:line="276" w:lineRule="auto"/>
        <w:rPr>
          <w:rFonts w:asciiTheme="minorHAnsi" w:hAnsiTheme="minorHAnsi" w:cstheme="majorBidi"/>
          <w:b w:val="0"/>
          <w:spacing w:val="-4"/>
          <w:szCs w:val="24"/>
          <w:lang w:val="fr-CH"/>
        </w:rPr>
      </w:pPr>
      <w:r w:rsidRPr="00774C81">
        <w:rPr>
          <w:rFonts w:asciiTheme="minorHAnsi" w:hAnsiTheme="minorHAnsi" w:cstheme="majorBidi"/>
          <w:spacing w:val="-4"/>
          <w:szCs w:val="24"/>
          <w:lang w:val="fr-CH"/>
        </w:rPr>
        <w:t>3.9</w:t>
      </w:r>
      <w:r w:rsidRPr="00774C81">
        <w:rPr>
          <w:rFonts w:asciiTheme="minorHAnsi" w:hAnsiTheme="minorHAnsi" w:cstheme="majorBidi"/>
          <w:spacing w:val="-4"/>
          <w:szCs w:val="24"/>
          <w:lang w:val="fr-CH"/>
        </w:rPr>
        <w:tab/>
      </w:r>
      <w:r w:rsidRPr="00774C81">
        <w:rPr>
          <w:lang w:val="fr-CH"/>
        </w:rPr>
        <w:t>Contribution</w:t>
      </w:r>
      <w:r w:rsidRPr="00774C81">
        <w:rPr>
          <w:rFonts w:asciiTheme="minorHAnsi" w:hAnsiTheme="minorHAnsi" w:cstheme="majorBidi"/>
          <w:spacing w:val="-4"/>
          <w:szCs w:val="24"/>
          <w:lang w:val="fr-CH"/>
        </w:rPr>
        <w:t xml:space="preserve"> EG-ITRs 2/2 (Japon) – Position du Japon concernant l</w:t>
      </w:r>
      <w:r w:rsidRPr="00774C81">
        <w:rPr>
          <w:rFonts w:asciiTheme="minorHAnsi" w:hAnsiTheme="minorHAnsi" w:cstheme="majorBidi"/>
          <w:b w:val="0"/>
          <w:spacing w:val="-4"/>
          <w:szCs w:val="24"/>
          <w:lang w:val="fr-CH"/>
        </w:rPr>
        <w:t>'</w:t>
      </w:r>
      <w:r w:rsidRPr="00774C81">
        <w:rPr>
          <w:rFonts w:asciiTheme="minorHAnsi" w:hAnsiTheme="minorHAnsi" w:cstheme="majorBidi"/>
          <w:spacing w:val="-4"/>
          <w:szCs w:val="24"/>
          <w:lang w:val="fr-CH"/>
        </w:rPr>
        <w:t xml:space="preserve">examen du Règlement des télécommunications internationales </w:t>
      </w:r>
    </w:p>
    <w:p w:rsidR="00201533" w:rsidRPr="00201533" w:rsidRDefault="00201533" w:rsidP="00AA5154">
      <w:pPr>
        <w:spacing w:line="276" w:lineRule="auto"/>
        <w:rPr>
          <w:lang w:val="fr-CH"/>
        </w:rPr>
      </w:pPr>
      <w:r w:rsidRPr="00774C81">
        <w:rPr>
          <w:rFonts w:asciiTheme="minorHAnsi" w:hAnsiTheme="minorHAnsi"/>
          <w:lang w:val="fr-CH"/>
        </w:rPr>
        <w:t xml:space="preserve">Le Japon a mené une enquête sur le RTI, sous la forme d'un questionnaire, et reçu les réponses de 12 opérateurs japonais. </w:t>
      </w:r>
      <w:r w:rsidR="007147F1">
        <w:rPr>
          <w:rFonts w:asciiTheme="minorHAnsi" w:hAnsiTheme="minorHAnsi"/>
          <w:lang w:val="fr-CH"/>
        </w:rPr>
        <w:t>Dans</w:t>
      </w:r>
      <w:r w:rsidRPr="00774C81">
        <w:rPr>
          <w:rFonts w:asciiTheme="minorHAnsi" w:hAnsiTheme="minorHAnsi"/>
          <w:lang w:val="fr-CH"/>
        </w:rPr>
        <w:t xml:space="preserve"> la rubrique "Obstacles dans le cadre de la mise en oeuvre de la version de 2012 du RTI", les opérateurs n'ont fait mention d'aucun obstacle ou problème. En ce qui concerne les "contradictions entre les deux versions du RTI", ils n'ont pas </w:t>
      </w:r>
      <w:r w:rsidR="007147F1">
        <w:rPr>
          <w:rFonts w:asciiTheme="minorHAnsi" w:hAnsiTheme="minorHAnsi"/>
          <w:lang w:val="fr-CH"/>
        </w:rPr>
        <w:t xml:space="preserve">mis en évidence </w:t>
      </w:r>
      <w:r w:rsidRPr="00774C81">
        <w:rPr>
          <w:rFonts w:asciiTheme="minorHAnsi" w:hAnsiTheme="minorHAnsi"/>
          <w:lang w:val="fr-CH"/>
        </w:rPr>
        <w:t xml:space="preserve">de </w:t>
      </w:r>
      <w:r w:rsidRPr="00774C81">
        <w:rPr>
          <w:rFonts w:asciiTheme="minorHAnsi" w:hAnsiTheme="minorHAnsi"/>
          <w:lang w:val="fr-CH"/>
        </w:rPr>
        <w:lastRenderedPageBreak/>
        <w:t>contradictions</w:t>
      </w:r>
      <w:r w:rsidR="007147F1">
        <w:rPr>
          <w:rFonts w:asciiTheme="minorHAnsi" w:hAnsiTheme="minorHAnsi"/>
          <w:lang w:val="fr-CH"/>
        </w:rPr>
        <w:t>,</w:t>
      </w:r>
      <w:r w:rsidRPr="00774C81">
        <w:rPr>
          <w:rFonts w:asciiTheme="minorHAnsi" w:hAnsiTheme="minorHAnsi"/>
          <w:lang w:val="fr-CH"/>
        </w:rPr>
        <w:t xml:space="preserve"> éventuelles ou avérées</w:t>
      </w:r>
      <w:r w:rsidR="007147F1">
        <w:rPr>
          <w:rFonts w:asciiTheme="minorHAnsi" w:hAnsiTheme="minorHAnsi"/>
          <w:lang w:val="fr-CH"/>
        </w:rPr>
        <w:t>,</w:t>
      </w:r>
      <w:r w:rsidRPr="00774C81">
        <w:rPr>
          <w:rFonts w:asciiTheme="minorHAnsi" w:hAnsiTheme="minorHAnsi"/>
          <w:lang w:val="fr-CH"/>
        </w:rPr>
        <w:t xml:space="preserve"> et ne s'attendent pas à en rencontrer. Pour ce qui est de "l'applicabilité du RTI de 2012", le Règlement est inopérant pour les services internationaux de télécommunication qu'ils fournissent actuellement</w:t>
      </w:r>
      <w:r w:rsidR="0020660E">
        <w:rPr>
          <w:rFonts w:asciiTheme="minorHAnsi" w:hAnsiTheme="minorHAnsi"/>
          <w:lang w:val="fr-CH"/>
        </w:rPr>
        <w:t>,</w:t>
      </w:r>
      <w:r w:rsidRPr="00774C81">
        <w:rPr>
          <w:rFonts w:asciiTheme="minorHAnsi" w:hAnsiTheme="minorHAnsi"/>
          <w:lang w:val="fr-CH"/>
        </w:rPr>
        <w:t xml:space="preserve"> puisqu'ils contractent des accords commerciaux. Le Japon considère que son marché actuel et concurrentiel des télécommunications et ceux où les opérateurs japonais sont présents vident le RTI de sa substan</w:t>
      </w:r>
      <w:r w:rsidR="007147F1">
        <w:rPr>
          <w:rFonts w:asciiTheme="minorHAnsi" w:hAnsiTheme="minorHAnsi"/>
          <w:lang w:val="fr-CH"/>
        </w:rPr>
        <w:t>ce</w:t>
      </w:r>
      <w:r w:rsidRPr="00774C81">
        <w:rPr>
          <w:rFonts w:asciiTheme="minorHAnsi" w:hAnsiTheme="minorHAnsi"/>
          <w:lang w:val="fr-CH"/>
        </w:rPr>
        <w:t xml:space="preserve">. Le RTI ne devrait pas faire l'objet de révisions fréquentes. Si tel était le cas, les opérateurs </w:t>
      </w:r>
      <w:r w:rsidR="007147F1">
        <w:rPr>
          <w:rFonts w:asciiTheme="minorHAnsi" w:hAnsiTheme="minorHAnsi"/>
          <w:lang w:val="fr-CH"/>
        </w:rPr>
        <w:t>connaîtraient</w:t>
      </w:r>
      <w:r w:rsidRPr="00774C81">
        <w:rPr>
          <w:rFonts w:asciiTheme="minorHAnsi" w:hAnsiTheme="minorHAnsi"/>
          <w:lang w:val="fr-CH"/>
        </w:rPr>
        <w:t xml:space="preserve"> une période de grande incertitude jusqu'à ce qu'une nouvelle version du RTI soit </w:t>
      </w:r>
      <w:r w:rsidR="007147F1">
        <w:rPr>
          <w:rFonts w:asciiTheme="minorHAnsi" w:hAnsiTheme="minorHAnsi"/>
          <w:lang w:val="fr-CH"/>
        </w:rPr>
        <w:t>mise au point</w:t>
      </w:r>
      <w:r w:rsidRPr="00774C81">
        <w:rPr>
          <w:rFonts w:asciiTheme="minorHAnsi" w:hAnsiTheme="minorHAnsi"/>
          <w:lang w:val="fr-CH"/>
        </w:rPr>
        <w:t xml:space="preserve">. Cette incertitude aurait des conséquences sur les investissements des opérateurs, sur leurs plans économiques à long terme </w:t>
      </w:r>
      <w:r w:rsidR="007147F1">
        <w:rPr>
          <w:rFonts w:asciiTheme="minorHAnsi" w:hAnsiTheme="minorHAnsi"/>
          <w:lang w:val="fr-CH"/>
        </w:rPr>
        <w:t xml:space="preserve">ou </w:t>
      </w:r>
      <w:r w:rsidRPr="00774C81">
        <w:rPr>
          <w:rFonts w:asciiTheme="minorHAnsi" w:hAnsiTheme="minorHAnsi"/>
          <w:lang w:val="fr-CH"/>
        </w:rPr>
        <w:t>sur l'expansion de leurs activités. Le Japon estime que le RTI ne devrait pas freiner les activités commerciales des opérateurs.</w:t>
      </w:r>
    </w:p>
    <w:p w:rsidR="00201533" w:rsidRPr="007147F1" w:rsidRDefault="00201533" w:rsidP="00AA5154">
      <w:pPr>
        <w:spacing w:line="276" w:lineRule="auto"/>
        <w:rPr>
          <w:lang w:val="fr-CH"/>
        </w:rPr>
      </w:pPr>
      <w:r w:rsidRPr="007147F1">
        <w:rPr>
          <w:lang w:val="fr-CH"/>
        </w:rPr>
        <w:t>2</w:t>
      </w:r>
      <w:r w:rsidRPr="007147F1">
        <w:rPr>
          <w:lang w:val="fr-CH"/>
        </w:rPr>
        <w:tab/>
      </w:r>
      <w:r w:rsidR="007147F1" w:rsidRPr="007147F1">
        <w:rPr>
          <w:lang w:val="fr-CH"/>
        </w:rPr>
        <w:t xml:space="preserve">Bien que la position </w:t>
      </w:r>
      <w:r w:rsidR="007147F1">
        <w:rPr>
          <w:lang w:val="fr-CH"/>
        </w:rPr>
        <w:t xml:space="preserve">de </w:t>
      </w:r>
      <w:r w:rsidR="007147F1" w:rsidRPr="007147F1">
        <w:rPr>
          <w:rFonts w:asciiTheme="minorHAnsi" w:hAnsiTheme="minorHAnsi"/>
          <w:lang w:val="fr-CH"/>
        </w:rPr>
        <w:t xml:space="preserve">KDDI </w:t>
      </w:r>
      <w:r w:rsidR="007147F1" w:rsidRPr="007147F1">
        <w:rPr>
          <w:lang w:val="fr-CH"/>
        </w:rPr>
        <w:t>n’</w:t>
      </w:r>
      <w:r w:rsidR="007147F1">
        <w:rPr>
          <w:lang w:val="fr-CH"/>
        </w:rPr>
        <w:t>ai</w:t>
      </w:r>
      <w:r w:rsidR="007147F1" w:rsidRPr="007147F1">
        <w:rPr>
          <w:lang w:val="fr-CH"/>
        </w:rPr>
        <w:t>t pas évolué</w:t>
      </w:r>
      <w:r w:rsidR="007147F1">
        <w:rPr>
          <w:lang w:val="fr-CH"/>
        </w:rPr>
        <w:t xml:space="preserve"> </w:t>
      </w:r>
      <w:r w:rsidR="007147F1" w:rsidRPr="007147F1">
        <w:rPr>
          <w:lang w:val="fr-CH"/>
        </w:rPr>
        <w:t xml:space="preserve">depuis la dernière réunion du Groupe </w:t>
      </w:r>
      <w:r w:rsidR="007147F1">
        <w:rPr>
          <w:color w:val="000000"/>
        </w:rPr>
        <w:t>EG-RTI,</w:t>
      </w:r>
      <w:r w:rsidR="007147F1" w:rsidRPr="007147F1">
        <w:rPr>
          <w:rFonts w:asciiTheme="minorHAnsi" w:hAnsiTheme="minorHAnsi"/>
          <w:lang w:val="fr-CH"/>
        </w:rPr>
        <w:t xml:space="preserve"> </w:t>
      </w:r>
      <w:r w:rsidRPr="007147F1">
        <w:rPr>
          <w:rFonts w:asciiTheme="minorHAnsi" w:hAnsiTheme="minorHAnsi"/>
          <w:lang w:val="fr-CH"/>
        </w:rPr>
        <w:t>KDDI</w:t>
      </w:r>
      <w:r w:rsidR="007147F1">
        <w:rPr>
          <w:rFonts w:asciiTheme="minorHAnsi" w:hAnsiTheme="minorHAnsi"/>
          <w:lang w:val="fr-CH"/>
        </w:rPr>
        <w:t xml:space="preserve"> souhaite formuler les observations suivantes</w:t>
      </w:r>
      <w:r w:rsidR="0020660E">
        <w:rPr>
          <w:rFonts w:asciiTheme="minorHAnsi" w:hAnsiTheme="minorHAnsi"/>
          <w:lang w:val="fr-CH"/>
        </w:rPr>
        <w:t>:</w:t>
      </w:r>
    </w:p>
    <w:p w:rsidR="00201533" w:rsidRPr="002A0D38" w:rsidRDefault="00201533" w:rsidP="00AA5154">
      <w:pPr>
        <w:pStyle w:val="enumlev1"/>
        <w:spacing w:line="276" w:lineRule="auto"/>
        <w:rPr>
          <w:lang w:val="fr-CH"/>
        </w:rPr>
      </w:pPr>
      <w:r w:rsidRPr="007147F1">
        <w:rPr>
          <w:lang w:val="fr-CH"/>
        </w:rPr>
        <w:t>•</w:t>
      </w:r>
      <w:r w:rsidRPr="007147F1">
        <w:rPr>
          <w:lang w:val="fr-CH"/>
        </w:rPr>
        <w:tab/>
        <w:t xml:space="preserve">KDDI </w:t>
      </w:r>
      <w:r w:rsidR="007147F1" w:rsidRPr="007147F1">
        <w:rPr>
          <w:lang w:val="fr-CH"/>
        </w:rPr>
        <w:t>participe</w:t>
      </w:r>
      <w:r w:rsidR="00AA5154">
        <w:rPr>
          <w:lang w:val="fr-CH"/>
        </w:rPr>
        <w:t xml:space="preserve"> </w:t>
      </w:r>
      <w:r w:rsidR="007147F1" w:rsidRPr="007147F1">
        <w:rPr>
          <w:lang w:val="fr-CH"/>
        </w:rPr>
        <w:t>activement aux travaux de la CE</w:t>
      </w:r>
      <w:r w:rsidR="0010758F">
        <w:rPr>
          <w:lang w:val="fr-CH"/>
        </w:rPr>
        <w:t> </w:t>
      </w:r>
      <w:r w:rsidR="007147F1" w:rsidRPr="007147F1">
        <w:rPr>
          <w:lang w:val="fr-CH"/>
        </w:rPr>
        <w:t>3 de l’UIT-T</w:t>
      </w:r>
      <w:r w:rsidR="002A0D38">
        <w:rPr>
          <w:lang w:val="fr-CH"/>
        </w:rPr>
        <w:t>,</w:t>
      </w:r>
      <w:r w:rsidR="00AA5154">
        <w:rPr>
          <w:lang w:val="fr-CH"/>
        </w:rPr>
        <w:t xml:space="preserve"> </w:t>
      </w:r>
      <w:r w:rsidR="007147F1" w:rsidRPr="002A0D38">
        <w:rPr>
          <w:lang w:val="fr-CH"/>
        </w:rPr>
        <w:t>instance</w:t>
      </w:r>
      <w:r w:rsidR="00AA5154">
        <w:rPr>
          <w:lang w:val="fr-CH"/>
        </w:rPr>
        <w:t xml:space="preserve"> </w:t>
      </w:r>
      <w:r w:rsidR="007147F1" w:rsidRPr="002A0D38">
        <w:rPr>
          <w:lang w:val="fr-CH"/>
        </w:rPr>
        <w:t xml:space="preserve">très utile pour l’examen des questions économiques </w:t>
      </w:r>
      <w:r w:rsidR="002A0D38">
        <w:rPr>
          <w:lang w:val="fr-CH"/>
        </w:rPr>
        <w:t>et réglementaires relatives aux télé</w:t>
      </w:r>
      <w:r w:rsidRPr="002A0D38">
        <w:rPr>
          <w:lang w:val="fr-CH"/>
        </w:rPr>
        <w:t>communications.</w:t>
      </w:r>
      <w:r w:rsidR="002A0D38" w:rsidRPr="002A0D38">
        <w:rPr>
          <w:lang w:val="fr-CH"/>
        </w:rPr>
        <w:t xml:space="preserve"> La CE</w:t>
      </w:r>
      <w:r w:rsidR="0010758F">
        <w:rPr>
          <w:lang w:val="fr-CH"/>
        </w:rPr>
        <w:t> </w:t>
      </w:r>
      <w:r w:rsidR="002A0D38" w:rsidRPr="002A0D38">
        <w:rPr>
          <w:lang w:val="fr-CH"/>
        </w:rPr>
        <w:t>3 se réunit à intervalles réguliers</w:t>
      </w:r>
      <w:r w:rsidR="002A0D38">
        <w:rPr>
          <w:lang w:val="fr-CH"/>
        </w:rPr>
        <w:t xml:space="preserve"> et mè</w:t>
      </w:r>
      <w:bookmarkStart w:id="7" w:name="_GoBack"/>
      <w:bookmarkEnd w:id="7"/>
      <w:r w:rsidR="002A0D38">
        <w:rPr>
          <w:lang w:val="fr-CH"/>
        </w:rPr>
        <w:t>ne ses travaux</w:t>
      </w:r>
      <w:r w:rsidRPr="002A0D38">
        <w:rPr>
          <w:lang w:val="fr-CH"/>
        </w:rPr>
        <w:t xml:space="preserve"> </w:t>
      </w:r>
      <w:r w:rsidR="002A0D38">
        <w:rPr>
          <w:lang w:val="fr-CH"/>
        </w:rPr>
        <w:t>avec souplesse</w:t>
      </w:r>
      <w:r w:rsidR="0020660E">
        <w:rPr>
          <w:lang w:val="fr-CH"/>
        </w:rPr>
        <w:t>,</w:t>
      </w:r>
      <w:r w:rsidR="002A0D38">
        <w:rPr>
          <w:lang w:val="fr-CH"/>
        </w:rPr>
        <w:t xml:space="preserve"> en vue d’élaborer des </w:t>
      </w:r>
      <w:r w:rsidR="0010758F">
        <w:rPr>
          <w:lang w:val="fr-CH"/>
        </w:rPr>
        <w:t>r</w:t>
      </w:r>
      <w:r w:rsidR="002A0D38">
        <w:rPr>
          <w:lang w:val="fr-CH"/>
        </w:rPr>
        <w:t xml:space="preserve">ecommandations. </w:t>
      </w:r>
      <w:r w:rsidR="002A0D38" w:rsidRPr="002A0D38">
        <w:rPr>
          <w:lang w:val="fr-CH"/>
        </w:rPr>
        <w:t xml:space="preserve">Les </w:t>
      </w:r>
      <w:r w:rsidR="0010758F" w:rsidRPr="002A0D38">
        <w:rPr>
          <w:lang w:val="fr-CH"/>
        </w:rPr>
        <w:t>r</w:t>
      </w:r>
      <w:r w:rsidR="002A0D38" w:rsidRPr="002A0D38">
        <w:rPr>
          <w:lang w:val="fr-CH"/>
        </w:rPr>
        <w:t>ecommandations sont mieux adaptées que le RTI pour tenir compte</w:t>
      </w:r>
      <w:r w:rsidR="002A0D38">
        <w:rPr>
          <w:lang w:val="fr-CH"/>
        </w:rPr>
        <w:t xml:space="preserve"> </w:t>
      </w:r>
      <w:r w:rsidR="0020660E">
        <w:rPr>
          <w:lang w:val="fr-CH"/>
        </w:rPr>
        <w:t xml:space="preserve">plus </w:t>
      </w:r>
      <w:r w:rsidR="002A0D38">
        <w:rPr>
          <w:lang w:val="fr-CH"/>
        </w:rPr>
        <w:t>rapidement des mutations qui s’opèrent</w:t>
      </w:r>
      <w:r w:rsidR="0020660E">
        <w:rPr>
          <w:lang w:val="fr-CH"/>
        </w:rPr>
        <w:t>.</w:t>
      </w:r>
    </w:p>
    <w:p w:rsidR="00201533" w:rsidRPr="009D08CE" w:rsidRDefault="00201533" w:rsidP="0010758F">
      <w:pPr>
        <w:pStyle w:val="enumlev1"/>
        <w:spacing w:line="276" w:lineRule="auto"/>
        <w:rPr>
          <w:lang w:val="fr-CH"/>
        </w:rPr>
      </w:pPr>
      <w:r w:rsidRPr="002A0D38">
        <w:rPr>
          <w:lang w:val="fr-CH"/>
        </w:rPr>
        <w:t>•</w:t>
      </w:r>
      <w:r w:rsidRPr="002A0D38">
        <w:rPr>
          <w:lang w:val="fr-CH"/>
        </w:rPr>
        <w:tab/>
      </w:r>
      <w:r w:rsidR="002A0D38" w:rsidRPr="002A0D38">
        <w:rPr>
          <w:lang w:val="fr-CH"/>
        </w:rPr>
        <w:t xml:space="preserve">Au cours de la dernière réunion du Groupe </w:t>
      </w:r>
      <w:r w:rsidR="002A0D38" w:rsidRPr="002A0D38">
        <w:rPr>
          <w:color w:val="000000"/>
          <w:lang w:val="fr-CH"/>
        </w:rPr>
        <w:t>EG-RTI</w:t>
      </w:r>
      <w:r w:rsidR="002A0D38">
        <w:rPr>
          <w:color w:val="000000"/>
          <w:lang w:val="fr-CH"/>
        </w:rPr>
        <w:t xml:space="preserve">, la </w:t>
      </w:r>
      <w:r w:rsidR="0020660E">
        <w:rPr>
          <w:color w:val="000000"/>
          <w:lang w:val="fr-CH"/>
        </w:rPr>
        <w:t>nécessité de tenir compte des "</w:t>
      </w:r>
      <w:r w:rsidR="002A0D38">
        <w:rPr>
          <w:color w:val="000000"/>
          <w:lang w:val="fr-CH"/>
        </w:rPr>
        <w:t>nouvelles tendances</w:t>
      </w:r>
      <w:r w:rsidR="0020660E">
        <w:rPr>
          <w:color w:val="000000"/>
          <w:lang w:val="fr-CH"/>
        </w:rPr>
        <w:t>"</w:t>
      </w:r>
      <w:r w:rsidR="002A0D38">
        <w:rPr>
          <w:color w:val="000000"/>
          <w:lang w:val="fr-CH"/>
        </w:rPr>
        <w:t xml:space="preserve"> a été soulignée. </w:t>
      </w:r>
      <w:r w:rsidR="002A0D38" w:rsidRPr="002A0D38">
        <w:rPr>
          <w:color w:val="000000"/>
          <w:lang w:val="fr-CH"/>
        </w:rPr>
        <w:t>Cependant,</w:t>
      </w:r>
      <w:r w:rsidR="002A0D38" w:rsidRPr="002A0D38">
        <w:rPr>
          <w:lang w:val="fr-CH"/>
        </w:rPr>
        <w:t xml:space="preserve"> </w:t>
      </w:r>
      <w:r w:rsidRPr="002A0D38">
        <w:rPr>
          <w:lang w:val="fr-CH"/>
        </w:rPr>
        <w:t xml:space="preserve">KDDI, </w:t>
      </w:r>
      <w:r w:rsidR="002A0D38" w:rsidRPr="002A0D38">
        <w:rPr>
          <w:lang w:val="fr-CH"/>
        </w:rPr>
        <w:t>en tant qu’opérateur privé, considère q</w:t>
      </w:r>
      <w:r w:rsidR="0010758F">
        <w:rPr>
          <w:lang w:val="fr-CH"/>
        </w:rPr>
        <w:t>ue les "</w:t>
      </w:r>
      <w:r w:rsidR="002A0D38" w:rsidRPr="002A0D38">
        <w:rPr>
          <w:lang w:val="fr-CH"/>
        </w:rPr>
        <w:t>nouvelles tendances</w:t>
      </w:r>
      <w:r w:rsidR="0010758F">
        <w:rPr>
          <w:lang w:val="fr-CH"/>
        </w:rPr>
        <w:t>"</w:t>
      </w:r>
      <w:r w:rsidR="002A0D38" w:rsidRPr="002A0D38">
        <w:rPr>
          <w:lang w:val="fr-CH"/>
        </w:rPr>
        <w:t xml:space="preserve"> devraient être considérées </w:t>
      </w:r>
      <w:r w:rsidR="002A0D38">
        <w:rPr>
          <w:lang w:val="fr-CH"/>
        </w:rPr>
        <w:t xml:space="preserve">comme l’un des éléments seulement à prendre en compte </w:t>
      </w:r>
      <w:r w:rsidR="009D08CE">
        <w:rPr>
          <w:lang w:val="fr-CH"/>
        </w:rPr>
        <w:t>dans les décisions commerciales</w:t>
      </w:r>
      <w:r w:rsidR="000861BC">
        <w:rPr>
          <w:lang w:val="fr-CH"/>
        </w:rPr>
        <w:t xml:space="preserve"> dans leur intégralité</w:t>
      </w:r>
      <w:r w:rsidR="009D08CE">
        <w:rPr>
          <w:lang w:val="fr-CH"/>
        </w:rPr>
        <w:t xml:space="preserve">. </w:t>
      </w:r>
      <w:r w:rsidR="009D08CE" w:rsidRPr="009D08CE">
        <w:rPr>
          <w:lang w:val="fr-CH"/>
        </w:rPr>
        <w:t>Par conséquent, il n’est pas opportun de se contenter de mettre l’accent uniquement sur cet élément</w:t>
      </w:r>
      <w:r w:rsidR="000861BC">
        <w:rPr>
          <w:lang w:val="fr-CH"/>
        </w:rPr>
        <w:t>.</w:t>
      </w:r>
    </w:p>
    <w:p w:rsidR="00571EEA" w:rsidRPr="009D08CE" w:rsidRDefault="00571EEA" w:rsidP="00AA5154">
      <w:pPr>
        <w:tabs>
          <w:tab w:val="clear" w:pos="567"/>
          <w:tab w:val="clear" w:pos="1134"/>
          <w:tab w:val="clear" w:pos="1701"/>
          <w:tab w:val="clear" w:pos="2268"/>
          <w:tab w:val="clear" w:pos="2835"/>
        </w:tabs>
        <w:overflowPunct/>
        <w:autoSpaceDE/>
        <w:autoSpaceDN/>
        <w:adjustRightInd/>
        <w:spacing w:before="0" w:line="276" w:lineRule="auto"/>
        <w:textAlignment w:val="auto"/>
        <w:rPr>
          <w:lang w:val="fr-CH"/>
        </w:rPr>
      </w:pPr>
    </w:p>
    <w:p w:rsidR="00201533" w:rsidRPr="009D08CE" w:rsidRDefault="00201533" w:rsidP="00AA5154">
      <w:pPr>
        <w:pStyle w:val="Reasons"/>
        <w:spacing w:line="276" w:lineRule="auto"/>
        <w:rPr>
          <w:lang w:val="fr-CH"/>
        </w:rPr>
      </w:pPr>
    </w:p>
    <w:p w:rsidR="00201533" w:rsidRPr="002A0D38" w:rsidRDefault="00201533" w:rsidP="00AA5154">
      <w:pPr>
        <w:spacing w:line="276" w:lineRule="auto"/>
        <w:jc w:val="center"/>
        <w:rPr>
          <w:lang w:val="en-US"/>
        </w:rPr>
      </w:pPr>
      <w:r w:rsidRPr="002A0D38">
        <w:rPr>
          <w:lang w:val="en-US"/>
        </w:rPr>
        <w:t>______________</w:t>
      </w:r>
    </w:p>
    <w:p w:rsidR="00201533" w:rsidRPr="00201533" w:rsidRDefault="00201533" w:rsidP="00AA5154">
      <w:pPr>
        <w:tabs>
          <w:tab w:val="clear" w:pos="567"/>
          <w:tab w:val="clear" w:pos="1134"/>
          <w:tab w:val="clear" w:pos="1701"/>
          <w:tab w:val="clear" w:pos="2268"/>
          <w:tab w:val="clear" w:pos="2835"/>
        </w:tabs>
        <w:overflowPunct/>
        <w:autoSpaceDE/>
        <w:autoSpaceDN/>
        <w:adjustRightInd/>
        <w:spacing w:before="0" w:line="276" w:lineRule="auto"/>
        <w:textAlignment w:val="auto"/>
        <w:rPr>
          <w:lang w:val="en-US"/>
        </w:rPr>
      </w:pPr>
    </w:p>
    <w:sectPr w:rsidR="00201533" w:rsidRPr="00201533"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47D" w:rsidRDefault="006E747D">
      <w:r>
        <w:separator/>
      </w:r>
    </w:p>
  </w:endnote>
  <w:endnote w:type="continuationSeparator" w:id="0">
    <w:p w:rsidR="006E747D" w:rsidRDefault="006E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0758F">
      <w:rPr>
        <w:lang w:val="en-US"/>
      </w:rPr>
      <w:t>P:\FRA\SG\CONSEIL\EG-ITR\EG-ITR-3\000\004F.docx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10758F">
      <w:t>04.01.18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0758F">
      <w:t>04.01.18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10758F">
      <w:rPr>
        <w:lang w:val="en-US"/>
      </w:rPr>
      <w:t>P:\FRA\SG\CONSEIL\EG-ITR\EG-ITR-3\000\004F.docx</w:t>
    </w:r>
    <w:r>
      <w:fldChar w:fldCharType="end"/>
    </w:r>
    <w:r w:rsidR="00201533">
      <w:t xml:space="preserve"> (430313)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47D" w:rsidRDefault="006E747D">
      <w:r>
        <w:t>____________________</w:t>
      </w:r>
    </w:p>
  </w:footnote>
  <w:footnote w:type="continuationSeparator" w:id="0">
    <w:p w:rsidR="006E747D" w:rsidRDefault="006E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0758F">
      <w:rPr>
        <w:noProof/>
      </w:rPr>
      <w:t>2</w:t>
    </w:r>
    <w:r>
      <w:rPr>
        <w:noProof/>
      </w:rPr>
      <w:fldChar w:fldCharType="end"/>
    </w:r>
  </w:p>
  <w:p w:rsidR="00732045" w:rsidRDefault="00732045"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7BFD988-8227-46E6-A539-14D8371615AE}"/>
    <w:docVar w:name="dgnword-eventsink" w:val="450813072"/>
  </w:docVars>
  <w:rsids>
    <w:rsidRoot w:val="006E747D"/>
    <w:rsid w:val="000861BC"/>
    <w:rsid w:val="000D0D0A"/>
    <w:rsid w:val="00103163"/>
    <w:rsid w:val="0010758F"/>
    <w:rsid w:val="00115D93"/>
    <w:rsid w:val="001247A8"/>
    <w:rsid w:val="001378C0"/>
    <w:rsid w:val="0018694A"/>
    <w:rsid w:val="001A3287"/>
    <w:rsid w:val="001A6508"/>
    <w:rsid w:val="001D4C31"/>
    <w:rsid w:val="001E4D21"/>
    <w:rsid w:val="00201533"/>
    <w:rsid w:val="0020660E"/>
    <w:rsid w:val="00207CD1"/>
    <w:rsid w:val="002477A2"/>
    <w:rsid w:val="00263A51"/>
    <w:rsid w:val="00267E02"/>
    <w:rsid w:val="002A0D38"/>
    <w:rsid w:val="002A5D44"/>
    <w:rsid w:val="002E0BC4"/>
    <w:rsid w:val="002F1B76"/>
    <w:rsid w:val="00355FF5"/>
    <w:rsid w:val="00361350"/>
    <w:rsid w:val="004038CB"/>
    <w:rsid w:val="0040546F"/>
    <w:rsid w:val="0042404A"/>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6E747D"/>
    <w:rsid w:val="007147F1"/>
    <w:rsid w:val="007210CD"/>
    <w:rsid w:val="00732045"/>
    <w:rsid w:val="007369DB"/>
    <w:rsid w:val="00756723"/>
    <w:rsid w:val="007956C2"/>
    <w:rsid w:val="007A187E"/>
    <w:rsid w:val="007C72C2"/>
    <w:rsid w:val="007D4436"/>
    <w:rsid w:val="007E0DAB"/>
    <w:rsid w:val="007F257A"/>
    <w:rsid w:val="007F3665"/>
    <w:rsid w:val="00800037"/>
    <w:rsid w:val="00861D73"/>
    <w:rsid w:val="008A3858"/>
    <w:rsid w:val="008A4E87"/>
    <w:rsid w:val="008D76E6"/>
    <w:rsid w:val="0092392D"/>
    <w:rsid w:val="0093234A"/>
    <w:rsid w:val="0099613D"/>
    <w:rsid w:val="009B3BDE"/>
    <w:rsid w:val="009C307F"/>
    <w:rsid w:val="009D08CE"/>
    <w:rsid w:val="00A2113E"/>
    <w:rsid w:val="00A23A51"/>
    <w:rsid w:val="00A24607"/>
    <w:rsid w:val="00A25CD3"/>
    <w:rsid w:val="00A82767"/>
    <w:rsid w:val="00AA332F"/>
    <w:rsid w:val="00AA5154"/>
    <w:rsid w:val="00AA7BBB"/>
    <w:rsid w:val="00AB64A8"/>
    <w:rsid w:val="00AC0266"/>
    <w:rsid w:val="00AD24EC"/>
    <w:rsid w:val="00B309F9"/>
    <w:rsid w:val="00B32B60"/>
    <w:rsid w:val="00B61619"/>
    <w:rsid w:val="00B7385A"/>
    <w:rsid w:val="00BB4545"/>
    <w:rsid w:val="00BD5873"/>
    <w:rsid w:val="00C04BE3"/>
    <w:rsid w:val="00C25D29"/>
    <w:rsid w:val="00C27A7C"/>
    <w:rsid w:val="00C333A2"/>
    <w:rsid w:val="00CA08ED"/>
    <w:rsid w:val="00CF183B"/>
    <w:rsid w:val="00D375CD"/>
    <w:rsid w:val="00D553A2"/>
    <w:rsid w:val="00D774D3"/>
    <w:rsid w:val="00D837AA"/>
    <w:rsid w:val="00D904E8"/>
    <w:rsid w:val="00DA08C3"/>
    <w:rsid w:val="00DA75E8"/>
    <w:rsid w:val="00DB5A3E"/>
    <w:rsid w:val="00DC22AA"/>
    <w:rsid w:val="00DF74DD"/>
    <w:rsid w:val="00E25AD0"/>
    <w:rsid w:val="00EB6350"/>
    <w:rsid w:val="00F06D00"/>
    <w:rsid w:val="00F15B57"/>
    <w:rsid w:val="00F427DB"/>
    <w:rsid w:val="00FA5EB1"/>
    <w:rsid w:val="00FA7439"/>
    <w:rsid w:val="00FC4EC0"/>
    <w:rsid w:val="00FE03F7"/>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F2D17F1-EC8B-4A0F-B1FE-B19A3AD7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A8A43-C65A-4BC9-BB93-94B0671F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129</TotalTime>
  <Pages>2</Pages>
  <Words>660</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Geneux, Aude</cp:lastModifiedBy>
  <cp:revision>9</cp:revision>
  <cp:lastPrinted>2018-01-04T11:30:00Z</cp:lastPrinted>
  <dcterms:created xsi:type="dcterms:W3CDTF">2018-01-04T11:18:00Z</dcterms:created>
  <dcterms:modified xsi:type="dcterms:W3CDTF">2018-01-04T13:42:00Z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