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173" w:type="dxa"/>
        <w:tblLayout w:type="fixed"/>
        <w:tblLook w:val="0000" w:firstRow="0" w:lastRow="0" w:firstColumn="0" w:lastColumn="0" w:noHBand="0" w:noVBand="0"/>
      </w:tblPr>
      <w:tblGrid>
        <w:gridCol w:w="6629"/>
        <w:gridCol w:w="3544"/>
      </w:tblGrid>
      <w:tr w:rsidR="00DF4EDF" w:rsidRPr="00A50C32" w:rsidTr="00010562">
        <w:trPr>
          <w:cantSplit/>
        </w:trPr>
        <w:tc>
          <w:tcPr>
            <w:tcW w:w="6629" w:type="dxa"/>
            <w:vAlign w:val="center"/>
          </w:tcPr>
          <w:p w:rsidR="00300ED4" w:rsidRDefault="00300ED4" w:rsidP="00300ED4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r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Expert</w:t>
            </w:r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 Group on </w:t>
            </w:r>
            <w:r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the </w:t>
            </w:r>
            <w:r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  <w:t>International Telecommunication Regulations</w:t>
            </w:r>
          </w:p>
          <w:p w:rsidR="00DF4EDF" w:rsidRPr="00A50C32" w:rsidRDefault="00300ED4" w:rsidP="00300ED4">
            <w:pPr>
              <w:overflowPunct/>
              <w:autoSpaceDE/>
              <w:autoSpaceDN/>
              <w:snapToGrid w:val="0"/>
              <w:spacing w:before="0"/>
              <w:textAlignment w:val="auto"/>
              <w:rPr>
                <w:rFonts w:eastAsia="Calibri" w:cs="Calibr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="Times New Roman Bold"/>
                <w:b/>
              </w:rPr>
              <w:t>Third meeting</w:t>
            </w:r>
            <w:r w:rsidRPr="001B506B">
              <w:rPr>
                <w:rFonts w:asciiTheme="minorHAnsi" w:hAnsiTheme="minorHAnsi" w:cs="Times New Roman Bold"/>
                <w:b/>
              </w:rPr>
              <w:t xml:space="preserve"> </w:t>
            </w:r>
            <w:r w:rsidRPr="001B506B">
              <w:rPr>
                <w:rFonts w:eastAsia="Calibri" w:cs="Calibri"/>
                <w:b/>
                <w:color w:val="000000"/>
              </w:rPr>
              <w:t>–</w:t>
            </w:r>
            <w:r w:rsidRPr="000F2E67">
              <w:rPr>
                <w:rFonts w:asciiTheme="minorHAnsi" w:hAnsiTheme="minorHAnsi" w:cs="Times New Roman Bold"/>
                <w:b/>
              </w:rPr>
              <w:t xml:space="preserve"> Geneva, </w:t>
            </w:r>
            <w:r>
              <w:rPr>
                <w:rFonts w:asciiTheme="minorHAnsi" w:hAnsiTheme="minorHAnsi" w:cs="Times New Roman Bold"/>
                <w:b/>
              </w:rPr>
              <w:t>17-19</w:t>
            </w:r>
            <w:r w:rsidRPr="000F2E67">
              <w:rPr>
                <w:rFonts w:asciiTheme="minorHAnsi" w:hAnsiTheme="minorHAnsi" w:cs="Times New Roman Bold"/>
                <w:b/>
              </w:rPr>
              <w:t xml:space="preserve"> </w:t>
            </w:r>
            <w:r>
              <w:rPr>
                <w:rFonts w:asciiTheme="minorHAnsi" w:hAnsiTheme="minorHAnsi" w:cs="Times New Roman Bold"/>
                <w:b/>
              </w:rPr>
              <w:t>January 2018</w:t>
            </w:r>
          </w:p>
        </w:tc>
        <w:tc>
          <w:tcPr>
            <w:tcW w:w="3544" w:type="dxa"/>
          </w:tcPr>
          <w:p w:rsidR="00DF4EDF" w:rsidRPr="00A50C32" w:rsidRDefault="00DF4EDF" w:rsidP="00010562">
            <w:pPr>
              <w:spacing w:before="0"/>
              <w:rPr>
                <w:lang w:val="en-US"/>
              </w:rPr>
            </w:pPr>
            <w:bookmarkStart w:id="0" w:name="ditulogo"/>
            <w:bookmarkEnd w:id="0"/>
            <w:r w:rsidRPr="00A50C32">
              <w:rPr>
                <w:noProof/>
                <w:lang w:val="en-US"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DF" w:rsidRPr="00A50C32" w:rsidTr="00010562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DF4EDF" w:rsidRPr="002E4837" w:rsidRDefault="00DF4EDF" w:rsidP="002E483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 w:cs="Calibri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DF4EDF" w:rsidRPr="00A50C32" w:rsidRDefault="00DF4EDF" w:rsidP="00010562">
            <w:pPr>
              <w:spacing w:before="0"/>
              <w:rPr>
                <w:szCs w:val="24"/>
                <w:lang w:val="en-US"/>
              </w:rPr>
            </w:pPr>
          </w:p>
        </w:tc>
      </w:tr>
      <w:tr w:rsidR="00DF4EDF" w:rsidRPr="00A50C32" w:rsidTr="00E76868">
        <w:trPr>
          <w:cantSplit/>
          <w:trHeight w:val="50"/>
        </w:trPr>
        <w:tc>
          <w:tcPr>
            <w:tcW w:w="6629" w:type="dxa"/>
            <w:tcBorders>
              <w:top w:val="single" w:sz="12" w:space="0" w:color="auto"/>
            </w:tcBorders>
          </w:tcPr>
          <w:p w:rsidR="00DF4EDF" w:rsidRPr="00A50C32" w:rsidRDefault="00DF4EDF" w:rsidP="00010562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DF4EDF" w:rsidRPr="00A50C32" w:rsidRDefault="00DF4EDF" w:rsidP="00010562">
            <w:pPr>
              <w:spacing w:before="0"/>
              <w:rPr>
                <w:szCs w:val="24"/>
                <w:lang w:val="en-US"/>
              </w:rPr>
            </w:pPr>
          </w:p>
        </w:tc>
      </w:tr>
      <w:tr w:rsidR="00DF4EDF" w:rsidRPr="00A50C32" w:rsidTr="00010562">
        <w:trPr>
          <w:cantSplit/>
          <w:trHeight w:val="23"/>
        </w:trPr>
        <w:tc>
          <w:tcPr>
            <w:tcW w:w="6629" w:type="dxa"/>
            <w:vMerge w:val="restart"/>
          </w:tcPr>
          <w:p w:rsidR="00DF4EDF" w:rsidRPr="00A50C32" w:rsidRDefault="00DF4EDF" w:rsidP="00010562">
            <w:pPr>
              <w:tabs>
                <w:tab w:val="left" w:pos="851"/>
              </w:tabs>
              <w:rPr>
                <w:b/>
                <w:lang w:val="en-US"/>
              </w:rPr>
            </w:pPr>
            <w:bookmarkStart w:id="1" w:name="dmeeting" w:colFirst="0" w:colLast="0"/>
            <w:bookmarkStart w:id="2" w:name="dnum" w:colFirst="1" w:colLast="1"/>
          </w:p>
        </w:tc>
        <w:tc>
          <w:tcPr>
            <w:tcW w:w="3544" w:type="dxa"/>
          </w:tcPr>
          <w:p w:rsidR="00DF4EDF" w:rsidRPr="00A50C32" w:rsidRDefault="00300ED4" w:rsidP="00300ED4">
            <w:pPr>
              <w:tabs>
                <w:tab w:val="left" w:pos="851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 w:cs="Calibri"/>
                <w:color w:val="000000"/>
                <w:szCs w:val="24"/>
                <w:lang w:val="en-US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 xml:space="preserve">Document 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EG-ITRs-3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/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3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-E</w:t>
            </w:r>
          </w:p>
        </w:tc>
      </w:tr>
      <w:tr w:rsidR="00DF4EDF" w:rsidRPr="00A50C32" w:rsidTr="00010562">
        <w:trPr>
          <w:cantSplit/>
          <w:trHeight w:val="23"/>
        </w:trPr>
        <w:tc>
          <w:tcPr>
            <w:tcW w:w="6629" w:type="dxa"/>
            <w:vMerge/>
          </w:tcPr>
          <w:p w:rsidR="00DF4EDF" w:rsidRPr="00A50C32" w:rsidRDefault="00DF4EDF" w:rsidP="00010562">
            <w:pPr>
              <w:tabs>
                <w:tab w:val="left" w:pos="851"/>
              </w:tabs>
              <w:rPr>
                <w:b/>
                <w:lang w:val="en-US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544" w:type="dxa"/>
          </w:tcPr>
          <w:p w:rsidR="00DF4EDF" w:rsidRPr="00A50C32" w:rsidRDefault="00300ED4" w:rsidP="00300ED4">
            <w:pPr>
              <w:tabs>
                <w:tab w:val="left" w:pos="993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 w:cs="Calibr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</w:rPr>
              <w:t>5 December 2017</w:t>
            </w:r>
          </w:p>
        </w:tc>
      </w:tr>
      <w:tr w:rsidR="00DF4EDF" w:rsidRPr="00A50C32" w:rsidTr="00010562">
        <w:trPr>
          <w:cantSplit/>
          <w:trHeight w:val="23"/>
        </w:trPr>
        <w:tc>
          <w:tcPr>
            <w:tcW w:w="6629" w:type="dxa"/>
            <w:vMerge/>
          </w:tcPr>
          <w:p w:rsidR="00DF4EDF" w:rsidRPr="00A50C32" w:rsidRDefault="00DF4EDF" w:rsidP="00010562">
            <w:pPr>
              <w:tabs>
                <w:tab w:val="left" w:pos="851"/>
              </w:tabs>
              <w:rPr>
                <w:b/>
                <w:lang w:val="en-US"/>
              </w:rPr>
            </w:pPr>
            <w:bookmarkStart w:id="4" w:name="dorlang" w:colFirst="1" w:colLast="1"/>
            <w:bookmarkEnd w:id="3"/>
          </w:p>
        </w:tc>
        <w:tc>
          <w:tcPr>
            <w:tcW w:w="3544" w:type="dxa"/>
          </w:tcPr>
          <w:p w:rsidR="00DF4EDF" w:rsidRPr="00300ED4" w:rsidRDefault="00300ED4" w:rsidP="001A1553">
            <w:pPr>
              <w:tabs>
                <w:tab w:val="left" w:pos="993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 w:cs="Calibri"/>
                <w:b/>
                <w:bCs/>
                <w:color w:val="000000"/>
                <w:szCs w:val="24"/>
                <w:lang w:val="en-US"/>
              </w:rPr>
            </w:pPr>
            <w:r w:rsidRPr="00300ED4">
              <w:rPr>
                <w:rFonts w:eastAsia="Calibri" w:cs="Calibri"/>
                <w:b/>
                <w:bCs/>
                <w:color w:val="000000"/>
                <w:szCs w:val="24"/>
                <w:lang w:val="en-US"/>
              </w:rPr>
              <w:t>Original: Chinese</w:t>
            </w:r>
          </w:p>
        </w:tc>
      </w:tr>
      <w:tr w:rsidR="00DF4EDF" w:rsidRPr="00A50C32" w:rsidTr="00010562">
        <w:trPr>
          <w:cantSplit/>
        </w:trPr>
        <w:tc>
          <w:tcPr>
            <w:tcW w:w="10173" w:type="dxa"/>
            <w:gridSpan w:val="2"/>
          </w:tcPr>
          <w:p w:rsidR="00DF4EDF" w:rsidRPr="00A50C32" w:rsidRDefault="001A1553" w:rsidP="00010562">
            <w:pPr>
              <w:pStyle w:val="Source"/>
              <w:rPr>
                <w:lang w:val="en-US"/>
              </w:rPr>
            </w:pPr>
            <w:bookmarkStart w:id="5" w:name="dsource" w:colFirst="0" w:colLast="0"/>
            <w:bookmarkEnd w:id="4"/>
            <w:r w:rsidRPr="009325E1">
              <w:rPr>
                <w:rFonts w:eastAsia="SimHei"/>
              </w:rPr>
              <w:t>China</w:t>
            </w:r>
            <w:r w:rsidR="002E50A1">
              <w:rPr>
                <w:rFonts w:eastAsia="SimHei"/>
              </w:rPr>
              <w:t xml:space="preserve"> </w:t>
            </w:r>
            <w:r w:rsidR="002E50A1">
              <w:rPr>
                <w:rFonts w:eastAsia="SimHei" w:hint="eastAsia"/>
                <w:lang w:eastAsia="zh-CN"/>
              </w:rPr>
              <w:t>Te</w:t>
            </w:r>
            <w:r w:rsidR="002E50A1">
              <w:rPr>
                <w:rFonts w:eastAsia="SimHei"/>
                <w:lang w:eastAsia="zh-CN"/>
              </w:rPr>
              <w:t>lecommunications Corporation</w:t>
            </w:r>
          </w:p>
        </w:tc>
      </w:tr>
      <w:tr w:rsidR="00DF4EDF" w:rsidRPr="00A50C32" w:rsidTr="00010562">
        <w:trPr>
          <w:cantSplit/>
        </w:trPr>
        <w:tc>
          <w:tcPr>
            <w:tcW w:w="10173" w:type="dxa"/>
            <w:gridSpan w:val="2"/>
          </w:tcPr>
          <w:p w:rsidR="00DF4EDF" w:rsidRPr="001B3F67" w:rsidRDefault="001A1553" w:rsidP="001B3F67">
            <w:pPr>
              <w:pStyle w:val="Title1"/>
            </w:pPr>
            <w:bookmarkStart w:id="6" w:name="dtitle1" w:colFirst="0" w:colLast="0"/>
            <w:bookmarkEnd w:id="5"/>
            <w:r w:rsidRPr="001B3F67">
              <w:t xml:space="preserve">Proposal on </w:t>
            </w:r>
            <w:r w:rsidRPr="001B3F67">
              <w:rPr>
                <w:rFonts w:hint="eastAsia"/>
              </w:rPr>
              <w:t>the</w:t>
            </w:r>
            <w:r w:rsidRPr="001B3F67">
              <w:t xml:space="preserve"> Review and Revision of the International Telecommunication Regulations (ITR</w:t>
            </w:r>
            <w:r w:rsidR="003867F1" w:rsidRPr="001B3F67">
              <w:rPr>
                <w:rFonts w:hint="eastAsia"/>
              </w:rPr>
              <w:t>s</w:t>
            </w:r>
            <w:r w:rsidRPr="001B3F67">
              <w:t>)</w:t>
            </w:r>
          </w:p>
        </w:tc>
      </w:tr>
    </w:tbl>
    <w:bookmarkEnd w:id="6"/>
    <w:p w:rsidR="001A1553" w:rsidRDefault="001A1553" w:rsidP="00310BAD">
      <w:pPr>
        <w:pStyle w:val="Headingb"/>
      </w:pPr>
      <w:r w:rsidRPr="009325E1">
        <w:t>Introduction</w:t>
      </w:r>
    </w:p>
    <w:p w:rsidR="002E50A1" w:rsidRDefault="00DB0DC1" w:rsidP="00310BAD">
      <w:r>
        <w:rPr>
          <w:rFonts w:hint="eastAsia"/>
          <w:lang w:eastAsia="zh-CN"/>
        </w:rPr>
        <w:t>For o</w:t>
      </w:r>
      <w:r w:rsidR="002E50A1">
        <w:t>ver 150 years, the International Telecommunication Union (ITU) has played a major role in promoting the global telecommunication</w:t>
      </w:r>
      <w:r w:rsidR="003867F1">
        <w:rPr>
          <w:rFonts w:hint="eastAsia"/>
          <w:lang w:eastAsia="zh-CN"/>
        </w:rPr>
        <w:t xml:space="preserve"> </w:t>
      </w:r>
      <w:r w:rsidR="002E50A1">
        <w:t>development, a role that no other international organization is capable of playing. We are confident that, in the future, ITU will continue to play its unique part to fulfil its historic mission.</w:t>
      </w:r>
    </w:p>
    <w:p w:rsidR="00B017F2" w:rsidRDefault="002E50A1" w:rsidP="000B19A0">
      <w:r>
        <w:t xml:space="preserve">At present, the </w:t>
      </w:r>
      <w:r>
        <w:rPr>
          <w:rFonts w:eastAsia="SimHei"/>
        </w:rPr>
        <w:t>International Telecommunication Regulations (ITRs), as one of the pillar instruments of ITU,</w:t>
      </w:r>
      <w:r>
        <w:t xml:space="preserve"> is in a dilemma</w:t>
      </w:r>
      <w:r w:rsidR="000B19A0">
        <w:t xml:space="preserve"> –</w:t>
      </w:r>
      <w:r>
        <w:t xml:space="preserve"> half of </w:t>
      </w:r>
      <w:r w:rsidR="003867F1">
        <w:rPr>
          <w:rFonts w:hint="eastAsia"/>
          <w:lang w:eastAsia="zh-CN"/>
        </w:rPr>
        <w:t xml:space="preserve">the </w:t>
      </w:r>
      <w:r>
        <w:t xml:space="preserve">ITU Member States have signed the ITRs </w:t>
      </w:r>
      <w:r w:rsidR="003867F1">
        <w:rPr>
          <w:rFonts w:hint="eastAsia"/>
          <w:lang w:eastAsia="zh-CN"/>
        </w:rPr>
        <w:t>(</w:t>
      </w:r>
      <w:r w:rsidR="003867F1">
        <w:t>2012</w:t>
      </w:r>
      <w:r w:rsidR="003867F1">
        <w:rPr>
          <w:rFonts w:hint="eastAsia"/>
          <w:lang w:eastAsia="zh-CN"/>
        </w:rPr>
        <w:t xml:space="preserve"> version) </w:t>
      </w:r>
      <w:r>
        <w:t>whereas the other half ha</w:t>
      </w:r>
      <w:r w:rsidR="003867F1">
        <w:rPr>
          <w:rFonts w:hint="eastAsia"/>
          <w:lang w:eastAsia="zh-CN"/>
        </w:rPr>
        <w:t>ve</w:t>
      </w:r>
      <w:r>
        <w:t xml:space="preserve"> not done so.</w:t>
      </w:r>
      <w:r w:rsidR="00B017F2">
        <w:t xml:space="preserve"> We </w:t>
      </w:r>
      <w:r w:rsidR="003867F1">
        <w:rPr>
          <w:rFonts w:hint="eastAsia"/>
          <w:lang w:eastAsia="zh-CN"/>
        </w:rPr>
        <w:t>believe</w:t>
      </w:r>
      <w:r w:rsidR="00B017F2">
        <w:t xml:space="preserve"> that all </w:t>
      </w:r>
      <w:r w:rsidR="003867F1">
        <w:rPr>
          <w:rFonts w:hint="eastAsia"/>
          <w:lang w:eastAsia="zh-CN"/>
        </w:rPr>
        <w:t>M</w:t>
      </w:r>
      <w:r w:rsidR="00B017F2">
        <w:t>ember</w:t>
      </w:r>
      <w:r w:rsidR="003867F1">
        <w:rPr>
          <w:rFonts w:hint="eastAsia"/>
          <w:lang w:eastAsia="zh-CN"/>
        </w:rPr>
        <w:t xml:space="preserve"> States and Sector Members</w:t>
      </w:r>
      <w:r w:rsidR="00B017F2">
        <w:t xml:space="preserve"> of ITU need to join hands in </w:t>
      </w:r>
      <w:r w:rsidR="003867F1">
        <w:rPr>
          <w:rFonts w:hint="eastAsia"/>
          <w:lang w:eastAsia="zh-CN"/>
        </w:rPr>
        <w:t xml:space="preserve">facing this reality and seeking solutions to </w:t>
      </w:r>
      <w:r w:rsidR="00B017F2">
        <w:t xml:space="preserve">this </w:t>
      </w:r>
      <w:r w:rsidR="002C07FD">
        <w:rPr>
          <w:rFonts w:hint="eastAsia"/>
          <w:lang w:eastAsia="zh-CN"/>
        </w:rPr>
        <w:t>problem</w:t>
      </w:r>
      <w:r w:rsidR="00B017F2">
        <w:t xml:space="preserve">. </w:t>
      </w:r>
      <w:r w:rsidR="002C07FD">
        <w:rPr>
          <w:rFonts w:hint="eastAsia"/>
          <w:lang w:eastAsia="zh-CN"/>
        </w:rPr>
        <w:t xml:space="preserve">The status quo can be changed </w:t>
      </w:r>
      <w:r w:rsidR="001D6C94">
        <w:rPr>
          <w:rFonts w:hint="eastAsia"/>
          <w:lang w:eastAsia="zh-CN"/>
        </w:rPr>
        <w:t xml:space="preserve">only </w:t>
      </w:r>
      <w:r w:rsidR="002C07FD">
        <w:rPr>
          <w:rFonts w:hint="eastAsia"/>
          <w:lang w:eastAsia="zh-CN"/>
        </w:rPr>
        <w:t xml:space="preserve">when we </w:t>
      </w:r>
      <w:r w:rsidR="0049317F">
        <w:rPr>
          <w:rFonts w:hint="eastAsia"/>
          <w:lang w:eastAsia="zh-CN"/>
        </w:rPr>
        <w:t xml:space="preserve">put it in </w:t>
      </w:r>
      <w:r w:rsidR="002C07FD">
        <w:rPr>
          <w:lang w:eastAsia="zh-CN"/>
        </w:rPr>
        <w:t>serious</w:t>
      </w:r>
      <w:r w:rsidR="002C07FD">
        <w:rPr>
          <w:rFonts w:hint="eastAsia"/>
          <w:lang w:eastAsia="zh-CN"/>
        </w:rPr>
        <w:t xml:space="preserve"> </w:t>
      </w:r>
      <w:r w:rsidR="0049317F">
        <w:rPr>
          <w:lang w:eastAsia="zh-CN"/>
        </w:rPr>
        <w:t>consideration</w:t>
      </w:r>
      <w:r w:rsidR="0049317F">
        <w:rPr>
          <w:rFonts w:hint="eastAsia"/>
          <w:lang w:eastAsia="zh-CN"/>
        </w:rPr>
        <w:t>.</w:t>
      </w:r>
      <w:r w:rsidR="00B017F2">
        <w:t xml:space="preserve"> Should such a status quo be maintained, it would by no means contribute to ITU in fulfilling its purpose</w:t>
      </w:r>
      <w:r w:rsidR="001D6C94">
        <w:rPr>
          <w:rFonts w:hint="eastAsia"/>
          <w:lang w:eastAsia="zh-CN"/>
        </w:rPr>
        <w:t>s</w:t>
      </w:r>
      <w:r w:rsidR="00B017F2">
        <w:t>.</w:t>
      </w:r>
    </w:p>
    <w:p w:rsidR="001A1553" w:rsidRDefault="001D6C94" w:rsidP="00310BAD">
      <w:pPr>
        <w:pStyle w:val="Headingb"/>
        <w:rPr>
          <w:lang w:eastAsia="zh-CN"/>
        </w:rPr>
      </w:pPr>
      <w:r>
        <w:rPr>
          <w:rFonts w:hint="eastAsia"/>
          <w:lang w:eastAsia="zh-CN"/>
        </w:rPr>
        <w:t>Requirements</w:t>
      </w:r>
    </w:p>
    <w:p w:rsidR="00B017F2" w:rsidRDefault="00B017F2" w:rsidP="00310BAD">
      <w:r>
        <w:t>With the booming of the global telecommunications/</w:t>
      </w:r>
      <w:r w:rsidR="002E4837">
        <w:t>Information and Communication Technologies (</w:t>
      </w:r>
      <w:r>
        <w:t>ICT</w:t>
      </w:r>
      <w:r w:rsidR="002E4837">
        <w:t>)</w:t>
      </w:r>
      <w:r>
        <w:t xml:space="preserve"> services as well as </w:t>
      </w:r>
      <w:r w:rsidR="0011217F">
        <w:t xml:space="preserve">the </w:t>
      </w:r>
      <w:r w:rsidR="00AD6EEB">
        <w:rPr>
          <w:rFonts w:hint="eastAsia"/>
          <w:lang w:eastAsia="zh-CN"/>
        </w:rPr>
        <w:t>revolution</w:t>
      </w:r>
      <w:r w:rsidR="005618AA">
        <w:t xml:space="preserve"> of telecom infrastructure and network technologies, new services and applications </w:t>
      </w:r>
      <w:r w:rsidR="00AD6EEB">
        <w:rPr>
          <w:rFonts w:hint="eastAsia"/>
          <w:lang w:eastAsia="zh-CN"/>
        </w:rPr>
        <w:t>hold great promise</w:t>
      </w:r>
      <w:r w:rsidR="005618AA">
        <w:t xml:space="preserve">. For telecom operators, they are in urgent need of a framework instrument </w:t>
      </w:r>
      <w:r w:rsidR="002E4837">
        <w:t xml:space="preserve">such as </w:t>
      </w:r>
      <w:r w:rsidR="00AD6EEB">
        <w:t xml:space="preserve">ITRs </w:t>
      </w:r>
      <w:r w:rsidR="005618AA">
        <w:t xml:space="preserve">that responds to the current global telecom development so as to provide guidelines for ITU </w:t>
      </w:r>
      <w:r w:rsidR="00DB0DC1">
        <w:rPr>
          <w:rFonts w:hint="eastAsia"/>
          <w:lang w:eastAsia="zh-CN"/>
        </w:rPr>
        <w:t>m</w:t>
      </w:r>
      <w:r w:rsidR="005618AA">
        <w:t>e</w:t>
      </w:r>
      <w:bookmarkStart w:id="7" w:name="_GoBack"/>
      <w:bookmarkEnd w:id="7"/>
      <w:r w:rsidR="005618AA">
        <w:t>mber</w:t>
      </w:r>
      <w:r w:rsidR="00DB0DC1">
        <w:rPr>
          <w:rFonts w:hint="eastAsia"/>
          <w:lang w:eastAsia="zh-CN"/>
        </w:rPr>
        <w:t>s</w:t>
      </w:r>
      <w:r w:rsidR="005618AA">
        <w:t xml:space="preserve"> in their </w:t>
      </w:r>
      <w:r w:rsidR="00DB0DC1">
        <w:rPr>
          <w:rFonts w:hint="eastAsia"/>
          <w:lang w:eastAsia="zh-CN"/>
        </w:rPr>
        <w:t xml:space="preserve">practical </w:t>
      </w:r>
      <w:r w:rsidR="005618AA">
        <w:t xml:space="preserve">telecom </w:t>
      </w:r>
      <w:r w:rsidR="00DB0DC1">
        <w:rPr>
          <w:rFonts w:hint="eastAsia"/>
          <w:lang w:eastAsia="zh-CN"/>
        </w:rPr>
        <w:t>operations</w:t>
      </w:r>
      <w:r w:rsidR="005618AA">
        <w:t xml:space="preserve">, thus greatly promoting the undertaking of global telecommunications/ICT worldwide. </w:t>
      </w:r>
    </w:p>
    <w:p w:rsidR="005618AA" w:rsidRDefault="005618AA" w:rsidP="00310BAD">
      <w:pPr>
        <w:rPr>
          <w:lang w:eastAsia="zh-CN"/>
        </w:rPr>
      </w:pPr>
      <w:r>
        <w:t xml:space="preserve">Currently, telecom operators in various countries are faced with not only the mission for development, but also </w:t>
      </w:r>
      <w:r w:rsidR="00E76868">
        <w:rPr>
          <w:rFonts w:hint="eastAsia"/>
          <w:lang w:eastAsia="zh-CN"/>
        </w:rPr>
        <w:t>major</w:t>
      </w:r>
      <w:r>
        <w:t xml:space="preserve"> challenges </w:t>
      </w:r>
      <w:r w:rsidR="00E76868">
        <w:rPr>
          <w:rFonts w:hint="eastAsia"/>
          <w:lang w:eastAsia="zh-CN"/>
        </w:rPr>
        <w:t xml:space="preserve">that have </w:t>
      </w:r>
      <w:r w:rsidR="00E76868">
        <w:rPr>
          <w:lang w:eastAsia="zh-CN"/>
        </w:rPr>
        <w:t>profound</w:t>
      </w:r>
      <w:r w:rsidR="00E76868">
        <w:rPr>
          <w:rFonts w:hint="eastAsia"/>
          <w:lang w:eastAsia="zh-CN"/>
        </w:rPr>
        <w:t xml:space="preserve"> implications on</w:t>
      </w:r>
      <w:r>
        <w:t xml:space="preserve"> development, such as telecommunication frauds, online crimes</w:t>
      </w:r>
      <w:r w:rsidR="00DB0DC1">
        <w:rPr>
          <w:rFonts w:hint="eastAsia"/>
          <w:lang w:eastAsia="zh-CN"/>
        </w:rPr>
        <w:t xml:space="preserve"> and</w:t>
      </w:r>
      <w:r>
        <w:t xml:space="preserve"> </w:t>
      </w:r>
      <w:r w:rsidR="00A75099">
        <w:t xml:space="preserve">expansion of the terrorist forces by terrorists who make use of the dissemination capabilities of the Internet. </w:t>
      </w:r>
      <w:r w:rsidR="00A75099">
        <w:rPr>
          <w:rFonts w:hint="eastAsia"/>
          <w:lang w:eastAsia="zh-CN"/>
        </w:rPr>
        <w:t>All</w:t>
      </w:r>
      <w:r w:rsidR="00A75099">
        <w:rPr>
          <w:lang w:eastAsia="zh-CN"/>
        </w:rPr>
        <w:t xml:space="preserve"> these </w:t>
      </w:r>
      <w:r w:rsidR="00E76868">
        <w:rPr>
          <w:rFonts w:hint="eastAsia"/>
          <w:lang w:eastAsia="zh-CN"/>
        </w:rPr>
        <w:t xml:space="preserve">pose </w:t>
      </w:r>
      <w:r w:rsidR="00A75099">
        <w:rPr>
          <w:lang w:eastAsia="zh-CN"/>
        </w:rPr>
        <w:t>serious threat</w:t>
      </w:r>
      <w:r w:rsidR="00E76868">
        <w:rPr>
          <w:rFonts w:hint="eastAsia"/>
          <w:lang w:eastAsia="zh-CN"/>
        </w:rPr>
        <w:t>s to</w:t>
      </w:r>
      <w:r w:rsidR="00A75099">
        <w:rPr>
          <w:lang w:eastAsia="zh-CN"/>
        </w:rPr>
        <w:t xml:space="preserve"> the peace and security of many countries, and even the world at large.</w:t>
      </w:r>
    </w:p>
    <w:p w:rsidR="00A75099" w:rsidRDefault="00A75099" w:rsidP="00310BAD">
      <w:pPr>
        <w:rPr>
          <w:lang w:eastAsia="zh-CN"/>
        </w:rPr>
      </w:pPr>
      <w:r>
        <w:rPr>
          <w:lang w:eastAsia="zh-CN"/>
        </w:rPr>
        <w:t xml:space="preserve">To address problems of a global nature, </w:t>
      </w:r>
      <w:r w:rsidR="00E76868">
        <w:rPr>
          <w:rFonts w:hint="eastAsia"/>
          <w:lang w:eastAsia="zh-CN"/>
        </w:rPr>
        <w:t>each and every</w:t>
      </w:r>
      <w:r w:rsidR="00E76868">
        <w:rPr>
          <w:lang w:eastAsia="zh-CN"/>
        </w:rPr>
        <w:t xml:space="preserve"> Member State </w:t>
      </w:r>
      <w:r>
        <w:rPr>
          <w:lang w:eastAsia="zh-CN"/>
        </w:rPr>
        <w:t>need</w:t>
      </w:r>
      <w:r w:rsidR="00E76868">
        <w:rPr>
          <w:rFonts w:hint="eastAsia"/>
          <w:lang w:eastAsia="zh-CN"/>
        </w:rPr>
        <w:t>s</w:t>
      </w:r>
      <w:r>
        <w:rPr>
          <w:lang w:eastAsia="zh-CN"/>
        </w:rPr>
        <w:t xml:space="preserve"> to realize that, </w:t>
      </w:r>
      <w:r w:rsidR="00C27D01">
        <w:rPr>
          <w:rFonts w:hint="eastAsia"/>
          <w:lang w:eastAsia="zh-CN"/>
        </w:rPr>
        <w:t xml:space="preserve">as part of the </w:t>
      </w:r>
      <w:r w:rsidR="00C27D01" w:rsidRPr="00E76868">
        <w:rPr>
          <w:lang w:eastAsia="zh-CN"/>
        </w:rPr>
        <w:t>Community of Shared Future for Mankind</w:t>
      </w:r>
      <w:r w:rsidR="00C27D01">
        <w:rPr>
          <w:rFonts w:hint="eastAsia"/>
          <w:lang w:eastAsia="zh-CN"/>
        </w:rPr>
        <w:t>,</w:t>
      </w:r>
      <w:r w:rsidR="00C27D01">
        <w:rPr>
          <w:lang w:eastAsia="zh-CN"/>
        </w:rPr>
        <w:t xml:space="preserve"> </w:t>
      </w:r>
      <w:r w:rsidR="006D16C0">
        <w:rPr>
          <w:lang w:eastAsia="zh-CN"/>
        </w:rPr>
        <w:t xml:space="preserve">they need to make unswerving efforts </w:t>
      </w:r>
      <w:r w:rsidR="00C27D01">
        <w:rPr>
          <w:lang w:eastAsia="zh-CN"/>
        </w:rPr>
        <w:t>to achieve the common global prosperity</w:t>
      </w:r>
      <w:r>
        <w:rPr>
          <w:lang w:eastAsia="zh-CN"/>
        </w:rPr>
        <w:t xml:space="preserve">. </w:t>
      </w:r>
      <w:r w:rsidR="00C27D01">
        <w:rPr>
          <w:rFonts w:hint="eastAsia"/>
          <w:lang w:eastAsia="zh-CN"/>
        </w:rPr>
        <w:t>In</w:t>
      </w:r>
      <w:r w:rsidR="006D16C0">
        <w:rPr>
          <w:lang w:eastAsia="zh-CN"/>
        </w:rPr>
        <w:t xml:space="preserve"> do</w:t>
      </w:r>
      <w:r w:rsidR="00C27D01">
        <w:rPr>
          <w:rFonts w:hint="eastAsia"/>
          <w:lang w:eastAsia="zh-CN"/>
        </w:rPr>
        <w:t>ing</w:t>
      </w:r>
      <w:r w:rsidR="006D16C0">
        <w:rPr>
          <w:lang w:eastAsia="zh-CN"/>
        </w:rPr>
        <w:t xml:space="preserve"> so, </w:t>
      </w:r>
      <w:r w:rsidR="006658FD">
        <w:rPr>
          <w:lang w:eastAsia="zh-CN"/>
        </w:rPr>
        <w:t xml:space="preserve">ITU Member States must strengthen coordination and cooperation among them </w:t>
      </w:r>
      <w:r w:rsidR="00C27D01">
        <w:rPr>
          <w:rFonts w:hint="eastAsia"/>
          <w:lang w:eastAsia="zh-CN"/>
        </w:rPr>
        <w:t xml:space="preserve">through </w:t>
      </w:r>
      <w:r w:rsidR="00C27D01" w:rsidRPr="00C27D01">
        <w:rPr>
          <w:lang w:eastAsia="zh-CN"/>
        </w:rPr>
        <w:t>relentless </w:t>
      </w:r>
      <w:r w:rsidR="00C27D01">
        <w:rPr>
          <w:rFonts w:hint="eastAsia"/>
          <w:lang w:eastAsia="zh-CN"/>
        </w:rPr>
        <w:t xml:space="preserve">efforts </w:t>
      </w:r>
      <w:r w:rsidR="006658FD">
        <w:rPr>
          <w:lang w:eastAsia="zh-CN"/>
        </w:rPr>
        <w:t>in finding solutions to the issue</w:t>
      </w:r>
      <w:r w:rsidR="004D2110">
        <w:rPr>
          <w:rFonts w:hint="eastAsia"/>
          <w:lang w:eastAsia="zh-CN"/>
        </w:rPr>
        <w:t>s</w:t>
      </w:r>
      <w:r w:rsidR="006658FD">
        <w:rPr>
          <w:lang w:eastAsia="zh-CN"/>
        </w:rPr>
        <w:t xml:space="preserve"> they are fac</w:t>
      </w:r>
      <w:r w:rsidR="004D2110">
        <w:rPr>
          <w:rFonts w:hint="eastAsia"/>
          <w:lang w:eastAsia="zh-CN"/>
        </w:rPr>
        <w:t>ing</w:t>
      </w:r>
      <w:r w:rsidR="00DB0DC1">
        <w:rPr>
          <w:rFonts w:hint="eastAsia"/>
          <w:lang w:eastAsia="zh-CN"/>
        </w:rPr>
        <w:t>,</w:t>
      </w:r>
      <w:r w:rsidR="006658FD">
        <w:rPr>
          <w:lang w:eastAsia="zh-CN"/>
        </w:rPr>
        <w:t xml:space="preserve"> </w:t>
      </w:r>
      <w:r w:rsidR="004D2110">
        <w:rPr>
          <w:rFonts w:hint="eastAsia"/>
          <w:lang w:eastAsia="zh-CN"/>
        </w:rPr>
        <w:t>with a view to</w:t>
      </w:r>
      <w:r w:rsidR="006658FD">
        <w:rPr>
          <w:lang w:eastAsia="zh-CN"/>
        </w:rPr>
        <w:t xml:space="preserve"> </w:t>
      </w:r>
      <w:r w:rsidR="004D2110">
        <w:rPr>
          <w:rFonts w:hint="eastAsia"/>
          <w:lang w:eastAsia="zh-CN"/>
        </w:rPr>
        <w:t>the health</w:t>
      </w:r>
      <w:r w:rsidR="00DB0DC1">
        <w:rPr>
          <w:rFonts w:hint="eastAsia"/>
          <w:lang w:eastAsia="zh-CN"/>
        </w:rPr>
        <w:t>y</w:t>
      </w:r>
      <w:r w:rsidR="004D2110">
        <w:rPr>
          <w:rFonts w:hint="eastAsia"/>
          <w:lang w:eastAsia="zh-CN"/>
        </w:rPr>
        <w:t xml:space="preserve"> </w:t>
      </w:r>
      <w:r w:rsidR="004D2110">
        <w:rPr>
          <w:lang w:eastAsia="zh-CN"/>
        </w:rPr>
        <w:t>development</w:t>
      </w:r>
      <w:r w:rsidR="004D2110">
        <w:rPr>
          <w:rFonts w:hint="eastAsia"/>
          <w:lang w:eastAsia="zh-CN"/>
        </w:rPr>
        <w:t xml:space="preserve"> of </w:t>
      </w:r>
      <w:r w:rsidR="006658FD">
        <w:rPr>
          <w:lang w:eastAsia="zh-CN"/>
        </w:rPr>
        <w:t>telecommunications/ICTs.</w:t>
      </w:r>
    </w:p>
    <w:p w:rsidR="00A56350" w:rsidRDefault="00A56350" w:rsidP="000B19A0">
      <w:pPr>
        <w:pStyle w:val="Headingb"/>
        <w:rPr>
          <w:lang w:eastAsia="zh-CN"/>
        </w:rPr>
      </w:pPr>
      <w:r w:rsidRPr="004D2110">
        <w:rPr>
          <w:lang w:eastAsia="zh-CN"/>
        </w:rPr>
        <w:lastRenderedPageBreak/>
        <w:t>Proposal</w:t>
      </w:r>
      <w:r w:rsidR="004D2110">
        <w:rPr>
          <w:rFonts w:hint="eastAsia"/>
          <w:lang w:eastAsia="zh-CN"/>
        </w:rPr>
        <w:t>s</w:t>
      </w:r>
    </w:p>
    <w:p w:rsidR="00A56350" w:rsidRDefault="004D2110" w:rsidP="00310BAD">
      <w:pPr>
        <w:rPr>
          <w:lang w:eastAsia="zh-CN"/>
        </w:rPr>
      </w:pPr>
      <w:r>
        <w:rPr>
          <w:lang w:eastAsia="zh-CN"/>
        </w:rPr>
        <w:t>I</w:t>
      </w:r>
      <w:r>
        <w:rPr>
          <w:lang w:val="en-US" w:eastAsia="zh-CN"/>
        </w:rPr>
        <w:t xml:space="preserve">t is desirable that </w:t>
      </w:r>
      <w:r w:rsidR="00A56350">
        <w:rPr>
          <w:lang w:eastAsia="zh-CN"/>
        </w:rPr>
        <w:t xml:space="preserve">ITU </w:t>
      </w:r>
      <w:r>
        <w:rPr>
          <w:lang w:eastAsia="zh-CN"/>
        </w:rPr>
        <w:t xml:space="preserve">carries out detailed </w:t>
      </w:r>
      <w:r w:rsidR="00A56350">
        <w:rPr>
          <w:lang w:eastAsia="zh-CN"/>
        </w:rPr>
        <w:t>stud</w:t>
      </w:r>
      <w:r>
        <w:rPr>
          <w:lang w:eastAsia="zh-CN"/>
        </w:rPr>
        <w:t>ies on:</w:t>
      </w:r>
    </w:p>
    <w:p w:rsidR="001A1553" w:rsidRPr="009325E1" w:rsidRDefault="00310BAD" w:rsidP="00310BAD">
      <w:pPr>
        <w:pStyle w:val="Heading1"/>
      </w:pPr>
      <w:r>
        <w:t>1</w:t>
      </w:r>
      <w:r>
        <w:tab/>
      </w:r>
      <w:r w:rsidR="004D2110">
        <w:t>New trends in telecommunication</w:t>
      </w:r>
      <w:r w:rsidR="002E4837">
        <w:t>s</w:t>
      </w:r>
    </w:p>
    <w:p w:rsidR="004D2110" w:rsidRDefault="00720B52" w:rsidP="00310BAD">
      <w:r>
        <w:t xml:space="preserve">The world has witnessed a boom of the global telecommunications/ICT services as well as </w:t>
      </w:r>
      <w:r>
        <w:rPr>
          <w:rFonts w:hint="eastAsia"/>
          <w:lang w:eastAsia="zh-CN"/>
        </w:rPr>
        <w:t>revolution</w:t>
      </w:r>
      <w:r>
        <w:rPr>
          <w:lang w:eastAsia="zh-CN"/>
        </w:rPr>
        <w:t>ary advances in</w:t>
      </w:r>
      <w:r>
        <w:t xml:space="preserve"> telecom infrastructure and network technologies</w:t>
      </w:r>
      <w:r w:rsidR="00DB0DC1">
        <w:rPr>
          <w:rFonts w:hint="eastAsia"/>
          <w:lang w:eastAsia="zh-CN"/>
        </w:rPr>
        <w:t xml:space="preserve"> when</w:t>
      </w:r>
      <w:r>
        <w:t xml:space="preserve"> new services and applications </w:t>
      </w:r>
      <w:r>
        <w:rPr>
          <w:rFonts w:hint="eastAsia"/>
          <w:lang w:eastAsia="zh-CN"/>
        </w:rPr>
        <w:t>hold great promise</w:t>
      </w:r>
      <w:r>
        <w:t>.</w:t>
      </w:r>
      <w:r w:rsidR="00030A77">
        <w:t xml:space="preserve"> ITU is expected to carry out studies on new challenges arising from recent developments in telecommunication and put in place </w:t>
      </w:r>
      <w:r w:rsidR="001C643F">
        <w:t>by</w:t>
      </w:r>
      <w:r w:rsidR="00030A77">
        <w:t xml:space="preserve"> internationally-agreed consensus, a legal framework instrument that could provide guidelines </w:t>
      </w:r>
      <w:r w:rsidR="00DB0DC1">
        <w:rPr>
          <w:rFonts w:hint="eastAsia"/>
          <w:lang w:eastAsia="zh-CN"/>
        </w:rPr>
        <w:t>to</w:t>
      </w:r>
      <w:r w:rsidR="00030A77">
        <w:t xml:space="preserve"> ITU Member States in their telecom’s business practice, thus greatly promoting the undertaking of global telecommunications/ICT worldwide</w:t>
      </w:r>
      <w:r w:rsidR="001C643F">
        <w:t>.</w:t>
      </w:r>
    </w:p>
    <w:p w:rsidR="001C643F" w:rsidRDefault="001C643F" w:rsidP="00310BAD">
      <w:r>
        <w:t xml:space="preserve">For instance, OTT voice services embody severe network/information security </w:t>
      </w:r>
      <w:r w:rsidRPr="001C643F">
        <w:t>vulnerabilities</w:t>
      </w:r>
      <w:r>
        <w:t xml:space="preserve">. Currently, it is not required for users to go through identity </w:t>
      </w:r>
      <w:r w:rsidR="00B433C2">
        <w:t>authentication</w:t>
      </w:r>
      <w:r>
        <w:t xml:space="preserve"> </w:t>
      </w:r>
      <w:r w:rsidR="00B433C2">
        <w:t xml:space="preserve">before they can register and use such services, which will fail the </w:t>
      </w:r>
      <w:r w:rsidR="00B433C2" w:rsidRPr="00B433C2">
        <w:t>traceability</w:t>
      </w:r>
      <w:r w:rsidR="00B433C2">
        <w:t xml:space="preserve"> system in case of security breaches.</w:t>
      </w:r>
    </w:p>
    <w:p w:rsidR="00B433C2" w:rsidRDefault="00B433C2" w:rsidP="00310BAD">
      <w:r>
        <w:t>For example, in terms of market entry for new services, point-to-point communications provided by OTT services must satisfy operation qualifications, irrespective of what technologies hav</w:t>
      </w:r>
      <w:r w:rsidR="00CD75EE">
        <w:t>ing</w:t>
      </w:r>
      <w:r>
        <w:t xml:space="preserve"> been used.</w:t>
      </w:r>
    </w:p>
    <w:p w:rsidR="00CD75EE" w:rsidRDefault="00CD75EE" w:rsidP="00310BAD">
      <w:r>
        <w:t>Basic telecommunication carriers bear universal service obligations. OTT service providers are also expected to bear</w:t>
      </w:r>
      <w:r w:rsidR="002E4837">
        <w:t>,</w:t>
      </w:r>
      <w:r>
        <w:t xml:space="preserve"> through some mechanism, </w:t>
      </w:r>
      <w:r w:rsidR="00DB0DC1">
        <w:rPr>
          <w:rFonts w:hint="eastAsia"/>
          <w:lang w:eastAsia="zh-CN"/>
        </w:rPr>
        <w:t>such</w:t>
      </w:r>
      <w:r>
        <w:t xml:space="preserve"> obligations </w:t>
      </w:r>
      <w:r w:rsidR="00C664A1">
        <w:rPr>
          <w:rFonts w:hint="eastAsia"/>
          <w:lang w:eastAsia="zh-CN"/>
        </w:rPr>
        <w:t xml:space="preserve">to </w:t>
      </w:r>
      <w:r>
        <w:t>facilitat</w:t>
      </w:r>
      <w:r w:rsidR="00C664A1">
        <w:rPr>
          <w:rFonts w:hint="eastAsia"/>
          <w:lang w:eastAsia="zh-CN"/>
        </w:rPr>
        <w:t>e</w:t>
      </w:r>
      <w:r>
        <w:t xml:space="preserve"> the </w:t>
      </w:r>
      <w:r w:rsidR="00C664A1">
        <w:rPr>
          <w:rFonts w:hint="eastAsia"/>
          <w:lang w:eastAsia="zh-CN"/>
        </w:rPr>
        <w:t xml:space="preserve">provision of </w:t>
      </w:r>
      <w:r>
        <w:t>universal service</w:t>
      </w:r>
      <w:r w:rsidR="00C664A1">
        <w:rPr>
          <w:rFonts w:hint="eastAsia"/>
          <w:lang w:eastAsia="zh-CN"/>
        </w:rPr>
        <w:t>s</w:t>
      </w:r>
      <w:r>
        <w:t>.</w:t>
      </w:r>
    </w:p>
    <w:p w:rsidR="00CD75EE" w:rsidRPr="00720B52" w:rsidRDefault="00310BAD" w:rsidP="00310BAD">
      <w:pPr>
        <w:pStyle w:val="Heading1"/>
        <w:rPr>
          <w:lang w:eastAsia="zh-CN"/>
        </w:rPr>
      </w:pPr>
      <w:r>
        <w:t>2</w:t>
      </w:r>
      <w:r>
        <w:tab/>
      </w:r>
      <w:r w:rsidR="00494AF3" w:rsidRPr="00494AF3">
        <w:t>Making new rules</w:t>
      </w:r>
    </w:p>
    <w:p w:rsidR="00494AF3" w:rsidRPr="00494AF3" w:rsidRDefault="00650F7E" w:rsidP="00310BAD">
      <w:pPr>
        <w:rPr>
          <w:lang w:eastAsia="zh-CN"/>
        </w:rPr>
      </w:pPr>
      <w:r>
        <w:t>It is desirable to consider revising the ITRs to include new elements, and to develop framework instruments so that governments</w:t>
      </w:r>
      <w:r>
        <w:rPr>
          <w:rFonts w:hint="eastAsia"/>
          <w:lang w:eastAsia="zh-CN"/>
        </w:rPr>
        <w:t>,</w:t>
      </w:r>
      <w:r>
        <w:t xml:space="preserve"> </w:t>
      </w:r>
      <w:r>
        <w:rPr>
          <w:rFonts w:hint="eastAsia"/>
          <w:lang w:eastAsia="zh-CN"/>
        </w:rPr>
        <w:t xml:space="preserve">when regulating and making policies, </w:t>
      </w:r>
      <w:r>
        <w:t xml:space="preserve">could </w:t>
      </w:r>
      <w:r>
        <w:rPr>
          <w:rFonts w:hint="eastAsia"/>
          <w:lang w:eastAsia="zh-CN"/>
        </w:rPr>
        <w:t>make</w:t>
      </w:r>
      <w:r>
        <w:t xml:space="preserve"> reference </w:t>
      </w:r>
      <w:r>
        <w:rPr>
          <w:rFonts w:hint="eastAsia"/>
          <w:lang w:eastAsia="zh-CN"/>
        </w:rPr>
        <w:t>to specific international telecommunication regulations.</w:t>
      </w:r>
    </w:p>
    <w:p w:rsidR="00494AF3" w:rsidRDefault="00310BAD" w:rsidP="00310BAD">
      <w:pPr>
        <w:pStyle w:val="Heading1"/>
        <w:rPr>
          <w:lang w:eastAsia="zh-CN"/>
        </w:rPr>
      </w:pPr>
      <w:r>
        <w:t>3</w:t>
      </w:r>
      <w:r>
        <w:tab/>
      </w:r>
      <w:r w:rsidR="00650F7E" w:rsidRPr="00650F7E">
        <w:rPr>
          <w:rFonts w:hint="eastAsia"/>
        </w:rPr>
        <w:t>Facilitate studies and reach consensus</w:t>
      </w:r>
    </w:p>
    <w:p w:rsidR="00650F7E" w:rsidRPr="00494AF3" w:rsidRDefault="00650F7E" w:rsidP="00310BAD">
      <w:pPr>
        <w:rPr>
          <w:lang w:eastAsia="zh-CN"/>
        </w:rPr>
      </w:pPr>
      <w:r>
        <w:rPr>
          <w:rFonts w:hint="eastAsia"/>
          <w:lang w:eastAsia="zh-CN"/>
        </w:rPr>
        <w:t xml:space="preserve">Member </w:t>
      </w:r>
      <w:r w:rsidR="00C664A1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tates and </w:t>
      </w:r>
      <w:r w:rsidR="00C664A1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ector </w:t>
      </w:r>
      <w:r w:rsidR="00C664A1">
        <w:rPr>
          <w:rFonts w:hint="eastAsia"/>
          <w:lang w:eastAsia="zh-CN"/>
        </w:rPr>
        <w:t>M</w:t>
      </w:r>
      <w:r>
        <w:rPr>
          <w:rFonts w:hint="eastAsia"/>
          <w:lang w:eastAsia="zh-CN"/>
        </w:rPr>
        <w:t xml:space="preserve">embers are invited and encouraged to </w:t>
      </w:r>
      <w:r w:rsidR="007A01FC">
        <w:rPr>
          <w:rFonts w:hint="eastAsia"/>
          <w:lang w:eastAsia="zh-CN"/>
        </w:rPr>
        <w:t>initiate studies on</w:t>
      </w:r>
      <w:r>
        <w:rPr>
          <w:rFonts w:hint="eastAsia"/>
          <w:lang w:eastAsia="zh-CN"/>
        </w:rPr>
        <w:t xml:space="preserve"> </w:t>
      </w:r>
      <w:r w:rsidR="007A01FC">
        <w:rPr>
          <w:rFonts w:hint="eastAsia"/>
          <w:lang w:eastAsia="zh-CN"/>
        </w:rPr>
        <w:t xml:space="preserve">the ITRs and to provide constructive advices and recommendations with a view to reaching consensus and jointly solving practical problems that have emerged in the development of </w:t>
      </w:r>
      <w:r w:rsidR="002E4837">
        <w:rPr>
          <w:lang w:eastAsia="zh-CN"/>
        </w:rPr>
        <w:t xml:space="preserve">global </w:t>
      </w:r>
      <w:r w:rsidR="007A01FC">
        <w:rPr>
          <w:rFonts w:hint="eastAsia"/>
          <w:lang w:eastAsia="zh-CN"/>
        </w:rPr>
        <w:t>telecommunication</w:t>
      </w:r>
      <w:r w:rsidR="002E4837">
        <w:rPr>
          <w:lang w:eastAsia="zh-CN"/>
        </w:rPr>
        <w:t>/ICT</w:t>
      </w:r>
      <w:r w:rsidR="007A01FC">
        <w:rPr>
          <w:rFonts w:hint="eastAsia"/>
          <w:lang w:eastAsia="zh-CN"/>
        </w:rPr>
        <w:t>.</w:t>
      </w:r>
    </w:p>
    <w:p w:rsidR="00DF4EDF" w:rsidRDefault="00DF4EDF" w:rsidP="00DF4EDF"/>
    <w:p w:rsidR="00310BAD" w:rsidRDefault="00310BAD" w:rsidP="00DF4EDF"/>
    <w:p w:rsidR="00310BAD" w:rsidRDefault="00310BAD" w:rsidP="00DF4EDF"/>
    <w:p w:rsidR="00310BAD" w:rsidRDefault="00310BAD" w:rsidP="0032202E">
      <w:pPr>
        <w:pStyle w:val="Reasons"/>
      </w:pPr>
    </w:p>
    <w:p w:rsidR="00310BAD" w:rsidRDefault="00310BAD">
      <w:pPr>
        <w:jc w:val="center"/>
      </w:pPr>
      <w:r>
        <w:t>______________</w:t>
      </w:r>
    </w:p>
    <w:sectPr w:rsidR="00310BAD" w:rsidSect="004D1851">
      <w:head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AF" w:rsidRDefault="006C6BAF">
      <w:r>
        <w:separator/>
      </w:r>
    </w:p>
  </w:endnote>
  <w:endnote w:type="continuationSeparator" w:id="0">
    <w:p w:rsidR="006C6BAF" w:rsidRDefault="006C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AF" w:rsidRDefault="006C6BAF">
      <w:r>
        <w:t>____________________</w:t>
      </w:r>
    </w:p>
  </w:footnote>
  <w:footnote w:type="continuationSeparator" w:id="0">
    <w:p w:rsidR="006C6BAF" w:rsidRDefault="006C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9D2D2E" w:rsidP="001A1553">
    <w:pPr>
      <w:pStyle w:val="Header"/>
    </w:pPr>
    <w:r>
      <w:fldChar w:fldCharType="begin"/>
    </w:r>
    <w:r w:rsidR="006535F1">
      <w:instrText>PAGE</w:instrText>
    </w:r>
    <w:r>
      <w:fldChar w:fldCharType="separate"/>
    </w:r>
    <w:r w:rsidR="00300ED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B91333"/>
    <w:multiLevelType w:val="hybridMultilevel"/>
    <w:tmpl w:val="EF10E826"/>
    <w:lvl w:ilvl="0" w:tplc="11C8A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2487"/>
    <w:multiLevelType w:val="hybridMultilevel"/>
    <w:tmpl w:val="0AE4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12B9B"/>
    <w:multiLevelType w:val="hybridMultilevel"/>
    <w:tmpl w:val="CF186184"/>
    <w:lvl w:ilvl="0" w:tplc="1E1EE16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53"/>
    <w:rsid w:val="000210D4"/>
    <w:rsid w:val="00030A77"/>
    <w:rsid w:val="00063016"/>
    <w:rsid w:val="00066795"/>
    <w:rsid w:val="00076AF6"/>
    <w:rsid w:val="00085CF2"/>
    <w:rsid w:val="000B1705"/>
    <w:rsid w:val="000B19A0"/>
    <w:rsid w:val="000D56A7"/>
    <w:rsid w:val="000D75B2"/>
    <w:rsid w:val="0011217F"/>
    <w:rsid w:val="001121F5"/>
    <w:rsid w:val="001400DC"/>
    <w:rsid w:val="00140CE1"/>
    <w:rsid w:val="0017539C"/>
    <w:rsid w:val="00175AC2"/>
    <w:rsid w:val="0017609F"/>
    <w:rsid w:val="00190DC9"/>
    <w:rsid w:val="001A1553"/>
    <w:rsid w:val="001B3F67"/>
    <w:rsid w:val="001C628E"/>
    <w:rsid w:val="001C643F"/>
    <w:rsid w:val="001D6C94"/>
    <w:rsid w:val="001E0F7B"/>
    <w:rsid w:val="002119FD"/>
    <w:rsid w:val="002130E0"/>
    <w:rsid w:val="00264425"/>
    <w:rsid w:val="00265875"/>
    <w:rsid w:val="0027303B"/>
    <w:rsid w:val="0028109B"/>
    <w:rsid w:val="002A2188"/>
    <w:rsid w:val="002B1F58"/>
    <w:rsid w:val="002C07FD"/>
    <w:rsid w:val="002C1C7A"/>
    <w:rsid w:val="002D4AAE"/>
    <w:rsid w:val="002E4837"/>
    <w:rsid w:val="002E50A1"/>
    <w:rsid w:val="00300ED4"/>
    <w:rsid w:val="0030160F"/>
    <w:rsid w:val="00310BAD"/>
    <w:rsid w:val="00322D0D"/>
    <w:rsid w:val="003867F1"/>
    <w:rsid w:val="003942D4"/>
    <w:rsid w:val="003958A8"/>
    <w:rsid w:val="003C2533"/>
    <w:rsid w:val="003E4B9A"/>
    <w:rsid w:val="0040435A"/>
    <w:rsid w:val="00416A24"/>
    <w:rsid w:val="00431D9E"/>
    <w:rsid w:val="00433CE8"/>
    <w:rsid w:val="00434A5C"/>
    <w:rsid w:val="004544D9"/>
    <w:rsid w:val="00490E72"/>
    <w:rsid w:val="00491157"/>
    <w:rsid w:val="004921C8"/>
    <w:rsid w:val="0049317F"/>
    <w:rsid w:val="00494AF3"/>
    <w:rsid w:val="004D1851"/>
    <w:rsid w:val="004D2110"/>
    <w:rsid w:val="004D599D"/>
    <w:rsid w:val="004E2EA5"/>
    <w:rsid w:val="004E3AEB"/>
    <w:rsid w:val="0050223C"/>
    <w:rsid w:val="005243FF"/>
    <w:rsid w:val="005618AA"/>
    <w:rsid w:val="00564FBC"/>
    <w:rsid w:val="00582442"/>
    <w:rsid w:val="005A380F"/>
    <w:rsid w:val="005B5043"/>
    <w:rsid w:val="0064737F"/>
    <w:rsid w:val="00650F7E"/>
    <w:rsid w:val="006535F1"/>
    <w:rsid w:val="0065557D"/>
    <w:rsid w:val="00662984"/>
    <w:rsid w:val="006658FD"/>
    <w:rsid w:val="006716BB"/>
    <w:rsid w:val="006B6680"/>
    <w:rsid w:val="006B6DCC"/>
    <w:rsid w:val="006C6BAF"/>
    <w:rsid w:val="006D16C0"/>
    <w:rsid w:val="00702DEF"/>
    <w:rsid w:val="00706861"/>
    <w:rsid w:val="00720B52"/>
    <w:rsid w:val="0075051B"/>
    <w:rsid w:val="00794D34"/>
    <w:rsid w:val="007A01FC"/>
    <w:rsid w:val="007B506E"/>
    <w:rsid w:val="00813E5E"/>
    <w:rsid w:val="008156E3"/>
    <w:rsid w:val="0083581B"/>
    <w:rsid w:val="00864AFF"/>
    <w:rsid w:val="008B4A6A"/>
    <w:rsid w:val="008C7E27"/>
    <w:rsid w:val="009173EF"/>
    <w:rsid w:val="00932906"/>
    <w:rsid w:val="00961B0B"/>
    <w:rsid w:val="009B38C3"/>
    <w:rsid w:val="009D2D2E"/>
    <w:rsid w:val="009E17BD"/>
    <w:rsid w:val="009E485A"/>
    <w:rsid w:val="009F2602"/>
    <w:rsid w:val="009F79BF"/>
    <w:rsid w:val="00A04CEC"/>
    <w:rsid w:val="00A27F92"/>
    <w:rsid w:val="00A32257"/>
    <w:rsid w:val="00A36D20"/>
    <w:rsid w:val="00A55622"/>
    <w:rsid w:val="00A56350"/>
    <w:rsid w:val="00A75099"/>
    <w:rsid w:val="00A83502"/>
    <w:rsid w:val="00AA759B"/>
    <w:rsid w:val="00AC4AF7"/>
    <w:rsid w:val="00AD15B3"/>
    <w:rsid w:val="00AD6EEB"/>
    <w:rsid w:val="00AF6E49"/>
    <w:rsid w:val="00B017F2"/>
    <w:rsid w:val="00B04A67"/>
    <w:rsid w:val="00B0583C"/>
    <w:rsid w:val="00B40A81"/>
    <w:rsid w:val="00B433C2"/>
    <w:rsid w:val="00B44910"/>
    <w:rsid w:val="00B72267"/>
    <w:rsid w:val="00B76EB6"/>
    <w:rsid w:val="00B7737B"/>
    <w:rsid w:val="00B824C8"/>
    <w:rsid w:val="00BC251A"/>
    <w:rsid w:val="00BD032B"/>
    <w:rsid w:val="00BE2640"/>
    <w:rsid w:val="00C01189"/>
    <w:rsid w:val="00C27D01"/>
    <w:rsid w:val="00C374DE"/>
    <w:rsid w:val="00C47AD4"/>
    <w:rsid w:val="00C52D81"/>
    <w:rsid w:val="00C55198"/>
    <w:rsid w:val="00C664A1"/>
    <w:rsid w:val="00CA6393"/>
    <w:rsid w:val="00CB18FF"/>
    <w:rsid w:val="00CB4DFA"/>
    <w:rsid w:val="00CC301E"/>
    <w:rsid w:val="00CD0C08"/>
    <w:rsid w:val="00CD75EE"/>
    <w:rsid w:val="00CE03FB"/>
    <w:rsid w:val="00CE433C"/>
    <w:rsid w:val="00CF33F3"/>
    <w:rsid w:val="00D06183"/>
    <w:rsid w:val="00D22C42"/>
    <w:rsid w:val="00D65041"/>
    <w:rsid w:val="00DB0DC1"/>
    <w:rsid w:val="00DB384B"/>
    <w:rsid w:val="00DF4EDF"/>
    <w:rsid w:val="00E10E80"/>
    <w:rsid w:val="00E124F0"/>
    <w:rsid w:val="00E60F04"/>
    <w:rsid w:val="00E76868"/>
    <w:rsid w:val="00E854E4"/>
    <w:rsid w:val="00EB0D6F"/>
    <w:rsid w:val="00EB2232"/>
    <w:rsid w:val="00EC5337"/>
    <w:rsid w:val="00F2150A"/>
    <w:rsid w:val="00F231D8"/>
    <w:rsid w:val="00F46C5F"/>
    <w:rsid w:val="00F94A63"/>
    <w:rsid w:val="00FA1C28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9BF4CA3E-9580-449B-8ACF-D3EC2792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ED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qFormat/>
    <w:rsid w:val="00813E5E"/>
  </w:style>
  <w:style w:type="character" w:styleId="Hyperlink">
    <w:name w:val="Hyperlink"/>
    <w:basedOn w:val="DefaultParagraphFont"/>
    <w:uiPriority w:val="99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553"/>
    <w:rPr>
      <w:rFonts w:ascii="Calibri" w:hAnsi="Calibri"/>
      <w:sz w:val="24"/>
      <w:lang w:val="en-GB" w:eastAsia="en-US"/>
    </w:rPr>
  </w:style>
  <w:style w:type="paragraph" w:customStyle="1" w:styleId="Default">
    <w:name w:val="Default"/>
    <w:rsid w:val="001A15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D56A7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6A7"/>
    <w:rPr>
      <w:rFonts w:ascii="Calibri" w:hAnsi="Calibr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E%20-%20ITU\PE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BC14-B06E-4796-A1D0-DA6BB153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PE_EG-ITR.dotx</Template>
  <TotalTime>0</TotalTime>
  <Pages>2</Pages>
  <Words>676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4665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2011</dc:subject>
  <dc:creator>Zheng, Bingy</dc:creator>
  <cp:lastModifiedBy>Janin</cp:lastModifiedBy>
  <cp:revision>2</cp:revision>
  <cp:lastPrinted>2000-07-18T13:30:00Z</cp:lastPrinted>
  <dcterms:created xsi:type="dcterms:W3CDTF">2017-12-13T07:48:00Z</dcterms:created>
  <dcterms:modified xsi:type="dcterms:W3CDTF">2017-12-13T07:48:00Z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