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81264" w:rsidP="00A40912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8C63B0">
              <w:rPr>
                <w:rFonts w:asciiTheme="minorHAnsi" w:eastAsiaTheme="majorEastAsia" w:hAnsiTheme="minorHAnsi" w:cs="Microsoft YaHei"/>
                <w:b/>
                <w:bCs/>
                <w:sz w:val="28"/>
                <w:szCs w:val="28"/>
                <w:lang w:val="en-US" w:eastAsia="zh-CN"/>
              </w:rPr>
              <w:t>《国际电信规则》专家组（</w:t>
            </w:r>
            <w:r w:rsidRPr="008C63B0">
              <w:rPr>
                <w:rFonts w:asciiTheme="minorHAnsi" w:eastAsiaTheme="majorEastAsia" w:hAnsiTheme="minorHAnsi"/>
                <w:b/>
                <w:bCs/>
                <w:sz w:val="28"/>
                <w:szCs w:val="28"/>
                <w:lang w:val="en-US" w:eastAsia="zh-CN"/>
              </w:rPr>
              <w:t>EG</w:t>
            </w:r>
            <w:r w:rsidRPr="008C63B0">
              <w:rPr>
                <w:rFonts w:asciiTheme="minorHAnsi" w:eastAsiaTheme="majorEastAsia" w:hAnsiTheme="minorHAnsi"/>
                <w:b/>
                <w:bCs/>
                <w:sz w:val="28"/>
                <w:szCs w:val="28"/>
                <w:lang w:val="en-US" w:eastAsia="zh-CN"/>
              </w:rPr>
              <w:noBreakHyphen/>
              <w:t>ITR</w:t>
            </w:r>
            <w:r w:rsidRPr="008C63B0">
              <w:rPr>
                <w:rFonts w:asciiTheme="minorHAnsi" w:eastAsiaTheme="majorEastAsia" w:hAnsiTheme="minorHAnsi" w:cs="Microsoft YaHei"/>
                <w:b/>
                <w:bCs/>
                <w:sz w:val="28"/>
                <w:szCs w:val="28"/>
                <w:lang w:val="en-US" w:eastAsia="zh-CN"/>
              </w:rPr>
              <w:t>）</w:t>
            </w:r>
            <w:r w:rsidR="00D94637"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bookmarkStart w:id="0" w:name="lt_pId006"/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第</w:t>
            </w:r>
            <w:r w:rsidR="00A40912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三</w:t>
            </w:r>
            <w:r w:rsidRPr="008C63B0">
              <w:rPr>
                <w:rFonts w:eastAsiaTheme="minorEastAsia" w:cs="Calibri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次会议</w:t>
            </w:r>
            <w:r w:rsidRPr="008C63B0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 xml:space="preserve"> – 201</w:t>
            </w:r>
            <w:bookmarkEnd w:id="0"/>
            <w:r w:rsidR="00A40912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8</w:t>
            </w:r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年</w:t>
            </w:r>
            <w:r w:rsidR="00A40912">
              <w:rPr>
                <w:rFonts w:eastAsiaTheme="minorEastAsia" w:cs="Calibri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1</w:t>
            </w:r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月</w:t>
            </w:r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1</w:t>
            </w:r>
            <w:r w:rsidR="00A40912">
              <w:rPr>
                <w:rFonts w:eastAsiaTheme="minorEastAsia" w:cs="Calibri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7</w:t>
            </w:r>
            <w:r w:rsidRPr="008C63B0">
              <w:rPr>
                <w:rFonts w:eastAsiaTheme="minorEastAsia" w:cs="Calibri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-1</w:t>
            </w:r>
            <w:r w:rsidR="00A40912">
              <w:rPr>
                <w:rFonts w:eastAsiaTheme="minorEastAsia" w:cs="Calibri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9</w:t>
            </w:r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日，</w:t>
            </w:r>
            <w:r w:rsidRPr="008C63B0">
              <w:rPr>
                <w:rFonts w:eastAsiaTheme="minorEastAsia" w:cs="Calibri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</w:p>
        </w:tc>
        <w:tc>
          <w:tcPr>
            <w:tcW w:w="3120" w:type="dxa"/>
          </w:tcPr>
          <w:p w:rsidR="00700D1F" w:rsidRPr="00700D1F" w:rsidRDefault="00D81264" w:rsidP="0088298D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C0597A">
              <w:rPr>
                <w:rFonts w:asciiTheme="minorHAnsi" w:hAnsiTheme="minorHAnsi" w:cs="Times New Roman Bold"/>
                <w:b/>
                <w:spacing w:val="-4"/>
                <w:lang w:val="de-CH"/>
              </w:rPr>
              <w:t>EG-ITRs</w:t>
            </w:r>
            <w:r w:rsidR="00A40912">
              <w:rPr>
                <w:rFonts w:asciiTheme="minorHAnsi" w:hAnsiTheme="minorHAnsi" w:cs="Times New Roman Bold"/>
                <w:b/>
                <w:spacing w:val="-4"/>
                <w:lang w:val="de-CH"/>
              </w:rPr>
              <w:t xml:space="preserve"> 3</w:t>
            </w:r>
            <w:r w:rsidRPr="00C0597A">
              <w:rPr>
                <w:rFonts w:asciiTheme="minorHAnsi" w:hAnsiTheme="minorHAnsi" w:cs="Times New Roman Bold"/>
                <w:b/>
                <w:spacing w:val="-4"/>
                <w:lang w:val="de-CH"/>
              </w:rPr>
              <w:t>/</w:t>
            </w:r>
            <w:r w:rsidR="0088298D">
              <w:rPr>
                <w:rFonts w:asciiTheme="minorHAnsi" w:hAnsiTheme="minorHAnsi" w:cs="Times New Roman Bold"/>
                <w:b/>
                <w:spacing w:val="-4"/>
                <w:lang w:val="de-CH"/>
              </w:rPr>
              <w:t>3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-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</w:p>
        </w:tc>
      </w:tr>
      <w:bookmarkEnd w:id="2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88298D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88298D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88298D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876FB3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876FB3">
              <w:rPr>
                <w:rFonts w:hint="eastAsia"/>
                <w:b/>
                <w:bCs/>
                <w:szCs w:val="24"/>
                <w:lang w:eastAsia="zh-CN"/>
              </w:rPr>
              <w:t>中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876FB3" w:rsidP="0088298D">
            <w:pPr>
              <w:pStyle w:val="Source"/>
              <w:rPr>
                <w:rFonts w:hint="eastAsia"/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中国</w:t>
            </w:r>
            <w:r w:rsidR="0088298D">
              <w:rPr>
                <w:rFonts w:ascii="Times New Roman Bold" w:hAnsi="Times New Roman Bold" w:hint="eastAsia"/>
                <w:lang w:val="fr-CH" w:eastAsia="zh-CN"/>
              </w:rPr>
              <w:t>电</w:t>
            </w:r>
            <w:r w:rsidR="0088298D">
              <w:rPr>
                <w:rFonts w:ascii="Times New Roman Bold" w:hAnsi="Times New Roman Bold"/>
                <w:lang w:val="fr-CH" w:eastAsia="zh-CN"/>
              </w:rPr>
              <w:t>信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88298D" w:rsidP="00001B77">
            <w:pPr>
              <w:pStyle w:val="Title1"/>
              <w:rPr>
                <w:bCs/>
                <w:lang w:eastAsia="zh-CN"/>
              </w:rPr>
            </w:pPr>
            <w:r w:rsidRPr="002308C1">
              <w:rPr>
                <w:rFonts w:hint="eastAsia"/>
                <w:lang w:eastAsia="zh-CN"/>
              </w:rPr>
              <w:t>关于</w:t>
            </w:r>
            <w:r w:rsidRPr="0047146E">
              <w:rPr>
                <w:rFonts w:hint="eastAsia"/>
                <w:lang w:eastAsia="zh-CN"/>
              </w:rPr>
              <w:t>ITR</w:t>
            </w:r>
            <w:r>
              <w:rPr>
                <w:rFonts w:hint="eastAsia"/>
                <w:lang w:eastAsia="zh-CN"/>
              </w:rPr>
              <w:t>审议和</w:t>
            </w:r>
            <w:r w:rsidRPr="002308C1">
              <w:rPr>
                <w:rFonts w:hint="eastAsia"/>
                <w:lang w:eastAsia="zh-CN"/>
              </w:rPr>
              <w:t>修订的建议文稿</w:t>
            </w:r>
          </w:p>
        </w:tc>
      </w:tr>
    </w:tbl>
    <w:p w:rsidR="0088298D" w:rsidRPr="0047146E" w:rsidRDefault="0088298D" w:rsidP="0088298D">
      <w:pPr>
        <w:pStyle w:val="Heading1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ab/>
      </w:r>
      <w:r w:rsidRPr="0047146E">
        <w:rPr>
          <w:rFonts w:hint="eastAsia"/>
          <w:lang w:eastAsia="zh-CN"/>
        </w:rPr>
        <w:t>引言</w:t>
      </w:r>
    </w:p>
    <w:p w:rsidR="0088298D" w:rsidRDefault="0088298D" w:rsidP="0088298D">
      <w:pPr>
        <w:ind w:firstLineChars="200" w:firstLine="480"/>
        <w:rPr>
          <w:lang w:eastAsia="zh-CN"/>
        </w:rPr>
      </w:pPr>
      <w:r w:rsidRPr="0047146E">
        <w:rPr>
          <w:lang w:eastAsia="zh-CN"/>
        </w:rPr>
        <w:t>国际电联</w:t>
      </w:r>
      <w:r w:rsidRPr="0047146E">
        <w:rPr>
          <w:lang w:eastAsia="zh-CN"/>
        </w:rPr>
        <w:t>150</w:t>
      </w:r>
      <w:r w:rsidRPr="0047146E">
        <w:rPr>
          <w:lang w:eastAsia="zh-CN"/>
        </w:rPr>
        <w:t>多年以来为全球通信事业发展起到了重大推动作用，国际电联所起的作用</w:t>
      </w:r>
      <w:r w:rsidRPr="0047146E">
        <w:rPr>
          <w:rFonts w:hint="eastAsia"/>
          <w:lang w:eastAsia="zh-CN"/>
        </w:rPr>
        <w:t>是</w:t>
      </w:r>
      <w:r w:rsidRPr="0047146E">
        <w:rPr>
          <w:lang w:eastAsia="zh-CN"/>
        </w:rPr>
        <w:t>任何其它组织</w:t>
      </w:r>
      <w:r w:rsidRPr="0047146E">
        <w:rPr>
          <w:rFonts w:hint="eastAsia"/>
          <w:lang w:eastAsia="zh-CN"/>
        </w:rPr>
        <w:t>所</w:t>
      </w:r>
      <w:r w:rsidRPr="0047146E">
        <w:rPr>
          <w:lang w:eastAsia="zh-CN"/>
        </w:rPr>
        <w:t>无法代替</w:t>
      </w:r>
      <w:r w:rsidRPr="0047146E">
        <w:rPr>
          <w:rFonts w:hint="eastAsia"/>
          <w:lang w:eastAsia="zh-CN"/>
        </w:rPr>
        <w:t>。</w:t>
      </w:r>
      <w:r w:rsidRPr="0047146E">
        <w:rPr>
          <w:lang w:eastAsia="zh-CN"/>
        </w:rPr>
        <w:t>未来，</w:t>
      </w:r>
      <w:r w:rsidRPr="0047146E">
        <w:rPr>
          <w:rFonts w:hint="eastAsia"/>
          <w:lang w:eastAsia="zh-CN"/>
        </w:rPr>
        <w:t>我们</w:t>
      </w:r>
      <w:r w:rsidRPr="0047146E">
        <w:rPr>
          <w:lang w:eastAsia="zh-CN"/>
        </w:rPr>
        <w:t>相信国际电联</w:t>
      </w:r>
      <w:r w:rsidRPr="0047146E">
        <w:rPr>
          <w:rFonts w:hint="eastAsia"/>
          <w:lang w:eastAsia="zh-CN"/>
        </w:rPr>
        <w:t>仍</w:t>
      </w:r>
      <w:r w:rsidRPr="0047146E">
        <w:rPr>
          <w:lang w:eastAsia="zh-CN"/>
        </w:rPr>
        <w:t>将继续发挥其独特作用，履行时代所赋于的重大历史责任！</w:t>
      </w:r>
    </w:p>
    <w:p w:rsidR="0088298D" w:rsidRPr="0047146E" w:rsidRDefault="0088298D" w:rsidP="0088298D">
      <w:pPr>
        <w:ind w:firstLineChars="200" w:firstLine="480"/>
        <w:rPr>
          <w:lang w:eastAsia="zh-CN"/>
        </w:rPr>
      </w:pPr>
      <w:r w:rsidRPr="0047146E">
        <w:rPr>
          <w:lang w:eastAsia="zh-CN"/>
        </w:rPr>
        <w:t>目前，</w:t>
      </w:r>
      <w:r w:rsidRPr="0047146E">
        <w:rPr>
          <w:rFonts w:hint="eastAsia"/>
          <w:lang w:eastAsia="zh-CN"/>
        </w:rPr>
        <w:t>对</w:t>
      </w:r>
      <w:r w:rsidRPr="0047146E">
        <w:rPr>
          <w:lang w:eastAsia="zh-CN"/>
        </w:rPr>
        <w:t>国际电联起重要支柱作用的</w:t>
      </w:r>
      <w:r w:rsidRPr="0047146E">
        <w:rPr>
          <w:rFonts w:hint="eastAsia"/>
          <w:lang w:eastAsia="zh-CN"/>
        </w:rPr>
        <w:t>重要</w:t>
      </w:r>
      <w:r w:rsidRPr="0047146E">
        <w:rPr>
          <w:lang w:eastAsia="zh-CN"/>
        </w:rPr>
        <w:t>法律文件之一</w:t>
      </w:r>
      <w:r>
        <w:rPr>
          <w:rFonts w:hint="eastAsia"/>
          <w:lang w:eastAsia="zh-CN"/>
        </w:rPr>
        <w:t>——</w:t>
      </w:r>
      <w:r w:rsidRPr="0047146E">
        <w:rPr>
          <w:lang w:eastAsia="zh-CN"/>
        </w:rPr>
        <w:t>国际电信规则</w:t>
      </w:r>
      <w:r>
        <w:rPr>
          <w:lang w:eastAsia="zh-CN"/>
        </w:rPr>
        <w:t>（</w:t>
      </w:r>
      <w:r w:rsidRPr="0047146E">
        <w:rPr>
          <w:lang w:eastAsia="zh-CN"/>
        </w:rPr>
        <w:t>lTR</w:t>
      </w:r>
      <w:r>
        <w:rPr>
          <w:lang w:eastAsia="zh-CN"/>
        </w:rPr>
        <w:t>）</w:t>
      </w:r>
      <w:r w:rsidRPr="0047146E">
        <w:rPr>
          <w:lang w:eastAsia="zh-CN"/>
        </w:rPr>
        <w:t>面临着十分尴尬</w:t>
      </w:r>
      <w:r w:rsidRPr="0047146E">
        <w:rPr>
          <w:rFonts w:hint="eastAsia"/>
          <w:lang w:eastAsia="zh-CN"/>
        </w:rPr>
        <w:t>的</w:t>
      </w:r>
      <w:r w:rsidRPr="0047146E">
        <w:rPr>
          <w:lang w:eastAsia="zh-CN"/>
        </w:rPr>
        <w:t>局面</w:t>
      </w:r>
      <w:r w:rsidR="00AC460A">
        <w:rPr>
          <w:lang w:eastAsia="zh-CN"/>
        </w:rPr>
        <w:t>（</w:t>
      </w:r>
      <w:r w:rsidRPr="0047146E">
        <w:rPr>
          <w:rFonts w:hint="eastAsia"/>
          <w:lang w:eastAsia="zh-CN"/>
        </w:rPr>
        <w:t>成员国</w:t>
      </w:r>
      <w:r w:rsidRPr="0047146E">
        <w:rPr>
          <w:lang w:eastAsia="zh-CN"/>
        </w:rPr>
        <w:t>一半</w:t>
      </w:r>
      <w:bookmarkStart w:id="3" w:name="_GoBack"/>
      <w:bookmarkEnd w:id="3"/>
      <w:r w:rsidRPr="0047146E">
        <w:rPr>
          <w:lang w:eastAsia="zh-CN"/>
        </w:rPr>
        <w:t>国家签署另一半国家未签署</w:t>
      </w:r>
      <w:r w:rsidR="00AC460A">
        <w:rPr>
          <w:lang w:eastAsia="zh-CN"/>
        </w:rPr>
        <w:t>）</w:t>
      </w:r>
      <w:r w:rsidRPr="0047146E">
        <w:rPr>
          <w:lang w:eastAsia="zh-CN"/>
        </w:rPr>
        <w:t>。我们</w:t>
      </w:r>
      <w:r w:rsidRPr="0047146E">
        <w:rPr>
          <w:rFonts w:hint="eastAsia"/>
          <w:lang w:eastAsia="zh-CN"/>
        </w:rPr>
        <w:t>认为各成员国、部门成员都需要</w:t>
      </w:r>
      <w:r w:rsidRPr="0047146E">
        <w:rPr>
          <w:lang w:eastAsia="zh-CN"/>
        </w:rPr>
        <w:t>面对</w:t>
      </w:r>
      <w:r w:rsidRPr="0047146E">
        <w:rPr>
          <w:rFonts w:hint="eastAsia"/>
          <w:lang w:eastAsia="zh-CN"/>
        </w:rPr>
        <w:t>这一</w:t>
      </w:r>
      <w:r w:rsidRPr="0047146E">
        <w:rPr>
          <w:lang w:eastAsia="zh-CN"/>
        </w:rPr>
        <w:t>现实，</w:t>
      </w:r>
      <w:r w:rsidRPr="0047146E">
        <w:rPr>
          <w:rFonts w:hint="eastAsia"/>
          <w:lang w:eastAsia="zh-CN"/>
        </w:rPr>
        <w:t>寻求解决方案。</w:t>
      </w:r>
      <w:r w:rsidRPr="0047146E">
        <w:rPr>
          <w:lang w:eastAsia="zh-CN"/>
        </w:rPr>
        <w:t>只有</w:t>
      </w:r>
      <w:r w:rsidRPr="0047146E">
        <w:rPr>
          <w:rFonts w:hint="eastAsia"/>
          <w:lang w:eastAsia="zh-CN"/>
        </w:rPr>
        <w:t>当我们能够</w:t>
      </w:r>
      <w:r w:rsidRPr="0047146E">
        <w:rPr>
          <w:lang w:eastAsia="zh-CN"/>
        </w:rPr>
        <w:t>正视现状，才能</w:t>
      </w:r>
      <w:r w:rsidRPr="0047146E">
        <w:rPr>
          <w:rFonts w:hint="eastAsia"/>
          <w:lang w:eastAsia="zh-CN"/>
        </w:rPr>
        <w:t>考虑怎么</w:t>
      </w:r>
      <w:r w:rsidRPr="0047146E">
        <w:rPr>
          <w:lang w:eastAsia="zh-CN"/>
        </w:rPr>
        <w:t>真正改变现状。</w:t>
      </w:r>
      <w:r w:rsidRPr="0047146E">
        <w:rPr>
          <w:rFonts w:hint="eastAsia"/>
          <w:lang w:eastAsia="zh-CN"/>
        </w:rPr>
        <w:t>如果现状就这样保持下去，毫无疑问，无助于继续发挥国际电联应有的作用。</w:t>
      </w:r>
    </w:p>
    <w:p w:rsidR="0088298D" w:rsidRPr="0047146E" w:rsidRDefault="0088298D" w:rsidP="0088298D">
      <w:pPr>
        <w:pStyle w:val="Heading1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ab/>
      </w:r>
      <w:r w:rsidRPr="0047146E">
        <w:rPr>
          <w:rFonts w:hint="eastAsia"/>
          <w:lang w:eastAsia="zh-CN"/>
        </w:rPr>
        <w:t>需要</w:t>
      </w:r>
    </w:p>
    <w:p w:rsidR="0088298D" w:rsidRPr="0047146E" w:rsidRDefault="0088298D" w:rsidP="0088298D">
      <w:pPr>
        <w:ind w:firstLineChars="200" w:firstLine="480"/>
        <w:rPr>
          <w:lang w:eastAsia="zh-CN"/>
        </w:rPr>
      </w:pPr>
      <w:r w:rsidRPr="0047146E">
        <w:rPr>
          <w:rFonts w:hint="eastAsia"/>
          <w:lang w:eastAsia="zh-CN"/>
        </w:rPr>
        <w:t>全球电信</w:t>
      </w:r>
      <w:r w:rsidRPr="0047146E">
        <w:rPr>
          <w:rFonts w:hint="eastAsia"/>
          <w:lang w:eastAsia="zh-CN"/>
        </w:rPr>
        <w:t>/ICT</w:t>
      </w:r>
      <w:r w:rsidRPr="0047146E">
        <w:rPr>
          <w:rFonts w:hint="eastAsia"/>
          <w:lang w:eastAsia="zh-CN"/>
        </w:rPr>
        <w:t>业务蓬勃发展，电信基础设施和网络技术的进步日新月异，新业务新应用前景广阔。对于电信运营商来说，急需出台一部适应当前电信业务发展的法律框架性文件</w:t>
      </w:r>
      <w:r>
        <w:rPr>
          <w:rFonts w:hint="eastAsia"/>
          <w:lang w:eastAsia="zh-CN"/>
        </w:rPr>
        <w:t>——</w:t>
      </w:r>
      <w:r w:rsidRPr="0047146E">
        <w:rPr>
          <w:rFonts w:hint="eastAsia"/>
          <w:lang w:eastAsia="zh-CN"/>
        </w:rPr>
        <w:t>国际电信规则，以便于能够有效指导各国电信</w:t>
      </w:r>
      <w:r w:rsidRPr="0047146E">
        <w:rPr>
          <w:rFonts w:hint="eastAsia"/>
          <w:lang w:eastAsia="zh-CN"/>
        </w:rPr>
        <w:t>/ICT</w:t>
      </w:r>
      <w:r w:rsidRPr="0047146E">
        <w:rPr>
          <w:rFonts w:hint="eastAsia"/>
          <w:lang w:eastAsia="zh-CN"/>
        </w:rPr>
        <w:t>业务具体实践，从而极大促进电信事业大发展。</w:t>
      </w:r>
    </w:p>
    <w:p w:rsidR="0088298D" w:rsidRPr="0047146E" w:rsidRDefault="0088298D" w:rsidP="0088298D">
      <w:pPr>
        <w:ind w:firstLineChars="200" w:firstLine="480"/>
        <w:rPr>
          <w:lang w:eastAsia="zh-CN"/>
        </w:rPr>
      </w:pPr>
      <w:r w:rsidRPr="0047146E">
        <w:rPr>
          <w:rFonts w:hint="eastAsia"/>
          <w:lang w:eastAsia="zh-CN"/>
        </w:rPr>
        <w:t>当前，各国电信运营企业不仅面临重要发展任务，而且还面临影响发展的各种严峻挑战，例如，电信欺诈、网络犯罪、恐怖主义分子利用网络的广泛转播能力发展恐怖势力，严重威胁许多国家乃至全人类的和平与安全。</w:t>
      </w:r>
    </w:p>
    <w:p w:rsidR="0088298D" w:rsidRPr="0047146E" w:rsidRDefault="0088298D" w:rsidP="0088298D">
      <w:pPr>
        <w:ind w:firstLineChars="200" w:firstLine="480"/>
        <w:rPr>
          <w:lang w:eastAsia="zh-CN"/>
        </w:rPr>
      </w:pPr>
      <w:r w:rsidRPr="0047146E">
        <w:rPr>
          <w:rFonts w:hint="eastAsia"/>
          <w:lang w:eastAsia="zh-CN"/>
        </w:rPr>
        <w:t>要解决全球共性问题，需要各个成员</w:t>
      </w:r>
      <w:r>
        <w:rPr>
          <w:rFonts w:hint="eastAsia"/>
          <w:lang w:eastAsia="zh-CN"/>
        </w:rPr>
        <w:t>国重新认识每个成员国都是人类命运共同体的一份</w:t>
      </w:r>
      <w:r w:rsidRPr="0047146E">
        <w:rPr>
          <w:rFonts w:hint="eastAsia"/>
          <w:lang w:eastAsia="zh-CN"/>
        </w:rPr>
        <w:t>子，每个成员国都应该为此不懈努力。所以，国际电联成员国要加强国际协调与合作，通过不懈共同努力，共同协商解决问题的办法，共同促进电信业务的健康发展。</w:t>
      </w:r>
    </w:p>
    <w:p w:rsidR="0088298D" w:rsidRPr="0047146E" w:rsidRDefault="0088298D" w:rsidP="0088298D">
      <w:pPr>
        <w:pStyle w:val="Heading1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ab/>
      </w:r>
      <w:r w:rsidRPr="0047146E">
        <w:rPr>
          <w:rFonts w:hint="eastAsia"/>
          <w:lang w:eastAsia="zh-CN"/>
        </w:rPr>
        <w:t>建议</w:t>
      </w:r>
    </w:p>
    <w:p w:rsidR="0088298D" w:rsidRPr="0047146E" w:rsidRDefault="0088298D" w:rsidP="0088298D">
      <w:pPr>
        <w:ind w:firstLineChars="200" w:firstLine="480"/>
        <w:rPr>
          <w:lang w:eastAsia="zh-CN"/>
        </w:rPr>
      </w:pPr>
      <w:r w:rsidRPr="0047146E">
        <w:rPr>
          <w:rFonts w:hint="eastAsia"/>
          <w:lang w:eastAsia="zh-CN"/>
        </w:rPr>
        <w:t>国际电联要认真研究：</w:t>
      </w:r>
    </w:p>
    <w:p w:rsidR="0088298D" w:rsidRPr="0047146E" w:rsidRDefault="0088298D" w:rsidP="0088298D">
      <w:pPr>
        <w:pStyle w:val="Headingb"/>
        <w:rPr>
          <w:lang w:eastAsia="zh-CN"/>
        </w:rPr>
      </w:pPr>
      <w:r>
        <w:rPr>
          <w:lang w:eastAsia="zh-CN"/>
        </w:rPr>
        <w:t>1</w:t>
      </w:r>
      <w:r>
        <w:rPr>
          <w:lang w:val="en-US" w:eastAsia="zh-CN"/>
        </w:rPr>
        <w:t>)</w:t>
      </w:r>
      <w:r>
        <w:rPr>
          <w:lang w:eastAsia="zh-CN"/>
        </w:rPr>
        <w:tab/>
      </w:r>
      <w:r w:rsidRPr="0047146E">
        <w:rPr>
          <w:rFonts w:hint="eastAsia"/>
          <w:lang w:eastAsia="zh-CN"/>
        </w:rPr>
        <w:t>研究电信新趋势</w:t>
      </w:r>
    </w:p>
    <w:p w:rsidR="0088298D" w:rsidRPr="0047146E" w:rsidRDefault="0088298D" w:rsidP="0088298D">
      <w:pPr>
        <w:ind w:firstLineChars="200" w:firstLine="480"/>
        <w:rPr>
          <w:lang w:eastAsia="zh-CN"/>
        </w:rPr>
      </w:pPr>
      <w:r w:rsidRPr="0047146E">
        <w:rPr>
          <w:rFonts w:hint="eastAsia"/>
          <w:lang w:eastAsia="zh-CN"/>
        </w:rPr>
        <w:t>全球电信</w:t>
      </w:r>
      <w:r w:rsidRPr="0047146E">
        <w:rPr>
          <w:rFonts w:hint="eastAsia"/>
          <w:lang w:eastAsia="zh-CN"/>
        </w:rPr>
        <w:t>/ICT</w:t>
      </w:r>
      <w:r w:rsidRPr="0047146E">
        <w:rPr>
          <w:rFonts w:hint="eastAsia"/>
          <w:lang w:eastAsia="zh-CN"/>
        </w:rPr>
        <w:t>业务蓬勃发展，电信基础设施和网络技术的进步日新月异，新业务新应用前景广阔。国际电联要研究电信业务新发展带来的新问题，通过达成国际共识，形成法律框架文件，指导各国电信</w:t>
      </w:r>
      <w:r w:rsidRPr="0047146E">
        <w:rPr>
          <w:rFonts w:hint="eastAsia"/>
          <w:lang w:eastAsia="zh-CN"/>
        </w:rPr>
        <w:t>/ICT</w:t>
      </w:r>
      <w:r w:rsidRPr="0047146E">
        <w:rPr>
          <w:rFonts w:hint="eastAsia"/>
          <w:lang w:eastAsia="zh-CN"/>
        </w:rPr>
        <w:t>业务具体实践，促进电信事业大发展。</w:t>
      </w:r>
    </w:p>
    <w:p w:rsidR="0088298D" w:rsidRPr="0047146E" w:rsidRDefault="0088298D" w:rsidP="0088298D">
      <w:pPr>
        <w:ind w:firstLineChars="200" w:firstLine="480"/>
        <w:rPr>
          <w:lang w:eastAsia="zh-CN"/>
        </w:rPr>
      </w:pPr>
      <w:r w:rsidRPr="0047146E">
        <w:rPr>
          <w:rFonts w:hint="eastAsia"/>
          <w:lang w:eastAsia="zh-CN"/>
        </w:rPr>
        <w:lastRenderedPageBreak/>
        <w:t>例如，</w:t>
      </w:r>
      <w:r w:rsidRPr="0047146E">
        <w:rPr>
          <w:lang w:eastAsia="zh-CN"/>
        </w:rPr>
        <w:t>OTT</w:t>
      </w:r>
      <w:r w:rsidRPr="0047146E">
        <w:rPr>
          <w:rFonts w:hint="eastAsia"/>
          <w:lang w:eastAsia="zh-CN"/>
        </w:rPr>
        <w:t>语音应用存在极大的网络信息安全隐患。当前用户注册使用</w:t>
      </w:r>
      <w:r w:rsidRPr="0047146E">
        <w:rPr>
          <w:lang w:eastAsia="zh-CN"/>
        </w:rPr>
        <w:t>OTT</w:t>
      </w:r>
      <w:r w:rsidRPr="0047146E">
        <w:rPr>
          <w:rFonts w:hint="eastAsia"/>
          <w:lang w:eastAsia="zh-CN"/>
        </w:rPr>
        <w:t>语音应用无需经过真实身份认证，一旦发生安全问题将无法进行追踪溯源。</w:t>
      </w:r>
    </w:p>
    <w:p w:rsidR="0088298D" w:rsidRPr="0047146E" w:rsidRDefault="0088298D" w:rsidP="0088298D">
      <w:pPr>
        <w:ind w:firstLineChars="200" w:firstLine="480"/>
        <w:rPr>
          <w:lang w:eastAsia="zh-CN"/>
        </w:rPr>
      </w:pPr>
      <w:r w:rsidRPr="0047146E">
        <w:rPr>
          <w:rFonts w:hint="eastAsia"/>
          <w:lang w:eastAsia="zh-CN"/>
        </w:rPr>
        <w:t>在新业务准入方面，例如</w:t>
      </w:r>
      <w:r w:rsidRPr="0047146E">
        <w:rPr>
          <w:rFonts w:hint="eastAsia"/>
          <w:lang w:eastAsia="zh-CN"/>
        </w:rPr>
        <w:t>OTT</w:t>
      </w:r>
      <w:r w:rsidRPr="0047146E">
        <w:rPr>
          <w:rFonts w:hint="eastAsia"/>
          <w:lang w:eastAsia="zh-CN"/>
        </w:rPr>
        <w:t>业务实际上实现的点对点的通信，无论采用何种技术实现，都必须具有相应的运营资质。基础电信运营企业承担了普遍服务的义务，</w:t>
      </w:r>
      <w:r w:rsidRPr="0047146E">
        <w:rPr>
          <w:lang w:eastAsia="zh-CN"/>
        </w:rPr>
        <w:t>OTT</w:t>
      </w:r>
      <w:r w:rsidRPr="0047146E">
        <w:rPr>
          <w:rFonts w:hint="eastAsia"/>
          <w:lang w:eastAsia="zh-CN"/>
        </w:rPr>
        <w:t>业务的运营商也应通过一定的机制承担促进普遍服务的责任。</w:t>
      </w:r>
    </w:p>
    <w:p w:rsidR="0088298D" w:rsidRPr="0047146E" w:rsidRDefault="0088298D" w:rsidP="0088298D">
      <w:pPr>
        <w:pStyle w:val="Headingb"/>
        <w:rPr>
          <w:lang w:eastAsia="zh-CN"/>
        </w:rPr>
      </w:pPr>
      <w:r>
        <w:rPr>
          <w:rFonts w:hint="eastAsia"/>
          <w:lang w:eastAsia="zh-CN"/>
        </w:rPr>
        <w:t>2)</w:t>
      </w:r>
      <w:r>
        <w:rPr>
          <w:rFonts w:hint="eastAsia"/>
          <w:lang w:eastAsia="zh-CN"/>
        </w:rPr>
        <w:tab/>
      </w:r>
      <w:r w:rsidRPr="0047146E">
        <w:rPr>
          <w:rFonts w:hint="eastAsia"/>
          <w:lang w:eastAsia="zh-CN"/>
        </w:rPr>
        <w:t>制定新规则</w:t>
      </w:r>
    </w:p>
    <w:p w:rsidR="0088298D" w:rsidRPr="0047146E" w:rsidRDefault="0088298D" w:rsidP="0088298D">
      <w:pPr>
        <w:ind w:firstLineChars="200" w:firstLine="480"/>
        <w:rPr>
          <w:lang w:eastAsia="zh-CN"/>
        </w:rPr>
      </w:pPr>
      <w:r w:rsidRPr="0047146E">
        <w:rPr>
          <w:rFonts w:hint="eastAsia"/>
          <w:lang w:eastAsia="zh-CN"/>
        </w:rPr>
        <w:t>考虑重新修订国际</w:t>
      </w:r>
      <w:r w:rsidRPr="0047146E">
        <w:rPr>
          <w:lang w:eastAsia="zh-CN"/>
        </w:rPr>
        <w:t>电信规则</w:t>
      </w:r>
      <w:r w:rsidRPr="0047146E">
        <w:rPr>
          <w:rFonts w:hint="eastAsia"/>
          <w:lang w:eastAsia="zh-CN"/>
        </w:rPr>
        <w:t>，增加新的内容，制定原则框架文件，</w:t>
      </w:r>
      <w:r w:rsidRPr="0047146E">
        <w:rPr>
          <w:lang w:eastAsia="zh-CN"/>
        </w:rPr>
        <w:t>使各国政府在监管、政策制定</w:t>
      </w:r>
      <w:r w:rsidRPr="0047146E">
        <w:rPr>
          <w:rFonts w:hint="eastAsia"/>
          <w:lang w:eastAsia="zh-CN"/>
        </w:rPr>
        <w:t>等</w:t>
      </w:r>
      <w:r w:rsidRPr="0047146E">
        <w:rPr>
          <w:lang w:eastAsia="zh-CN"/>
        </w:rPr>
        <w:t>方面有</w:t>
      </w:r>
      <w:r w:rsidRPr="0047146E">
        <w:rPr>
          <w:rFonts w:hint="eastAsia"/>
          <w:lang w:eastAsia="zh-CN"/>
        </w:rPr>
        <w:t>具体的</w:t>
      </w:r>
      <w:r w:rsidRPr="0047146E">
        <w:rPr>
          <w:lang w:eastAsia="zh-CN"/>
        </w:rPr>
        <w:t>国际</w:t>
      </w:r>
      <w:r w:rsidRPr="0047146E">
        <w:rPr>
          <w:rFonts w:hint="eastAsia"/>
          <w:lang w:eastAsia="zh-CN"/>
        </w:rPr>
        <w:t>电信法规作为</w:t>
      </w:r>
      <w:r w:rsidRPr="0047146E">
        <w:rPr>
          <w:lang w:eastAsia="zh-CN"/>
        </w:rPr>
        <w:t>参照。</w:t>
      </w:r>
    </w:p>
    <w:p w:rsidR="0088298D" w:rsidRPr="0047146E" w:rsidRDefault="0088298D" w:rsidP="0088298D">
      <w:pPr>
        <w:pStyle w:val="Headingb"/>
        <w:rPr>
          <w:lang w:eastAsia="zh-CN"/>
        </w:rPr>
      </w:pPr>
      <w:r>
        <w:rPr>
          <w:rFonts w:hint="eastAsia"/>
          <w:lang w:eastAsia="zh-CN"/>
        </w:rPr>
        <w:t>3)</w:t>
      </w:r>
      <w:r>
        <w:rPr>
          <w:rFonts w:hint="eastAsia"/>
          <w:lang w:eastAsia="zh-CN"/>
        </w:rPr>
        <w:tab/>
      </w:r>
      <w:r w:rsidRPr="0047146E">
        <w:rPr>
          <w:rFonts w:hint="eastAsia"/>
          <w:lang w:eastAsia="zh-CN"/>
        </w:rPr>
        <w:t>推动研究，达成共识</w:t>
      </w:r>
    </w:p>
    <w:p w:rsidR="0088298D" w:rsidRDefault="0088298D" w:rsidP="0088298D">
      <w:pPr>
        <w:ind w:firstLineChars="200" w:firstLine="480"/>
        <w:rPr>
          <w:lang w:eastAsia="zh-CN"/>
        </w:rPr>
      </w:pPr>
      <w:r w:rsidRPr="0047146E">
        <w:rPr>
          <w:rFonts w:hint="eastAsia"/>
          <w:lang w:eastAsia="zh-CN"/>
        </w:rPr>
        <w:t>邀请和鼓励成员国部门成员积极研究国际电信规则，提交建设性意见和建议，推动各方达成共识，共同解决电信发展中遇到的实际问题。</w:t>
      </w:r>
    </w:p>
    <w:p w:rsidR="0088298D" w:rsidRPr="0047146E" w:rsidRDefault="0088298D" w:rsidP="0088298D">
      <w:pPr>
        <w:ind w:firstLineChars="200" w:firstLine="480"/>
        <w:rPr>
          <w:rFonts w:hint="eastAsia"/>
          <w:lang w:eastAsia="zh-CN"/>
        </w:rPr>
      </w:pPr>
    </w:p>
    <w:p w:rsidR="00876FB3" w:rsidRDefault="00876FB3" w:rsidP="00876FB3">
      <w:pPr>
        <w:jc w:val="center"/>
      </w:pPr>
      <w:r>
        <w:t>______________</w:t>
      </w:r>
    </w:p>
    <w:p w:rsidR="00195FED" w:rsidRDefault="00195FED" w:rsidP="00876FB3">
      <w:pPr>
        <w:pStyle w:val="ListParagraph"/>
        <w:ind w:left="0"/>
        <w:jc w:val="center"/>
        <w:rPr>
          <w:lang w:eastAsia="zh-CN"/>
        </w:rPr>
      </w:pPr>
    </w:p>
    <w:sectPr w:rsidR="00195FED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FB3" w:rsidRDefault="00876FB3">
      <w:r>
        <w:separator/>
      </w:r>
    </w:p>
  </w:endnote>
  <w:endnote w:type="continuationSeparator" w:id="0">
    <w:p w:rsidR="00876FB3" w:rsidRDefault="0087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4E4BFF" w:rsidRDefault="00AA7356" w:rsidP="00AC460A">
    <w:pPr>
      <w:pStyle w:val="Footer"/>
    </w:pPr>
    <w:fldSimple w:instr=" FILENAME \p  \* MERGEFORMAT ">
      <w:r w:rsidR="00AC460A">
        <w:t>P:\CHI\SG\CONSEIL\EG-ITR\EG-ITR-3\DIV\003C.docx</w:t>
      </w:r>
    </w:fldSimple>
    <w:r w:rsidR="004E4BFF">
      <w:t xml:space="preserve"> (</w:t>
    </w:r>
    <w:r w:rsidR="00A40912">
      <w:t>42966</w:t>
    </w:r>
    <w:r w:rsidR="00AC460A">
      <w:t>2</w:t>
    </w:r>
    <w:r w:rsidR="004E4BFF">
      <w:t>)</w:t>
    </w:r>
    <w:r w:rsidR="004E4BFF">
      <w:tab/>
    </w:r>
    <w:r w:rsidR="004E4BFF">
      <w:fldChar w:fldCharType="begin"/>
    </w:r>
    <w:r w:rsidR="004E4BFF">
      <w:instrText xml:space="preserve"> SAVEDATE \@ DD.MM.YY </w:instrText>
    </w:r>
    <w:r w:rsidR="004E4BFF">
      <w:fldChar w:fldCharType="separate"/>
    </w:r>
    <w:r w:rsidR="0088298D">
      <w:t>06.12.17</w:t>
    </w:r>
    <w:r w:rsidR="004E4BFF">
      <w:fldChar w:fldCharType="end"/>
    </w:r>
    <w:r w:rsidR="004E4BFF">
      <w:tab/>
    </w:r>
    <w:r w:rsidR="004E4BFF">
      <w:fldChar w:fldCharType="begin"/>
    </w:r>
    <w:r w:rsidR="004E4BFF">
      <w:instrText xml:space="preserve"> PRINTDATE \@ DD.MM.YY </w:instrText>
    </w:r>
    <w:r w:rsidR="004E4BFF">
      <w:fldChar w:fldCharType="separate"/>
    </w:r>
    <w:r w:rsidR="00876FB3">
      <w:t>24.02.15</w:t>
    </w:r>
    <w:r w:rsidR="004E4BF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FB3" w:rsidRDefault="00876FB3">
      <w:r>
        <w:t>____________________</w:t>
      </w:r>
    </w:p>
  </w:footnote>
  <w:footnote w:type="continuationSeparator" w:id="0">
    <w:p w:rsidR="00876FB3" w:rsidRDefault="00876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876FB3">
    <w:pPr>
      <w:pStyle w:val="Header"/>
    </w:pPr>
    <w:r>
      <w:fldChar w:fldCharType="begin"/>
    </w:r>
    <w:r>
      <w:instrText>PAGE</w:instrText>
    </w:r>
    <w:r>
      <w:fldChar w:fldCharType="separate"/>
    </w:r>
    <w:r w:rsidR="00AC460A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B3"/>
    <w:rsid w:val="00001B77"/>
    <w:rsid w:val="0000517A"/>
    <w:rsid w:val="00031E72"/>
    <w:rsid w:val="000404D2"/>
    <w:rsid w:val="000853C0"/>
    <w:rsid w:val="000A1C21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80EB8"/>
    <w:rsid w:val="002A6670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73A3"/>
    <w:rsid w:val="0086059C"/>
    <w:rsid w:val="00864589"/>
    <w:rsid w:val="00876FB3"/>
    <w:rsid w:val="0088298D"/>
    <w:rsid w:val="00890AFB"/>
    <w:rsid w:val="00890FC4"/>
    <w:rsid w:val="00895905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40912"/>
    <w:rsid w:val="00A5354B"/>
    <w:rsid w:val="00AA7356"/>
    <w:rsid w:val="00AB42C1"/>
    <w:rsid w:val="00AC460A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64E4E"/>
    <w:rsid w:val="00C66E64"/>
    <w:rsid w:val="00C761A0"/>
    <w:rsid w:val="00C85F7E"/>
    <w:rsid w:val="00CD47F0"/>
    <w:rsid w:val="00CD5566"/>
    <w:rsid w:val="00CD64D7"/>
    <w:rsid w:val="00CE6F22"/>
    <w:rsid w:val="00CF41F6"/>
    <w:rsid w:val="00CF7D3E"/>
    <w:rsid w:val="00D02B4E"/>
    <w:rsid w:val="00D36817"/>
    <w:rsid w:val="00D5666C"/>
    <w:rsid w:val="00D666BC"/>
    <w:rsid w:val="00D81264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D4B5DF6-77DE-4ADC-A38F-10D9E5E9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443B7-D681-426D-AA28-6FD16997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PC_EG-ITR.dotx</Template>
  <TotalTime>1</TotalTime>
  <Pages>2</Pages>
  <Words>1057</Words>
  <Characters>127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1182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Zheng, Bingy</dc:creator>
  <cp:keywords>C2004, C04</cp:keywords>
  <dc:description>C05/xx-C  For: _x000d_Document date: _x000d_Saved by CHI42772 at 09:12:08 on 10/02/2005</dc:description>
  <cp:lastModifiedBy>Zheng, Bingyue</cp:lastModifiedBy>
  <cp:revision>3</cp:revision>
  <cp:lastPrinted>2015-02-24T13:23:00Z</cp:lastPrinted>
  <dcterms:created xsi:type="dcterms:W3CDTF">2017-12-06T13:52:00Z</dcterms:created>
  <dcterms:modified xsi:type="dcterms:W3CDTF">2017-12-06T13:53:00Z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