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77E34">
        <w:trPr>
          <w:cantSplit/>
        </w:trPr>
        <w:tc>
          <w:tcPr>
            <w:tcW w:w="6912" w:type="dxa"/>
          </w:tcPr>
          <w:p w:rsidR="00520F36" w:rsidRPr="00A77E34" w:rsidRDefault="00D76368" w:rsidP="00DD6DD4">
            <w:pPr>
              <w:spacing w:before="360"/>
            </w:pPr>
            <w:r w:rsidRPr="00A77E34">
              <w:rPr>
                <w:b/>
                <w:bCs/>
                <w:sz w:val="30"/>
                <w:szCs w:val="30"/>
              </w:rPr>
              <w:t>Groupe de travail du Conseil</w:t>
            </w:r>
            <w:r w:rsidRPr="00A77E34">
              <w:rPr>
                <w:b/>
                <w:bCs/>
                <w:color w:val="000000"/>
                <w:sz w:val="30"/>
                <w:szCs w:val="30"/>
              </w:rPr>
              <w:t xml:space="preserve"> chargé d</w:t>
            </w:r>
            <w:r w:rsidR="00C25A2E" w:rsidRPr="00A77E34">
              <w:rPr>
                <w:b/>
                <w:bCs/>
                <w:color w:val="000000"/>
                <w:sz w:val="30"/>
                <w:szCs w:val="30"/>
              </w:rPr>
              <w:t>'</w:t>
            </w:r>
            <w:r w:rsidRPr="00A77E34">
              <w:rPr>
                <w:b/>
                <w:bCs/>
                <w:color w:val="000000"/>
                <w:sz w:val="30"/>
                <w:szCs w:val="30"/>
              </w:rPr>
              <w:t xml:space="preserve">élaborer </w:t>
            </w:r>
            <w:r w:rsidRPr="00A77E34">
              <w:rPr>
                <w:b/>
                <w:bCs/>
                <w:color w:val="000000"/>
                <w:sz w:val="30"/>
                <w:szCs w:val="30"/>
              </w:rPr>
              <w:br/>
              <w:t>le Plan stratégique et le Plan financier pour la période 2020-2023</w:t>
            </w:r>
          </w:p>
        </w:tc>
        <w:tc>
          <w:tcPr>
            <w:tcW w:w="3261" w:type="dxa"/>
          </w:tcPr>
          <w:p w:rsidR="00520F36" w:rsidRPr="00A77E34" w:rsidRDefault="00520F36" w:rsidP="00DD6DD4">
            <w:pPr>
              <w:spacing w:before="0"/>
              <w:jc w:val="right"/>
            </w:pPr>
            <w:bookmarkStart w:id="0" w:name="ditulogo"/>
            <w:bookmarkEnd w:id="0"/>
            <w:r w:rsidRPr="00A77E3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77E34" w:rsidTr="0093616B">
        <w:trPr>
          <w:cantSplit/>
          <w:trHeight w:val="20"/>
        </w:trPr>
        <w:tc>
          <w:tcPr>
            <w:tcW w:w="6912" w:type="dxa"/>
            <w:tcBorders>
              <w:bottom w:val="single" w:sz="12" w:space="0" w:color="auto"/>
            </w:tcBorders>
            <w:vAlign w:val="center"/>
          </w:tcPr>
          <w:p w:rsidR="00520F36" w:rsidRPr="00A77E34" w:rsidRDefault="002D3F5F" w:rsidP="00593E59">
            <w:pPr>
              <w:spacing w:before="60" w:after="60"/>
              <w:rPr>
                <w:b/>
                <w:bCs/>
                <w:szCs w:val="24"/>
              </w:rPr>
            </w:pPr>
            <w:r w:rsidRPr="00C828CB">
              <w:rPr>
                <w:b/>
                <w:bCs/>
                <w:szCs w:val="24"/>
              </w:rPr>
              <w:t>Troisième réunion – Genève, 15-16 janvier 2018</w:t>
            </w:r>
          </w:p>
        </w:tc>
        <w:tc>
          <w:tcPr>
            <w:tcW w:w="3261" w:type="dxa"/>
            <w:tcBorders>
              <w:bottom w:val="single" w:sz="12" w:space="0" w:color="auto"/>
            </w:tcBorders>
          </w:tcPr>
          <w:p w:rsidR="00520F36" w:rsidRPr="00A77E34" w:rsidRDefault="00520F36" w:rsidP="00DD6DD4">
            <w:pPr>
              <w:spacing w:before="0"/>
              <w:rPr>
                <w:b/>
                <w:bCs/>
              </w:rPr>
            </w:pPr>
          </w:p>
        </w:tc>
      </w:tr>
      <w:tr w:rsidR="00520F36" w:rsidRPr="00A77E34">
        <w:trPr>
          <w:cantSplit/>
          <w:trHeight w:val="20"/>
        </w:trPr>
        <w:tc>
          <w:tcPr>
            <w:tcW w:w="6912" w:type="dxa"/>
            <w:tcBorders>
              <w:top w:val="single" w:sz="12" w:space="0" w:color="auto"/>
            </w:tcBorders>
          </w:tcPr>
          <w:p w:rsidR="00520F36" w:rsidRPr="00A77E34" w:rsidRDefault="00520F36" w:rsidP="00DD6DD4">
            <w:pPr>
              <w:spacing w:before="0"/>
              <w:rPr>
                <w:smallCaps/>
                <w:sz w:val="22"/>
              </w:rPr>
            </w:pPr>
          </w:p>
        </w:tc>
        <w:tc>
          <w:tcPr>
            <w:tcW w:w="3261" w:type="dxa"/>
            <w:tcBorders>
              <w:top w:val="single" w:sz="12" w:space="0" w:color="auto"/>
            </w:tcBorders>
          </w:tcPr>
          <w:p w:rsidR="00520F36" w:rsidRPr="00A77E34" w:rsidRDefault="00520F36" w:rsidP="00DD6DD4">
            <w:pPr>
              <w:spacing w:before="0"/>
              <w:rPr>
                <w:b/>
                <w:bCs/>
              </w:rPr>
            </w:pPr>
          </w:p>
        </w:tc>
      </w:tr>
      <w:tr w:rsidR="00520F36" w:rsidRPr="00A77E34">
        <w:trPr>
          <w:cantSplit/>
          <w:trHeight w:val="20"/>
        </w:trPr>
        <w:tc>
          <w:tcPr>
            <w:tcW w:w="6912" w:type="dxa"/>
            <w:vMerge w:val="restart"/>
          </w:tcPr>
          <w:p w:rsidR="00520F36" w:rsidRPr="00A77E34" w:rsidRDefault="00520F36" w:rsidP="00DD6DD4">
            <w:pPr>
              <w:spacing w:before="0"/>
              <w:rPr>
                <w:rFonts w:cs="Times"/>
                <w:b/>
                <w:bCs/>
                <w:szCs w:val="24"/>
              </w:rPr>
            </w:pPr>
            <w:bookmarkStart w:id="1" w:name="dnum" w:colFirst="1" w:colLast="1"/>
            <w:bookmarkStart w:id="2" w:name="dmeeting" w:colFirst="0" w:colLast="0"/>
          </w:p>
        </w:tc>
        <w:tc>
          <w:tcPr>
            <w:tcW w:w="3261" w:type="dxa"/>
          </w:tcPr>
          <w:p w:rsidR="00520F36" w:rsidRPr="00A77E34" w:rsidRDefault="00520F36" w:rsidP="009242AC">
            <w:pPr>
              <w:spacing w:before="0"/>
              <w:rPr>
                <w:b/>
                <w:bCs/>
              </w:rPr>
            </w:pPr>
            <w:r w:rsidRPr="00A77E34">
              <w:rPr>
                <w:b/>
                <w:bCs/>
              </w:rPr>
              <w:t xml:space="preserve">Document </w:t>
            </w:r>
            <w:r w:rsidR="00F259ED">
              <w:rPr>
                <w:b/>
                <w:bCs/>
              </w:rPr>
              <w:t>CWG</w:t>
            </w:r>
            <w:r w:rsidR="006224B9" w:rsidRPr="00A77E34">
              <w:rPr>
                <w:b/>
                <w:bCs/>
              </w:rPr>
              <w:t>-SFP-</w:t>
            </w:r>
            <w:r w:rsidR="002D3F5F">
              <w:rPr>
                <w:b/>
                <w:bCs/>
              </w:rPr>
              <w:t>3</w:t>
            </w:r>
            <w:r w:rsidR="00D76368" w:rsidRPr="00A77E34">
              <w:rPr>
                <w:b/>
                <w:bCs/>
              </w:rPr>
              <w:t>/</w:t>
            </w:r>
            <w:r w:rsidR="002D3F5F">
              <w:rPr>
                <w:b/>
                <w:bCs/>
              </w:rPr>
              <w:t>1</w:t>
            </w:r>
            <w:r w:rsidR="009242AC">
              <w:rPr>
                <w:b/>
                <w:bCs/>
              </w:rPr>
              <w:t>7</w:t>
            </w:r>
            <w:r w:rsidRPr="00A77E34">
              <w:rPr>
                <w:b/>
                <w:bCs/>
              </w:rPr>
              <w:t>-F</w:t>
            </w:r>
          </w:p>
        </w:tc>
      </w:tr>
      <w:tr w:rsidR="00520F36" w:rsidRPr="00A77E34">
        <w:trPr>
          <w:cantSplit/>
          <w:trHeight w:val="20"/>
        </w:trPr>
        <w:tc>
          <w:tcPr>
            <w:tcW w:w="6912" w:type="dxa"/>
            <w:vMerge/>
          </w:tcPr>
          <w:p w:rsidR="00520F36" w:rsidRPr="00A77E34" w:rsidRDefault="00520F36" w:rsidP="00DD6DD4">
            <w:pPr>
              <w:shd w:val="solid" w:color="FFFFFF" w:fill="FFFFFF"/>
              <w:spacing w:before="180"/>
              <w:rPr>
                <w:smallCaps/>
              </w:rPr>
            </w:pPr>
            <w:bookmarkStart w:id="3" w:name="ddate" w:colFirst="1" w:colLast="1"/>
            <w:bookmarkEnd w:id="1"/>
            <w:bookmarkEnd w:id="2"/>
          </w:p>
        </w:tc>
        <w:tc>
          <w:tcPr>
            <w:tcW w:w="3261" w:type="dxa"/>
          </w:tcPr>
          <w:p w:rsidR="00520F36" w:rsidRPr="00A77E34" w:rsidRDefault="009242AC" w:rsidP="00DD6DD4">
            <w:pPr>
              <w:spacing w:before="0"/>
              <w:rPr>
                <w:b/>
                <w:bCs/>
              </w:rPr>
            </w:pPr>
            <w:r>
              <w:rPr>
                <w:b/>
                <w:bCs/>
              </w:rPr>
              <w:t>2</w:t>
            </w:r>
            <w:bookmarkStart w:id="4" w:name="_GoBack"/>
            <w:bookmarkEnd w:id="4"/>
            <w:r w:rsidR="00593E59" w:rsidRPr="00A77E34">
              <w:rPr>
                <w:b/>
                <w:bCs/>
              </w:rPr>
              <w:t>5 janvier 2018</w:t>
            </w:r>
          </w:p>
        </w:tc>
      </w:tr>
      <w:tr w:rsidR="00520F36" w:rsidRPr="00A77E34">
        <w:trPr>
          <w:cantSplit/>
          <w:trHeight w:val="20"/>
        </w:trPr>
        <w:tc>
          <w:tcPr>
            <w:tcW w:w="6912" w:type="dxa"/>
            <w:vMerge/>
          </w:tcPr>
          <w:p w:rsidR="00520F36" w:rsidRPr="00A77E34" w:rsidRDefault="00520F36" w:rsidP="00DD6DD4">
            <w:pPr>
              <w:shd w:val="solid" w:color="FFFFFF" w:fill="FFFFFF"/>
              <w:spacing w:before="180"/>
              <w:rPr>
                <w:smallCaps/>
              </w:rPr>
            </w:pPr>
            <w:bookmarkStart w:id="5" w:name="dorlang" w:colFirst="1" w:colLast="1"/>
            <w:bookmarkEnd w:id="3"/>
          </w:p>
        </w:tc>
        <w:tc>
          <w:tcPr>
            <w:tcW w:w="3261" w:type="dxa"/>
          </w:tcPr>
          <w:p w:rsidR="00520F36" w:rsidRPr="00A77E34" w:rsidRDefault="00520F36" w:rsidP="00DD6DD4">
            <w:pPr>
              <w:spacing w:before="0"/>
              <w:rPr>
                <w:b/>
                <w:bCs/>
              </w:rPr>
            </w:pPr>
            <w:r w:rsidRPr="00A77E34">
              <w:rPr>
                <w:b/>
                <w:bCs/>
              </w:rPr>
              <w:t xml:space="preserve">Original: </w:t>
            </w:r>
            <w:r w:rsidR="00774D82" w:rsidRPr="00A77E34">
              <w:rPr>
                <w:b/>
                <w:bCs/>
              </w:rPr>
              <w:t>anglais</w:t>
            </w:r>
          </w:p>
        </w:tc>
      </w:tr>
      <w:tr w:rsidR="00520F36" w:rsidRPr="00A77E34">
        <w:trPr>
          <w:cantSplit/>
        </w:trPr>
        <w:tc>
          <w:tcPr>
            <w:tcW w:w="10173" w:type="dxa"/>
            <w:gridSpan w:val="2"/>
          </w:tcPr>
          <w:p w:rsidR="00520F36" w:rsidRPr="00A77E34" w:rsidRDefault="00593E59" w:rsidP="00DD6DD4">
            <w:pPr>
              <w:pStyle w:val="Source"/>
              <w:spacing w:before="360"/>
              <w:rPr>
                <w:szCs w:val="28"/>
              </w:rPr>
            </w:pPr>
            <w:bookmarkStart w:id="6" w:name="dsource" w:colFirst="0" w:colLast="0"/>
            <w:bookmarkEnd w:id="5"/>
            <w:r w:rsidRPr="00A77E34">
              <w:rPr>
                <w:szCs w:val="28"/>
              </w:rPr>
              <w:t xml:space="preserve">Président du Groupe de travail du Conseil chargé d'élaborer le Plan stratégique </w:t>
            </w:r>
            <w:r w:rsidRPr="00A77E34">
              <w:rPr>
                <w:szCs w:val="28"/>
              </w:rPr>
              <w:br/>
              <w:t>et le Plan financier pour la période 2020-2023 (GTC-SFP)</w:t>
            </w:r>
          </w:p>
        </w:tc>
      </w:tr>
      <w:tr w:rsidR="00520F36" w:rsidRPr="00A77E34">
        <w:trPr>
          <w:cantSplit/>
        </w:trPr>
        <w:tc>
          <w:tcPr>
            <w:tcW w:w="10173" w:type="dxa"/>
            <w:gridSpan w:val="2"/>
          </w:tcPr>
          <w:p w:rsidR="006224B9" w:rsidRPr="00A77E34" w:rsidRDefault="00593E59" w:rsidP="00986039">
            <w:pPr>
              <w:pStyle w:val="Title1"/>
            </w:pPr>
            <w:bookmarkStart w:id="7" w:name="dtitle1" w:colFirst="0" w:colLast="0"/>
            <w:bookmarkEnd w:id="6"/>
            <w:r w:rsidRPr="00A77E34">
              <w:rPr>
                <w:bCs/>
                <w:szCs w:val="32"/>
              </w:rPr>
              <w:t>Rapport de la troisième réunion du GTC-SFP</w:t>
            </w:r>
          </w:p>
        </w:tc>
      </w:tr>
      <w:tr w:rsidR="00E9732F" w:rsidRPr="00A77E34">
        <w:trPr>
          <w:cantSplit/>
        </w:trPr>
        <w:tc>
          <w:tcPr>
            <w:tcW w:w="10173" w:type="dxa"/>
            <w:gridSpan w:val="2"/>
          </w:tcPr>
          <w:p w:rsidR="00443D23" w:rsidRPr="00A77E34" w:rsidRDefault="00986039" w:rsidP="00DD6DD4">
            <w:pPr>
              <w:pStyle w:val="Title2"/>
            </w:pPr>
            <w:r w:rsidRPr="00A77E34">
              <w:rPr>
                <w:bCs/>
                <w:caps w:val="0"/>
                <w:szCs w:val="32"/>
              </w:rPr>
              <w:t>15-16 janvier, siège de l'UIT, Genève</w:t>
            </w:r>
          </w:p>
        </w:tc>
      </w:tr>
    </w:tbl>
    <w:bookmarkEnd w:id="7"/>
    <w:p w:rsidR="00986039" w:rsidRPr="00A77E34" w:rsidRDefault="00986039" w:rsidP="00986039">
      <w:pPr>
        <w:pStyle w:val="Heading1"/>
      </w:pPr>
      <w:r w:rsidRPr="00A77E34">
        <w:t>1</w:t>
      </w:r>
      <w:r w:rsidRPr="00A77E34">
        <w:tab/>
        <w:t>Remarques liminaires et adoption de l'ordre du jour (</w:t>
      </w:r>
      <w:hyperlink r:id="rId9" w:history="1">
        <w:r w:rsidRPr="00A77E34">
          <w:rPr>
            <w:rStyle w:val="Hyperlink"/>
            <w:b w:val="0"/>
            <w:bCs/>
          </w:rPr>
          <w:t>CWG-SFP-3/1</w:t>
        </w:r>
      </w:hyperlink>
      <w:r w:rsidRPr="00A77E34">
        <w:t>)</w:t>
      </w:r>
    </w:p>
    <w:p w:rsidR="00986039" w:rsidRPr="00A77E34" w:rsidRDefault="00986039" w:rsidP="000C137B">
      <w:r w:rsidRPr="00A77E34">
        <w:t>1.1</w:t>
      </w:r>
      <w:r w:rsidRPr="00A77E34">
        <w:tab/>
        <w:t>M. Malcolm Johnson, Vice-Secrétaire général de l'UIT, et M. Mario R. Canazza (Brésil), Président du Groupe, ont prononcé une allocution de bienvenue et ont adressé leurs voeux aux membres du Groupe de travail du Conseil pour la nouvelle année et leur ont souhaité une réunion constructive. L'ordre du jour a ensuite été adopté.</w:t>
      </w:r>
    </w:p>
    <w:p w:rsidR="00986039" w:rsidRPr="00A77E34" w:rsidRDefault="00986039" w:rsidP="00986039">
      <w:pPr>
        <w:pStyle w:val="Heading1"/>
      </w:pPr>
      <w:r w:rsidRPr="00A77E34">
        <w:t>2</w:t>
      </w:r>
      <w:r w:rsidRPr="00A77E34">
        <w:tab/>
        <w:t>Rapport de la deuxième réunion du Groupe GTC-SFP (</w:t>
      </w:r>
      <w:hyperlink r:id="rId10" w:history="1">
        <w:r w:rsidRPr="00A77E34">
          <w:rPr>
            <w:rStyle w:val="Hyperlink"/>
            <w:b w:val="0"/>
            <w:bCs/>
          </w:rPr>
          <w:t>CWG-SFP-3/2</w:t>
        </w:r>
      </w:hyperlink>
      <w:r w:rsidRPr="00A77E34">
        <w:t>)</w:t>
      </w:r>
    </w:p>
    <w:p w:rsidR="00986039" w:rsidRPr="00A77E34" w:rsidRDefault="00986039" w:rsidP="000C137B">
      <w:r w:rsidRPr="00A77E34">
        <w:t>2.1</w:t>
      </w:r>
      <w:r w:rsidRPr="00A77E34">
        <w:tab/>
        <w:t>Le Groupe a approuvé le rapport de la deuxième réunion.</w:t>
      </w:r>
    </w:p>
    <w:p w:rsidR="00986039" w:rsidRPr="00A77E34" w:rsidRDefault="00986039" w:rsidP="00986039">
      <w:pPr>
        <w:pStyle w:val="Heading1"/>
      </w:pPr>
      <w:r w:rsidRPr="00A77E34">
        <w:t>3</w:t>
      </w:r>
      <w:r w:rsidRPr="00A77E34">
        <w:tab/>
        <w:t>Structure du Plan stratégique et du Plan financier (</w:t>
      </w:r>
      <w:hyperlink r:id="rId11" w:history="1">
        <w:r w:rsidRPr="00A77E34">
          <w:rPr>
            <w:rStyle w:val="Hyperlink"/>
            <w:b w:val="0"/>
            <w:bCs/>
          </w:rPr>
          <w:t>CWG-SFP-3/3</w:t>
        </w:r>
      </w:hyperlink>
      <w:r w:rsidRPr="00A77E34">
        <w:t>)</w:t>
      </w:r>
    </w:p>
    <w:p w:rsidR="00986039" w:rsidRPr="00A77E34" w:rsidRDefault="00986039" w:rsidP="000C137B">
      <w:r w:rsidRPr="00A77E34">
        <w:t>3.1</w:t>
      </w:r>
      <w:r w:rsidRPr="00A77E34">
        <w:tab/>
        <w:t>Le projet de structure proposée pour le nouveau Plan stratégique pour la période 2020-2023 a été présenté tel qu'il a été convenu à la deuxième réunion du GTC-SFP. Le Groupe a examiné la proposition du secrétariat de ne faire figurer dans la Résolution 71 qu'une (1) Annexe et d'intégrer l'analyse de la situation dans le texte du Plan stratégique de l'UIT, mais aucun accord concernant cette proposition n'a été trouvé lors de la réunion.</w:t>
      </w:r>
    </w:p>
    <w:p w:rsidR="00986039" w:rsidRPr="00A77E34" w:rsidRDefault="00986039" w:rsidP="000C137B">
      <w:r w:rsidRPr="00A77E34">
        <w:t>3.2</w:t>
      </w:r>
      <w:r w:rsidRPr="00A77E34">
        <w:tab/>
        <w:t xml:space="preserve">Le Chef du Département de la gestion des ressources financières (FRMD) a présenté un aperçu du projet de Plan financier pour la période 2020-2023. Le projet de Plan financier devait être examiné </w:t>
      </w:r>
      <w:r w:rsidR="00FD7C35" w:rsidRPr="00A77E34">
        <w:t xml:space="preserve">en détail </w:t>
      </w:r>
      <w:r w:rsidRPr="00A77E34">
        <w:t>par le Groupe de travail du Conseil sur les ressources financières et les ressources humaines (GCT-FHR) (</w:t>
      </w:r>
      <w:hyperlink r:id="rId12" w:history="1">
        <w:r w:rsidRPr="00A77E34">
          <w:rPr>
            <w:rStyle w:val="Hyperlink"/>
          </w:rPr>
          <w:t>CWG-FHR 8/10</w:t>
        </w:r>
      </w:hyperlink>
      <w:r w:rsidRPr="00A77E34">
        <w:t>).</w:t>
      </w:r>
    </w:p>
    <w:p w:rsidR="00986039" w:rsidRPr="00A77E34" w:rsidRDefault="00FD7C35" w:rsidP="00F259ED">
      <w:r w:rsidRPr="00A77E34">
        <w:t>3.3</w:t>
      </w:r>
      <w:r w:rsidRPr="00A77E34">
        <w:tab/>
        <w:t>Le T</w:t>
      </w:r>
      <w:r w:rsidR="00986039" w:rsidRPr="00A77E34">
        <w:t xml:space="preserve">ableau 3 du document </w:t>
      </w:r>
      <w:r w:rsidRPr="00A77E34">
        <w:t>contient</w:t>
      </w:r>
      <w:r w:rsidR="00986039" w:rsidRPr="00A77E34">
        <w:t xml:space="preserve"> une première proposition d'attribution des ressources financières aux cinq buts stratégiques proposés pour l'Union. Il a été souligné qu'à sa quatrième</w:t>
      </w:r>
      <w:r w:rsidR="00F259ED">
        <w:t> </w:t>
      </w:r>
      <w:r w:rsidR="00986039" w:rsidRPr="00A77E34">
        <w:t>réunion, le GTC-SFP examinera l'attribution des ressources financières à chacun des 18</w:t>
      </w:r>
      <w:r w:rsidR="00F259ED">
        <w:t> </w:t>
      </w:r>
      <w:r w:rsidR="00986039" w:rsidRPr="00A77E34">
        <w:t>objectifs stratégiques convenus dans le Plan stratégique et établira un projet correspondant. Cette attribution fera l'objet de l'Appendice A de l'Annexe 1 du projet de Résolution 71.</w:t>
      </w:r>
    </w:p>
    <w:p w:rsidR="00986039" w:rsidRPr="00A77E34" w:rsidRDefault="00986039" w:rsidP="00986039">
      <w:pPr>
        <w:pStyle w:val="Heading1"/>
      </w:pPr>
      <w:r w:rsidRPr="00A77E34">
        <w:lastRenderedPageBreak/>
        <w:t>4</w:t>
      </w:r>
      <w:r w:rsidRPr="00A77E34">
        <w:tab/>
        <w:t>Glossaire de termes (projet d'Annexe 3 de la Rés. 71) (</w:t>
      </w:r>
      <w:hyperlink r:id="rId13" w:history="1">
        <w:r w:rsidRPr="00A77E34">
          <w:rPr>
            <w:rStyle w:val="Hyperlink"/>
            <w:b w:val="0"/>
            <w:bCs/>
          </w:rPr>
          <w:t>CWG-SFP-3/4</w:t>
        </w:r>
      </w:hyperlink>
      <w:r w:rsidRPr="00A77E34">
        <w:t>)</w:t>
      </w:r>
    </w:p>
    <w:p w:rsidR="00986039" w:rsidRPr="00A77E34" w:rsidRDefault="00986039" w:rsidP="000C137B">
      <w:r w:rsidRPr="00A77E34">
        <w:t>4.1</w:t>
      </w:r>
      <w:r w:rsidRPr="00A77E34">
        <w:tab/>
        <w:t>La Fédé</w:t>
      </w:r>
      <w:r w:rsidR="00F82A4B" w:rsidRPr="00A77E34">
        <w:t>ration de Russie a présenté le D</w:t>
      </w:r>
      <w:r w:rsidRPr="00A77E34">
        <w:t xml:space="preserve">ocument </w:t>
      </w:r>
      <w:hyperlink r:id="rId14" w:history="1">
        <w:r w:rsidRPr="00A77E34">
          <w:rPr>
            <w:rStyle w:val="Hyperlink"/>
          </w:rPr>
          <w:t>CWG-SFP-3/12</w:t>
        </w:r>
      </w:hyperlink>
      <w:r w:rsidRPr="00A77E34">
        <w:t xml:space="preserve">, qui contient </w:t>
      </w:r>
      <w:r w:rsidR="00FD7C35" w:rsidRPr="00A77E34">
        <w:t>une</w:t>
      </w:r>
      <w:r w:rsidRPr="00A77E34">
        <w:t xml:space="preserve"> proposition </w:t>
      </w:r>
      <w:r w:rsidR="00FD7C35" w:rsidRPr="00A77E34">
        <w:t>visant à apporter des</w:t>
      </w:r>
      <w:r w:rsidRPr="00A77E34">
        <w:t xml:space="preserve"> clarifications au Glossaire de termes (Annexe 3 du projet de Résolution 71).</w:t>
      </w:r>
    </w:p>
    <w:p w:rsidR="00986039" w:rsidRPr="00A77E34" w:rsidRDefault="00986039" w:rsidP="000C137B">
      <w:r w:rsidRPr="00A77E34">
        <w:t>4.2</w:t>
      </w:r>
      <w:r w:rsidRPr="00A77E34">
        <w:tab/>
        <w:t xml:space="preserve">Suite aux propositions faites, le Groupe a décidé de conserver l'ordre alphabétique anglais, afin qu'il n'y ait pas de confusions entre les termes. Le Président a souligné que le glossaire devrait comprendre uniquement des termes se rapportant à la gestion qui sont propres à la conception d'un Plan stratégique et </w:t>
      </w:r>
      <w:r w:rsidR="0007426C" w:rsidRPr="00A77E34">
        <w:t xml:space="preserve">qu'il </w:t>
      </w:r>
      <w:r w:rsidRPr="00A77E34">
        <w:t xml:space="preserve">ne devrait pas être trop large. </w:t>
      </w:r>
    </w:p>
    <w:p w:rsidR="00986039" w:rsidRPr="00A77E34" w:rsidRDefault="00986039" w:rsidP="000C137B">
      <w:r w:rsidRPr="00A77E34">
        <w:t>4.3</w:t>
      </w:r>
      <w:r w:rsidRPr="00A77E34">
        <w:tab/>
        <w:t>Le Groupe a examiné la proposition visant à faire figurer le glossaire dans un Appendice de l'Annexe 1. Cette proposition n'ayant bénéficié d'aucun soutien, le Groupe a convenu que le glossaire serait conservé en tant qu'Annexe 3 de la Résolution 71.</w:t>
      </w:r>
    </w:p>
    <w:p w:rsidR="00986039" w:rsidRPr="00A77E34" w:rsidRDefault="00986039" w:rsidP="00986039">
      <w:pPr>
        <w:pStyle w:val="Heading1"/>
      </w:pPr>
      <w:r w:rsidRPr="00A77E34">
        <w:t>5</w:t>
      </w:r>
      <w:r w:rsidRPr="00A77E34">
        <w:tab/>
        <w:t>Projet de texte du Plan stratégique de l'UIT pour la période 2020-2023 (</w:t>
      </w:r>
      <w:hyperlink r:id="rId15" w:history="1">
        <w:r w:rsidRPr="00A77E34">
          <w:rPr>
            <w:rStyle w:val="Hyperlink"/>
            <w:b w:val="0"/>
            <w:bCs/>
          </w:rPr>
          <w:t>CWG</w:t>
        </w:r>
        <w:r w:rsidRPr="00A77E34">
          <w:rPr>
            <w:rStyle w:val="Hyperlink"/>
            <w:b w:val="0"/>
            <w:bCs/>
          </w:rPr>
          <w:noBreakHyphen/>
          <w:t>SFP-3/5</w:t>
        </w:r>
      </w:hyperlink>
      <w:r w:rsidRPr="00A77E34">
        <w:t>)</w:t>
      </w:r>
    </w:p>
    <w:p w:rsidR="00986039" w:rsidRPr="00A77E34" w:rsidRDefault="00986039" w:rsidP="000C137B">
      <w:r w:rsidRPr="00A77E34">
        <w:t>5.1</w:t>
      </w:r>
      <w:r w:rsidRPr="00A77E34">
        <w:tab/>
        <w:t>La Chine a présenté sa contribution (</w:t>
      </w:r>
      <w:hyperlink r:id="rId16" w:history="1">
        <w:r w:rsidRPr="00A77E34">
          <w:rPr>
            <w:rStyle w:val="Hyperlink"/>
          </w:rPr>
          <w:t>CWG-SFP-3/16</w:t>
        </w:r>
      </w:hyperlink>
      <w:r w:rsidRPr="00A77E34">
        <w:t>), dans laquelle elle insiste en particulier sur la nécessité d'intégrer le développement de l'économie numérique dans les buts stratégiques généraux du Plan stratégique de l'UIT pour la période 2020-2023. Il a en outre été rappelé au Groupe que l'économie numérique est également mise en avant dans les documents adoptés à la CMDT-17. Le projet de texte convenu pour l'Annexe 1 de la Résolution 71 tient compte de</w:t>
      </w:r>
      <w:r w:rsidR="0007426C" w:rsidRPr="00A77E34">
        <w:t xml:space="preserve"> ce</w:t>
      </w:r>
      <w:r w:rsidRPr="00A77E34">
        <w:t>s discussions.</w:t>
      </w:r>
    </w:p>
    <w:p w:rsidR="00986039" w:rsidRPr="00A77E34" w:rsidRDefault="00986039" w:rsidP="00F259ED">
      <w:r w:rsidRPr="00A77E34">
        <w:t>5.2</w:t>
      </w:r>
      <w:r w:rsidRPr="00A77E34">
        <w:tab/>
        <w:t xml:space="preserve">Le libellé </w:t>
      </w:r>
      <w:r w:rsidR="0007426C" w:rsidRPr="00A77E34">
        <w:t>actuel</w:t>
      </w:r>
      <w:r w:rsidRPr="00A77E34">
        <w:t xml:space="preserve"> des parties Vision et Mission de la Résolution 71 (Rév. Busan, 2014) a été </w:t>
      </w:r>
      <w:r w:rsidR="0007426C" w:rsidRPr="00A77E34">
        <w:t>accepté</w:t>
      </w:r>
      <w:r w:rsidRPr="00A77E34">
        <w:t xml:space="preserve"> par le Groupe et devrait rester tel quel dans le Plan stratégique pour la période</w:t>
      </w:r>
      <w:r w:rsidR="00F259ED">
        <w:t> </w:t>
      </w:r>
      <w:r w:rsidRPr="00A77E34">
        <w:t>2020</w:t>
      </w:r>
      <w:r w:rsidR="0007426C" w:rsidRPr="00A77E34">
        <w:noBreakHyphen/>
      </w:r>
      <w:r w:rsidRPr="00A77E34">
        <w:t>2023.</w:t>
      </w:r>
    </w:p>
    <w:p w:rsidR="00986039" w:rsidRPr="00A77E34" w:rsidRDefault="00986039" w:rsidP="000C137B">
      <w:r w:rsidRPr="00A77E34">
        <w:t>5.</w:t>
      </w:r>
      <w:r w:rsidR="0007426C" w:rsidRPr="00A77E34">
        <w:t>3</w:t>
      </w:r>
      <w:r w:rsidR="0007426C" w:rsidRPr="00A77E34">
        <w:tab/>
        <w:t>En ce qui concerne la partie "</w:t>
      </w:r>
      <w:r w:rsidRPr="00A77E34">
        <w:t>Valeurs</w:t>
      </w:r>
      <w:r w:rsidR="0007426C" w:rsidRPr="00A77E34">
        <w:t>"</w:t>
      </w:r>
      <w:r w:rsidRPr="00A77E34">
        <w:t>, le Royaume-Uni a présenté sa contribution (</w:t>
      </w:r>
      <w:hyperlink r:id="rId17" w:history="1">
        <w:r w:rsidRPr="00A77E34">
          <w:rPr>
            <w:rStyle w:val="Hyperlink"/>
          </w:rPr>
          <w:t>CWG</w:t>
        </w:r>
        <w:r w:rsidR="0007426C" w:rsidRPr="00A77E34">
          <w:rPr>
            <w:rStyle w:val="Hyperlink"/>
          </w:rPr>
          <w:noBreakHyphen/>
        </w:r>
        <w:r w:rsidRPr="00A77E34">
          <w:rPr>
            <w:rStyle w:val="Hyperlink"/>
          </w:rPr>
          <w:t>SFP-3/11</w:t>
        </w:r>
      </w:hyperlink>
      <w:r w:rsidRPr="00A77E34">
        <w:t>)</w:t>
      </w:r>
      <w:r w:rsidR="0007426C" w:rsidRPr="00A77E34">
        <w:t>,</w:t>
      </w:r>
      <w:r w:rsidRPr="00A77E34">
        <w:t xml:space="preserve"> dans laquelle un ensemble de valeurs </w:t>
      </w:r>
      <w:r w:rsidR="0007426C" w:rsidRPr="00A77E34">
        <w:t>est proposé</w:t>
      </w:r>
      <w:r w:rsidRPr="00A77E34">
        <w:t>. Au terme de discussions approfondies sur cette question, avec la création d'un groupe de rédaction ad hoc q</w:t>
      </w:r>
      <w:r w:rsidR="0007426C" w:rsidRPr="00A77E34">
        <w:t>ui s'est réuni pendant la pause</w:t>
      </w:r>
      <w:r w:rsidR="0007426C" w:rsidRPr="00A77E34">
        <w:noBreakHyphen/>
      </w:r>
      <w:r w:rsidRPr="00A77E34">
        <w:t>déjeuner, une nouvelle proposition concernant</w:t>
      </w:r>
      <w:r w:rsidR="0007426C" w:rsidRPr="00A77E34">
        <w:t xml:space="preserve"> les valeurs a été rédigée. Le G</w:t>
      </w:r>
      <w:r w:rsidRPr="00A77E34">
        <w:t xml:space="preserve">roupe a finalement décidé de laisser </w:t>
      </w:r>
      <w:r w:rsidR="0007426C" w:rsidRPr="00A77E34">
        <w:t xml:space="preserve">les </w:t>
      </w:r>
      <w:r w:rsidRPr="00A77E34">
        <w:t>définition</w:t>
      </w:r>
      <w:r w:rsidR="0007426C" w:rsidRPr="00A77E34">
        <w:t>s</w:t>
      </w:r>
      <w:r w:rsidRPr="00A77E34">
        <w:t xml:space="preserve"> de ces valeurs entre crochets et de prendre une décision sur ce poin</w:t>
      </w:r>
      <w:r w:rsidR="0007426C" w:rsidRPr="00A77E34">
        <w:t>t à la quatrième réunion du GTC</w:t>
      </w:r>
      <w:r w:rsidR="0007426C" w:rsidRPr="00A77E34">
        <w:noBreakHyphen/>
      </w:r>
      <w:r w:rsidRPr="00A77E34">
        <w:t>SFP.</w:t>
      </w:r>
    </w:p>
    <w:p w:rsidR="00986039" w:rsidRPr="00A77E34" w:rsidRDefault="00986039" w:rsidP="000C137B">
      <w:r w:rsidRPr="00A77E34">
        <w:t>5.4</w:t>
      </w:r>
      <w:r w:rsidRPr="00A77E34">
        <w:tab/>
      </w:r>
      <w:r w:rsidR="0007426C" w:rsidRPr="00A77E34">
        <w:t>Compte tenu de</w:t>
      </w:r>
      <w:r w:rsidRPr="00A77E34">
        <w:t xml:space="preserve"> la contribution du Royaume-Uni relative à la description des buts stratégiques et des discussions approfondies </w:t>
      </w:r>
      <w:r w:rsidR="0007426C" w:rsidRPr="00A77E34">
        <w:t>qui ont suivi au sein du Groupe, le GTC</w:t>
      </w:r>
      <w:r w:rsidR="0007426C" w:rsidRPr="00A77E34">
        <w:noBreakHyphen/>
      </w:r>
      <w:r w:rsidRPr="00A77E34">
        <w:t>SFP a approuvé les cinq buts stratégiques proposés et leur description, tels qu'ils sont présentés dans la version révisée du projet d'Annexe 1 de la Résolution 71. Les crochets f</w:t>
      </w:r>
      <w:r w:rsidR="0007426C" w:rsidRPr="00A77E34">
        <w:t>igurant dans la description du B</w:t>
      </w:r>
      <w:r w:rsidRPr="00A77E34">
        <w:t>ut 3 seront examinés lors</w:t>
      </w:r>
      <w:r w:rsidR="0007426C" w:rsidRPr="00A77E34">
        <w:t xml:space="preserve"> de la quatrième réunion du GTC</w:t>
      </w:r>
      <w:r w:rsidR="0007426C" w:rsidRPr="00A77E34">
        <w:noBreakHyphen/>
      </w:r>
      <w:r w:rsidRPr="00A77E34">
        <w:t>SFP.</w:t>
      </w:r>
    </w:p>
    <w:p w:rsidR="00986039" w:rsidRPr="00A77E34" w:rsidRDefault="0007426C" w:rsidP="000C137B">
      <w:r w:rsidRPr="00A77E34">
        <w:t>5.5</w:t>
      </w:r>
      <w:r w:rsidRPr="00A77E34">
        <w:tab/>
        <w:t>Le G</w:t>
      </w:r>
      <w:r w:rsidR="00986039" w:rsidRPr="00A77E34">
        <w:t xml:space="preserve">roupe a examiné les cibles proposées, qui sont présentées de manière plus détaillée dans le Document d'information </w:t>
      </w:r>
      <w:hyperlink r:id="rId18" w:history="1">
        <w:r w:rsidR="00986039" w:rsidRPr="00A77E34">
          <w:rPr>
            <w:rStyle w:val="Hyperlink"/>
          </w:rPr>
          <w:t>CWG-SFP-3/INF-1</w:t>
        </w:r>
      </w:hyperlink>
      <w:r w:rsidR="00986039" w:rsidRPr="00A77E34">
        <w:t xml:space="preserve">, et a convenu de fixer à 2023 le délai pour atteindre les cibles, afin de </w:t>
      </w:r>
      <w:r w:rsidRPr="00A77E34">
        <w:t>s'aligner sur</w:t>
      </w:r>
      <w:r w:rsidR="00986039" w:rsidRPr="00A77E34">
        <w:t xml:space="preserve"> la</w:t>
      </w:r>
      <w:r w:rsidRPr="00A77E34">
        <w:t xml:space="preserve"> période sur laquelle porte le P</w:t>
      </w:r>
      <w:r w:rsidR="00986039" w:rsidRPr="00A77E34">
        <w:t xml:space="preserve">lan stratégique. Des délégations ont demandé des précisions </w:t>
      </w:r>
      <w:r w:rsidRPr="00A77E34">
        <w:t>sur</w:t>
      </w:r>
      <w:r w:rsidR="00986039" w:rsidRPr="00A77E34">
        <w:t xml:space="preserve"> certaines des valeurs proposées qui n'ont pas été définies</w:t>
      </w:r>
      <w:r w:rsidRPr="00A77E34">
        <w:t xml:space="preserve"> pour que le Groupe les examine</w:t>
      </w:r>
      <w:r w:rsidR="00986039" w:rsidRPr="00A77E34">
        <w:t>, ainsi que sur la m</w:t>
      </w:r>
      <w:r w:rsidRPr="00A77E34">
        <w:t xml:space="preserve">éthode proposée pour mesurer </w:t>
      </w:r>
      <w:r w:rsidR="00DE7038" w:rsidRPr="00A77E34">
        <w:t>certaines des cibles. Le G</w:t>
      </w:r>
      <w:r w:rsidR="00986039" w:rsidRPr="00A77E34">
        <w:t xml:space="preserve">roupe a demandé au secrétariat d'organiser une séance d'information sur les cibles le 16 avril, avant la quatrième réunion du </w:t>
      </w:r>
      <w:r w:rsidRPr="00A77E34">
        <w:t>GTC</w:t>
      </w:r>
      <w:r w:rsidRPr="00A77E34">
        <w:noBreakHyphen/>
      </w:r>
      <w:r w:rsidR="00986039" w:rsidRPr="00A77E34">
        <w:t>SFP, et de soumettre en outre un document d'information détaillé</w:t>
      </w:r>
      <w:r w:rsidR="00F3168D" w:rsidRPr="00A77E34">
        <w:t xml:space="preserve"> présentant la méthode et les</w:t>
      </w:r>
      <w:r w:rsidR="00986039" w:rsidRPr="00A77E34">
        <w:t xml:space="preserve"> source</w:t>
      </w:r>
      <w:r w:rsidR="00F3168D" w:rsidRPr="00A77E34">
        <w:t>s</w:t>
      </w:r>
      <w:r w:rsidR="00986039" w:rsidRPr="00A77E34">
        <w:t xml:space="preserve"> des données utilisées pour les cibles.</w:t>
      </w:r>
    </w:p>
    <w:p w:rsidR="00986039" w:rsidRPr="00A77E34" w:rsidRDefault="00F3168D" w:rsidP="000C137B">
      <w:r w:rsidRPr="00A77E34">
        <w:t>5.6</w:t>
      </w:r>
      <w:r w:rsidRPr="00A77E34">
        <w:tab/>
        <w:t>Le G</w:t>
      </w:r>
      <w:r w:rsidR="00986039" w:rsidRPr="00A77E34">
        <w:t>roupe a examiné la partie relative à la gestion des risques stratégiques, dans laquelle sont présentés les principaux risques stratégiques et les principales stratégies d'atténuation correspondante</w:t>
      </w:r>
      <w:r w:rsidRPr="00A77E34">
        <w:t>s</w:t>
      </w:r>
      <w:r w:rsidR="00986039" w:rsidRPr="00A77E34">
        <w:t>.</w:t>
      </w:r>
    </w:p>
    <w:p w:rsidR="00986039" w:rsidRPr="00A77E34" w:rsidRDefault="00986039" w:rsidP="000C137B">
      <w:r w:rsidRPr="00A77E34">
        <w:t>5.7</w:t>
      </w:r>
      <w:r w:rsidRPr="00A77E34">
        <w:tab/>
        <w:t>Lors des discussions portant sur le cadre UIT de présentation des résultats, le Portugal a présenté sa proposition (</w:t>
      </w:r>
      <w:hyperlink r:id="rId19" w:history="1">
        <w:r w:rsidRPr="00A77E34">
          <w:rPr>
            <w:rStyle w:val="Hyperlink"/>
          </w:rPr>
          <w:t>CWG-SFP-3/10</w:t>
        </w:r>
      </w:hyperlink>
      <w:r w:rsidRPr="00A77E34">
        <w:t xml:space="preserve">) visant à ajouter un objectif intersectoriel supplémentaire (sixième). Le Portugal a souligné que cette </w:t>
      </w:r>
      <w:r w:rsidR="00F3168D" w:rsidRPr="00A77E34">
        <w:t>contribution</w:t>
      </w:r>
      <w:r w:rsidRPr="00A77E34">
        <w:t xml:space="preserve"> avait été élaborée et approuvée dans le cadre du Comité des politiques de l'UIT (Com-ITU) de la Conférence européenne des administrations des postes et des télécommunications (CEPT).</w:t>
      </w:r>
    </w:p>
    <w:p w:rsidR="00986039" w:rsidRPr="00A77E34" w:rsidRDefault="00986039" w:rsidP="000C137B">
      <w:r w:rsidRPr="00A77E34">
        <w:t>5.8</w:t>
      </w:r>
      <w:r w:rsidRPr="00A77E34">
        <w:tab/>
        <w:t>La Fédération de Russie a présenté sa contribution sur les mesures à prendre pour améliorer l'efficacité des travaux (</w:t>
      </w:r>
      <w:hyperlink r:id="rId20" w:history="1">
        <w:r w:rsidRPr="00A77E34">
          <w:rPr>
            <w:rStyle w:val="Hyperlink"/>
          </w:rPr>
          <w:t>CWG-SFP-3/15</w:t>
        </w:r>
      </w:hyperlink>
      <w:r w:rsidRPr="00A77E34">
        <w:t>) et les propositions</w:t>
      </w:r>
      <w:r w:rsidR="00F3168D" w:rsidRPr="00A77E34">
        <w:t xml:space="preserve"> qu'elle contient, pour que le G</w:t>
      </w:r>
      <w:r w:rsidRPr="00A77E34">
        <w:t>roupe les examine.</w:t>
      </w:r>
    </w:p>
    <w:p w:rsidR="00986039" w:rsidRPr="00A77E34" w:rsidRDefault="00986039" w:rsidP="000C137B">
      <w:r w:rsidRPr="00A77E34">
        <w:t>5.9</w:t>
      </w:r>
      <w:r w:rsidRPr="00A77E34">
        <w:tab/>
        <w:t>Au terme de discussions approfondies, avec la création d'un groupe de rédactions ad hoc q</w:t>
      </w:r>
      <w:r w:rsidR="00F3168D" w:rsidRPr="00A77E34">
        <w:t>ui s'est réuni lors de la pause</w:t>
      </w:r>
      <w:r w:rsidR="00F3168D" w:rsidRPr="00A77E34">
        <w:noBreakHyphen/>
      </w:r>
      <w:r w:rsidRPr="00A77E34">
        <w:t>déjeun</w:t>
      </w:r>
      <w:r w:rsidR="00F3168D" w:rsidRPr="00A77E34">
        <w:t>er</w:t>
      </w:r>
      <w:r w:rsidRPr="00A77E34">
        <w:t>, le GTC</w:t>
      </w:r>
      <w:r w:rsidR="00F3168D" w:rsidRPr="00A77E34">
        <w:noBreakHyphen/>
      </w:r>
      <w:r w:rsidRPr="00A77E34">
        <w:t>SFP a décidé, sur la base de la proposition soumise par le Portugal, d'approuver un nouve</w:t>
      </w:r>
      <w:r w:rsidR="00F3168D" w:rsidRPr="00A77E34">
        <w:t>l objectif intersectoriel, la description de</w:t>
      </w:r>
      <w:r w:rsidRPr="00A77E34">
        <w:t xml:space="preserve"> cet objectif et la description des résultats et produits</w:t>
      </w:r>
      <w:r w:rsidR="00F3168D" w:rsidRPr="00A77E34">
        <w:t xml:space="preserve"> correspondants</w:t>
      </w:r>
      <w:r w:rsidRPr="00A77E34">
        <w:t>, tel</w:t>
      </w:r>
      <w:r w:rsidR="00F3168D" w:rsidRPr="00A77E34">
        <w:t>s</w:t>
      </w:r>
      <w:r w:rsidRPr="00A77E34">
        <w:t xml:space="preserve"> </w:t>
      </w:r>
      <w:r w:rsidR="00F3168D" w:rsidRPr="00A77E34">
        <w:t>qu'ils figurent dans la Révision 1 du Document 5</w:t>
      </w:r>
      <w:r w:rsidRPr="00A77E34">
        <w:t>.</w:t>
      </w:r>
    </w:p>
    <w:p w:rsidR="00986039" w:rsidRPr="00A77E34" w:rsidRDefault="00F3168D" w:rsidP="000C137B">
      <w:r w:rsidRPr="00A77E34">
        <w:t>5.10</w:t>
      </w:r>
      <w:r w:rsidRPr="00A77E34">
        <w:tab/>
        <w:t>Le G</w:t>
      </w:r>
      <w:r w:rsidR="00986039" w:rsidRPr="00A77E34">
        <w:t xml:space="preserve">roupe est convenu que la structure du Plan stratégique devrait comprendre, dans la partie sur les Objectifs, résultats et produits, </w:t>
      </w:r>
      <w:r w:rsidRPr="00A77E34">
        <w:t>la</w:t>
      </w:r>
      <w:r w:rsidR="00986039" w:rsidRPr="00A77E34">
        <w:t xml:space="preserve"> description et un texte de présentation des catalyseurs, qui figurai</w:t>
      </w:r>
      <w:r w:rsidRPr="00A77E34">
        <w:t>en</w:t>
      </w:r>
      <w:r w:rsidR="00986039" w:rsidRPr="00A77E34">
        <w:t xml:space="preserve">t auparavant dans la section suivante. Il est en outre convenu d'utiliser une </w:t>
      </w:r>
      <w:r w:rsidRPr="00A77E34">
        <w:t>manière</w:t>
      </w:r>
      <w:r w:rsidR="00986039" w:rsidRPr="00A77E34">
        <w:t xml:space="preserve"> différente pour </w:t>
      </w:r>
      <w:r w:rsidRPr="00A77E34">
        <w:t xml:space="preserve">désigner </w:t>
      </w:r>
      <w:r w:rsidR="00986039" w:rsidRPr="00A77E34">
        <w:t>les résultats, afin d'éviter toute confusion avec les produits.</w:t>
      </w:r>
    </w:p>
    <w:p w:rsidR="00986039" w:rsidRPr="00A77E34" w:rsidRDefault="00F3168D" w:rsidP="000C137B">
      <w:r w:rsidRPr="00A77E34">
        <w:t>5.11</w:t>
      </w:r>
      <w:r w:rsidRPr="00A77E34">
        <w:tab/>
        <w:t>Le G</w:t>
      </w:r>
      <w:r w:rsidR="00986039" w:rsidRPr="00A77E34">
        <w:t xml:space="preserve">roupe a examiné le </w:t>
      </w:r>
      <w:r w:rsidRPr="00A77E34">
        <w:t>texte</w:t>
      </w:r>
      <w:r w:rsidR="00986039" w:rsidRPr="00A77E34">
        <w:t xml:space="preserve"> de tous les objectifs, résultats et produits pour l'UIT-R, l'UIT-T, l'UIT-D (tel qu'approuvé par la CMDT-17), le texte des objectifs, résultats et produits intersectoriels, ainsi que celui des catalyseurs fournis par le BR, le TSB, le BDT et le Secrétariat général. Le </w:t>
      </w:r>
      <w:r w:rsidRPr="00A77E34">
        <w:t>G</w:t>
      </w:r>
      <w:r w:rsidR="00986039" w:rsidRPr="00A77E34">
        <w:t>roupe a décidé de conserver les crochets figurant dans l</w:t>
      </w:r>
      <w:r w:rsidRPr="00A77E34">
        <w:t>e texte d</w:t>
      </w:r>
      <w:r w:rsidR="00986039" w:rsidRPr="00A77E34">
        <w:t xml:space="preserve">es Objectifs T.1 et T.2 </w:t>
      </w:r>
      <w:r w:rsidRPr="00A77E34">
        <w:t xml:space="preserve">et </w:t>
      </w:r>
      <w:r w:rsidR="00986039" w:rsidRPr="00A77E34">
        <w:t xml:space="preserve">dans </w:t>
      </w:r>
      <w:r w:rsidRPr="00A77E34">
        <w:t xml:space="preserve">celui de </w:t>
      </w:r>
      <w:r w:rsidR="00986039" w:rsidRPr="00A77E34">
        <w:t>l'Objectif I.4, comme indiqué dans la version révisée de la proposition de projet d'Annexe 1.</w:t>
      </w:r>
    </w:p>
    <w:p w:rsidR="00986039" w:rsidRPr="00A77E34" w:rsidRDefault="00F3168D" w:rsidP="000C137B">
      <w:r w:rsidRPr="00A77E34">
        <w:t>5.12</w:t>
      </w:r>
      <w:r w:rsidRPr="00A77E34">
        <w:tab/>
        <w:t>Le G</w:t>
      </w:r>
      <w:r w:rsidR="00986039" w:rsidRPr="00A77E34">
        <w:t>roupe a en outre examiné les liens entre les objectif</w:t>
      </w:r>
      <w:r w:rsidR="00F259ED">
        <w:t xml:space="preserve">s et les buts stratégiques et </w:t>
      </w:r>
      <w:r w:rsidR="00986039" w:rsidRPr="00A77E34">
        <w:t>adopté une proposition visant à intégrer des liens primaires entre l'Objectif D.3 (Environnement favorable) et le But 4 (Innovation) et entre l'Objectif D.1 (Coordination) et le But 5 (Partenariats).</w:t>
      </w:r>
    </w:p>
    <w:p w:rsidR="00986039" w:rsidRPr="00A77E34" w:rsidRDefault="00986039" w:rsidP="000C137B">
      <w:r w:rsidRPr="00A77E34">
        <w:t>5.13</w:t>
      </w:r>
      <w:r w:rsidRPr="00A77E34">
        <w:tab/>
        <w:t>Les liens avec les grandes orientations du SMSI et le Programme de développement durable à l'horizon 2030 on</w:t>
      </w:r>
      <w:r w:rsidR="00F3168D" w:rsidRPr="00A77E34">
        <w:t>t également été examinés et le G</w:t>
      </w:r>
      <w:r w:rsidRPr="00A77E34">
        <w:t>roupe est convenu d'une référence harmonisée dans le texte.</w:t>
      </w:r>
    </w:p>
    <w:p w:rsidR="00986039" w:rsidRPr="00A77E34" w:rsidRDefault="00F3168D" w:rsidP="00F259ED">
      <w:r w:rsidRPr="00A77E34">
        <w:t>5.14</w:t>
      </w:r>
      <w:r w:rsidRPr="00A77E34">
        <w:tab/>
        <w:t>Le G</w:t>
      </w:r>
      <w:r w:rsidR="00986039" w:rsidRPr="00A77E34">
        <w:t xml:space="preserve">roupe a en outre examiné la partie relative à la mise en </w:t>
      </w:r>
      <w:r w:rsidR="00C474D8">
        <w:t>oe</w:t>
      </w:r>
      <w:r w:rsidR="00986039" w:rsidRPr="00A77E34">
        <w:t>uvre et à l'évaluation du Plan</w:t>
      </w:r>
      <w:r w:rsidR="00F259ED">
        <w:t> </w:t>
      </w:r>
      <w:r w:rsidR="00986039" w:rsidRPr="00A77E34">
        <w:t>stratégique.</w:t>
      </w:r>
    </w:p>
    <w:p w:rsidR="00986039" w:rsidRPr="00A77E34" w:rsidRDefault="00F3168D" w:rsidP="00F259ED">
      <w:r w:rsidRPr="00A77E34">
        <w:t>5.15</w:t>
      </w:r>
      <w:r w:rsidRPr="00A77E34">
        <w:tab/>
        <w:t>Le texte, tel qu'il a été modifié par le GTC</w:t>
      </w:r>
      <w:r w:rsidRPr="00A77E34">
        <w:noBreakHyphen/>
      </w:r>
      <w:r w:rsidR="00986039" w:rsidRPr="00A77E34">
        <w:t>SFP, est présenté dans la version révisée du projet d'Annexe 1 de la Résolution 71 (</w:t>
      </w:r>
      <w:hyperlink r:id="rId21" w:history="1">
        <w:r w:rsidRPr="00A77E34">
          <w:rPr>
            <w:rStyle w:val="Hyperlink"/>
          </w:rPr>
          <w:t>Rév.1 du Doc. CWG-SFP-3/5</w:t>
        </w:r>
      </w:hyperlink>
      <w:r w:rsidRPr="00A77E34">
        <w:t>). Le G</w:t>
      </w:r>
      <w:r w:rsidR="00986039" w:rsidRPr="00A77E34">
        <w:t>roupe a confirmé que ce texte révisé devrait être considéré comme approuv</w:t>
      </w:r>
      <w:r w:rsidRPr="00A77E34">
        <w:t>é par le GTC</w:t>
      </w:r>
      <w:r w:rsidRPr="00A77E34">
        <w:noBreakHyphen/>
      </w:r>
      <w:r w:rsidR="00986039" w:rsidRPr="00A77E34">
        <w:t>SFP, tandis que la partie entre crochets devrait être réexaminé</w:t>
      </w:r>
      <w:r w:rsidRPr="00A77E34">
        <w:t>e</w:t>
      </w:r>
      <w:r w:rsidR="00986039" w:rsidRPr="00A77E34">
        <w:t xml:space="preserve"> et confirmé</w:t>
      </w:r>
      <w:r w:rsidRPr="00A77E34">
        <w:t>e à la quatrième réunion du GTC</w:t>
      </w:r>
      <w:r w:rsidRPr="00A77E34">
        <w:noBreakHyphen/>
      </w:r>
      <w:r w:rsidR="00986039" w:rsidRPr="00A77E34">
        <w:t>SFP le 16 avril.</w:t>
      </w:r>
    </w:p>
    <w:p w:rsidR="00986039" w:rsidRPr="00A77E34" w:rsidRDefault="00986039" w:rsidP="000C137B">
      <w:pPr>
        <w:pStyle w:val="Heading1"/>
      </w:pPr>
      <w:r w:rsidRPr="00A77E34">
        <w:t>6</w:t>
      </w:r>
      <w:r w:rsidRPr="00A77E34">
        <w:tab/>
        <w:t>Analyse de la situation (projet d'Annexe 2 de la Rés. 71) (</w:t>
      </w:r>
      <w:hyperlink r:id="rId22" w:history="1">
        <w:r w:rsidRPr="00A77E34">
          <w:rPr>
            <w:rStyle w:val="Hyperlink"/>
            <w:b w:val="0"/>
            <w:bCs/>
          </w:rPr>
          <w:t>CWG-SFP-3/6</w:t>
        </w:r>
      </w:hyperlink>
      <w:r w:rsidRPr="00A77E34">
        <w:t>)</w:t>
      </w:r>
    </w:p>
    <w:p w:rsidR="00986039" w:rsidRPr="00A77E34" w:rsidRDefault="00F3168D" w:rsidP="000C137B">
      <w:pPr>
        <w:keepNext/>
        <w:keepLines/>
      </w:pPr>
      <w:r w:rsidRPr="00A77E34">
        <w:t>6.1</w:t>
      </w:r>
      <w:r w:rsidRPr="00A77E34">
        <w:tab/>
        <w:t>Le G</w:t>
      </w:r>
      <w:r w:rsidR="00986039" w:rsidRPr="00A77E34">
        <w:t>roupe a examiné le texte du projet d'Annexe 2 de la Résolution 71 (Analyse la situation). Il a été décidé que chaque Annexe aurait s</w:t>
      </w:r>
      <w:r w:rsidRPr="00A77E34">
        <w:t>a</w:t>
      </w:r>
      <w:r w:rsidR="00986039" w:rsidRPr="00A77E34">
        <w:t xml:space="preserve"> propre </w:t>
      </w:r>
      <w:r w:rsidRPr="00A77E34">
        <w:t>numérotation</w:t>
      </w:r>
      <w:r w:rsidR="00986039" w:rsidRPr="00A77E34">
        <w:t xml:space="preserve"> des sections.</w:t>
      </w:r>
    </w:p>
    <w:p w:rsidR="00986039" w:rsidRPr="00A77E34" w:rsidRDefault="00986039" w:rsidP="000C137B">
      <w:pPr>
        <w:keepNext/>
        <w:keepLines/>
      </w:pPr>
      <w:r w:rsidRPr="00A77E34">
        <w:t>6.2</w:t>
      </w:r>
      <w:r w:rsidRPr="00A77E34">
        <w:tab/>
        <w:t xml:space="preserve">Suite à une proposition précise et au terme de discussions tenues </w:t>
      </w:r>
      <w:r w:rsidR="00F3168D" w:rsidRPr="00A77E34">
        <w:t>au sein du G</w:t>
      </w:r>
      <w:r w:rsidRPr="00A77E34">
        <w:t xml:space="preserve">roupe, des modifications ont été proposées </w:t>
      </w:r>
      <w:r w:rsidR="00F3168D" w:rsidRPr="00A77E34">
        <w:t>et</w:t>
      </w:r>
      <w:r w:rsidRPr="00A77E34">
        <w:t xml:space="preserve"> accept</w:t>
      </w:r>
      <w:r w:rsidR="00F3168D" w:rsidRPr="00A77E34">
        <w:t>ées</w:t>
      </w:r>
      <w:r w:rsidRPr="00A77E34">
        <w:t xml:space="preserve"> concernant le texte de l'analyse des forces, faiblesses, poss</w:t>
      </w:r>
      <w:r w:rsidR="00F3168D" w:rsidRPr="00A77E34">
        <w:t>ibilités et menaces (SWOT). Le G</w:t>
      </w:r>
      <w:r w:rsidRPr="00A77E34">
        <w:t>roupe a approuvé la version révisée.</w:t>
      </w:r>
    </w:p>
    <w:p w:rsidR="00986039" w:rsidRPr="00A77E34" w:rsidRDefault="00986039" w:rsidP="00C474D8">
      <w:r w:rsidRPr="00A77E34">
        <w:t>6.3</w:t>
      </w:r>
      <w:r w:rsidRPr="00A77E34">
        <w:tab/>
        <w:t xml:space="preserve">Le </w:t>
      </w:r>
      <w:r w:rsidR="00F3168D" w:rsidRPr="00A77E34">
        <w:t>G</w:t>
      </w:r>
      <w:r w:rsidRPr="00A77E34">
        <w:t>roupe a en outre demandé au secrétariat de fournir plus de détails sur la référence faite au SMSI dans la version révisée du document.</w:t>
      </w:r>
    </w:p>
    <w:p w:rsidR="00986039" w:rsidRPr="00A77E34" w:rsidRDefault="00986039" w:rsidP="00986039">
      <w:r w:rsidRPr="00A77E34">
        <w:t>6.4</w:t>
      </w:r>
      <w:r w:rsidRPr="00A77E34">
        <w:tab/>
        <w:t>Les mod</w:t>
      </w:r>
      <w:r w:rsidR="00F3168D" w:rsidRPr="00A77E34">
        <w:t>ifications acceptées par le GTC</w:t>
      </w:r>
      <w:r w:rsidR="00F3168D" w:rsidRPr="00A77E34">
        <w:noBreakHyphen/>
      </w:r>
      <w:r w:rsidRPr="00A77E34">
        <w:t>SFP figurent dans la version révisée du projet d'Annexe 2 de la Résolution 71 (</w:t>
      </w:r>
      <w:hyperlink r:id="rId23" w:history="1">
        <w:r w:rsidRPr="00A77E34">
          <w:rPr>
            <w:rStyle w:val="Hyperlink"/>
          </w:rPr>
          <w:t>Rév.1 du Doc. CWG-SFP-3/6</w:t>
        </w:r>
      </w:hyperlink>
      <w:r w:rsidRPr="00A77E34">
        <w:t>).</w:t>
      </w:r>
    </w:p>
    <w:p w:rsidR="00986039" w:rsidRPr="00A77E34" w:rsidRDefault="00986039" w:rsidP="00F3168D">
      <w:pPr>
        <w:pStyle w:val="Heading1"/>
      </w:pPr>
      <w:r w:rsidRPr="00A77E34">
        <w:t>7</w:t>
      </w:r>
      <w:r w:rsidRPr="00A77E34">
        <w:tab/>
        <w:t>Projets de révision de Résolutions</w:t>
      </w:r>
    </w:p>
    <w:p w:rsidR="00986039" w:rsidRPr="00A77E34" w:rsidRDefault="00986039" w:rsidP="00C474D8">
      <w:r w:rsidRPr="00A77E34">
        <w:t>7.1</w:t>
      </w:r>
      <w:r w:rsidRPr="00A77E34">
        <w:tab/>
        <w:t xml:space="preserve">La Fédération de Russie a présenté les </w:t>
      </w:r>
      <w:r w:rsidR="00F82A4B" w:rsidRPr="00A77E34">
        <w:t>D</w:t>
      </w:r>
      <w:r w:rsidRPr="00A77E34">
        <w:t xml:space="preserve">ocuments </w:t>
      </w:r>
      <w:hyperlink r:id="rId24" w:history="1">
        <w:r w:rsidRPr="00A77E34">
          <w:rPr>
            <w:rStyle w:val="Hyperlink"/>
          </w:rPr>
          <w:t>CWG-SFP-3/13</w:t>
        </w:r>
      </w:hyperlink>
      <w:r w:rsidRPr="00A77E34">
        <w:t xml:space="preserve"> et </w:t>
      </w:r>
      <w:hyperlink r:id="rId25" w:history="1">
        <w:r w:rsidRPr="00A77E34">
          <w:rPr>
            <w:rStyle w:val="Hyperlink"/>
          </w:rPr>
          <w:t>CWG-SFP-3/14</w:t>
        </w:r>
      </w:hyperlink>
      <w:r w:rsidRPr="00A77E34">
        <w:t>, contenant respectivement une proposition en vue de la révision des Résolutions relatifs à</w:t>
      </w:r>
      <w:r w:rsidR="00F3168D" w:rsidRPr="00A77E34">
        <w:t xml:space="preserve"> la planification stratégique e</w:t>
      </w:r>
      <w:r w:rsidRPr="00A77E34">
        <w:t>t un</w:t>
      </w:r>
      <w:r w:rsidR="00F3168D" w:rsidRPr="00A77E34">
        <w:t>e proposition de</w:t>
      </w:r>
      <w:r w:rsidRPr="00A77E34">
        <w:t xml:space="preserve"> texte révisé pour la Résolution 151 (Rév.</w:t>
      </w:r>
      <w:r w:rsidR="00C474D8">
        <w:t> </w:t>
      </w:r>
      <w:r w:rsidRPr="00A77E34">
        <w:t>Busan,</w:t>
      </w:r>
      <w:r w:rsidR="00C474D8">
        <w:t> </w:t>
      </w:r>
      <w:r w:rsidRPr="00A77E34">
        <w:t xml:space="preserve">2014) de la Conférence de plénipotentiaires reposant sur </w:t>
      </w:r>
      <w:r w:rsidR="00F3168D" w:rsidRPr="00A77E34">
        <w:t>sa fusion</w:t>
      </w:r>
      <w:r w:rsidRPr="00A77E34">
        <w:t xml:space="preserve"> avec la Résolution</w:t>
      </w:r>
      <w:r w:rsidR="00C474D8">
        <w:t> </w:t>
      </w:r>
      <w:r w:rsidRPr="00A77E34">
        <w:t>72 (Rév.</w:t>
      </w:r>
      <w:r w:rsidR="00F3168D" w:rsidRPr="00A77E34">
        <w:t> </w:t>
      </w:r>
      <w:r w:rsidRPr="00A77E34">
        <w:t>Busan, 2014).</w:t>
      </w:r>
    </w:p>
    <w:p w:rsidR="00986039" w:rsidRPr="00A77E34" w:rsidRDefault="00F3168D" w:rsidP="000C137B">
      <w:r w:rsidRPr="00A77E34">
        <w:t>7.2</w:t>
      </w:r>
      <w:r w:rsidRPr="00A77E34">
        <w:tab/>
        <w:t>Le G</w:t>
      </w:r>
      <w:r w:rsidR="00986039" w:rsidRPr="00A77E34">
        <w:t>roupe a en outre pris note des propositions présentées par le secrétariat concernant la révision de la Résolution 71 moyennant sa fusion avec la Résolution 72 et la Résolution 151 (</w:t>
      </w:r>
      <w:hyperlink r:id="rId26" w:history="1">
        <w:r w:rsidR="00986039" w:rsidRPr="00A77E34">
          <w:rPr>
            <w:rStyle w:val="Hyperlink"/>
          </w:rPr>
          <w:t>CWG</w:t>
        </w:r>
        <w:r w:rsidRPr="00A77E34">
          <w:rPr>
            <w:rStyle w:val="Hyperlink"/>
          </w:rPr>
          <w:noBreakHyphen/>
        </w:r>
        <w:r w:rsidR="00986039" w:rsidRPr="00A77E34">
          <w:rPr>
            <w:rStyle w:val="Hyperlink"/>
          </w:rPr>
          <w:t>SFP-3/7</w:t>
        </w:r>
      </w:hyperlink>
      <w:r w:rsidR="00986039" w:rsidRPr="00A77E34">
        <w:t>) et la révision de la Résolution 191 (</w:t>
      </w:r>
      <w:hyperlink r:id="rId27" w:history="1">
        <w:r w:rsidR="00986039" w:rsidRPr="00A77E34">
          <w:rPr>
            <w:rStyle w:val="Hyperlink"/>
          </w:rPr>
          <w:t>CWG-SFP-3/9</w:t>
        </w:r>
      </w:hyperlink>
      <w:r w:rsidR="00986039" w:rsidRPr="00A77E34">
        <w:t>).</w:t>
      </w:r>
    </w:p>
    <w:p w:rsidR="00986039" w:rsidRPr="00A77E34" w:rsidRDefault="00F3168D" w:rsidP="000C137B">
      <w:r w:rsidRPr="00A77E34">
        <w:t>7.3</w:t>
      </w:r>
      <w:r w:rsidRPr="00A77E34">
        <w:tab/>
        <w:t>Le G</w:t>
      </w:r>
      <w:r w:rsidR="00986039" w:rsidRPr="00A77E34">
        <w:t xml:space="preserve">roupe a tenu des discussions et </w:t>
      </w:r>
      <w:r w:rsidRPr="00A77E34">
        <w:t>souscrit à</w:t>
      </w:r>
      <w:r w:rsidR="00986039" w:rsidRPr="00A77E34">
        <w:t xml:space="preserve"> la proposi</w:t>
      </w:r>
      <w:r w:rsidRPr="00A77E34">
        <w:t>tion consistant à conserver la Résolution 71 dans une R</w:t>
      </w:r>
      <w:r w:rsidR="00986039" w:rsidRPr="00A77E34">
        <w:t xml:space="preserve">ésolution distincte et à tenter de fusionner les Résolutions 72 et 151. Par ailleurs, les propositions de révision de la Résolution 191 et de la Résolution 131 (sur la base de </w:t>
      </w:r>
      <w:r w:rsidRPr="00A77E34">
        <w:t>l'importance</w:t>
      </w:r>
      <w:r w:rsidR="00986039" w:rsidRPr="00A77E34">
        <w:t xml:space="preserve"> de mesurer les cibles </w:t>
      </w:r>
      <w:r w:rsidRPr="00A77E34">
        <w:t xml:space="preserve">figurant </w:t>
      </w:r>
      <w:r w:rsidR="00986039" w:rsidRPr="00A77E34">
        <w:t>dans le Plan stratégique de l'UIT) devraient être examinées plus avan</w:t>
      </w:r>
      <w:r w:rsidRPr="00A77E34">
        <w:t>t à la quatrième réunion du GTC</w:t>
      </w:r>
      <w:r w:rsidRPr="00A77E34">
        <w:noBreakHyphen/>
      </w:r>
      <w:r w:rsidR="00986039" w:rsidRPr="00A77E34">
        <w:t>SFP.</w:t>
      </w:r>
    </w:p>
    <w:p w:rsidR="00986039" w:rsidRPr="00A77E34" w:rsidRDefault="00986039" w:rsidP="00C474D8">
      <w:r w:rsidRPr="00A77E34">
        <w:t>7.4</w:t>
      </w:r>
      <w:r w:rsidRPr="00A77E34">
        <w:tab/>
        <w:t xml:space="preserve">Il a été demandé au Secrétariat de tenir compte des discussions et </w:t>
      </w:r>
      <w:r w:rsidR="00F3168D" w:rsidRPr="00A77E34">
        <w:t xml:space="preserve">des </w:t>
      </w:r>
      <w:r w:rsidRPr="00A77E34">
        <w:t>contributions et de soumettre des propositions concernant toutes les Résolutions susmentionnée</w:t>
      </w:r>
      <w:r w:rsidR="00F3168D" w:rsidRPr="00A77E34">
        <w:t>s à la quatrième</w:t>
      </w:r>
      <w:r w:rsidR="00C474D8">
        <w:t> </w:t>
      </w:r>
      <w:r w:rsidR="00F3168D" w:rsidRPr="00A77E34">
        <w:t>réunion du GTC</w:t>
      </w:r>
      <w:r w:rsidR="00F3168D" w:rsidRPr="00A77E34">
        <w:noBreakHyphen/>
      </w:r>
      <w:r w:rsidRPr="00A77E34">
        <w:t>SFP.</w:t>
      </w:r>
    </w:p>
    <w:p w:rsidR="00986039" w:rsidRPr="00A77E34" w:rsidRDefault="00986039" w:rsidP="00F3168D">
      <w:pPr>
        <w:pStyle w:val="Heading1"/>
      </w:pPr>
      <w:r w:rsidRPr="00A77E34">
        <w:t>8</w:t>
      </w:r>
      <w:r w:rsidRPr="00A77E34">
        <w:tab/>
        <w:t>Poursuite de l'élaboration du Plan stratégique et du Plan financier</w:t>
      </w:r>
    </w:p>
    <w:p w:rsidR="00986039" w:rsidRPr="00A77E34" w:rsidRDefault="00F3168D" w:rsidP="000C137B">
      <w:r w:rsidRPr="00A77E34">
        <w:t>8.1</w:t>
      </w:r>
      <w:r w:rsidRPr="00A77E34">
        <w:tab/>
        <w:t>Le G</w:t>
      </w:r>
      <w:r w:rsidR="00986039" w:rsidRPr="00A77E34">
        <w:t>roupe a examiné les prochaines étapes et le calendrier pour l'élaboration du Plan</w:t>
      </w:r>
      <w:r w:rsidRPr="00A77E34">
        <w:t> </w:t>
      </w:r>
      <w:r w:rsidR="00986039" w:rsidRPr="00A77E34">
        <w:t xml:space="preserve">stratégique </w:t>
      </w:r>
      <w:r w:rsidRPr="00A77E34">
        <w:t xml:space="preserve">et </w:t>
      </w:r>
      <w:r w:rsidR="00986039" w:rsidRPr="00A77E34">
        <w:t>du Plan financier (</w:t>
      </w:r>
      <w:hyperlink r:id="rId28" w:history="1">
        <w:r w:rsidR="00986039" w:rsidRPr="00A77E34">
          <w:rPr>
            <w:rStyle w:val="Hyperlink"/>
          </w:rPr>
          <w:t>CWG-SFP-3/8</w:t>
        </w:r>
      </w:hyperlink>
      <w:r w:rsidR="00986039" w:rsidRPr="00A77E34">
        <w:t>).</w:t>
      </w:r>
    </w:p>
    <w:p w:rsidR="00986039" w:rsidRPr="00A77E34" w:rsidRDefault="00986039" w:rsidP="000C137B">
      <w:r w:rsidRPr="00A77E34">
        <w:t>8.2</w:t>
      </w:r>
      <w:r w:rsidRPr="00A77E34">
        <w:tab/>
        <w:t>Il a été décidé qu'une version propre du projet de révision de l'Annexe 1 de la Résolution 71, comprenant le texte entre crochets, fera l'objet d'une consultation publique qui débutera le 1er</w:t>
      </w:r>
      <w:r w:rsidR="00F3168D" w:rsidRPr="00A77E34">
        <w:t> </w:t>
      </w:r>
      <w:r w:rsidRPr="00A77E34">
        <w:t>février 2018 et sera ouverte jusqu'au 16 mars 2018.</w:t>
      </w:r>
    </w:p>
    <w:p w:rsidR="00986039" w:rsidRPr="00A77E34" w:rsidRDefault="00986039" w:rsidP="000C137B">
      <w:r w:rsidRPr="00A77E34">
        <w:t>8.3</w:t>
      </w:r>
      <w:r w:rsidRPr="00A77E34">
        <w:tab/>
        <w:t>Il a été demandé au secrétariat de présenter un rapport factuel sur cette consultation publique à la prochaine réunion.</w:t>
      </w:r>
    </w:p>
    <w:p w:rsidR="00986039" w:rsidRPr="00A77E34" w:rsidRDefault="00986039" w:rsidP="000C137B">
      <w:pPr>
        <w:pStyle w:val="Heading1"/>
      </w:pPr>
      <w:r w:rsidRPr="00A77E34">
        <w:t>9</w:t>
      </w:r>
      <w:r w:rsidRPr="00A77E34">
        <w:tab/>
        <w:t>Prochaine réunion du Groupe GTC-SFP</w:t>
      </w:r>
    </w:p>
    <w:p w:rsidR="00986039" w:rsidRPr="00A77E34" w:rsidRDefault="00A7496E" w:rsidP="000C137B">
      <w:pPr>
        <w:keepNext/>
        <w:keepLines/>
      </w:pPr>
      <w:r w:rsidRPr="00A77E34">
        <w:t>9.1</w:t>
      </w:r>
      <w:r w:rsidRPr="00A77E34">
        <w:tab/>
        <w:t>La quatrième réunion du GTC</w:t>
      </w:r>
      <w:r w:rsidRPr="00A77E34">
        <w:noBreakHyphen/>
      </w:r>
      <w:r w:rsidR="00986039" w:rsidRPr="00A77E34">
        <w:t>SFP aura lieu le 16 avril 2018.</w:t>
      </w:r>
    </w:p>
    <w:p w:rsidR="00986039" w:rsidRPr="00A77E34" w:rsidRDefault="00986039" w:rsidP="000C137B">
      <w:pPr>
        <w:pStyle w:val="Heading1"/>
      </w:pPr>
      <w:r w:rsidRPr="00A77E34">
        <w:t>10</w:t>
      </w:r>
      <w:r w:rsidRPr="00A77E34">
        <w:tab/>
        <w:t>Divers</w:t>
      </w:r>
    </w:p>
    <w:p w:rsidR="00443D23" w:rsidRPr="00A77E34" w:rsidRDefault="00986039" w:rsidP="00A7496E">
      <w:r w:rsidRPr="00A77E34">
        <w:t>10.1</w:t>
      </w:r>
      <w:r w:rsidRPr="00A77E34">
        <w:tab/>
        <w:t>Plusieurs délégués ont remercié</w:t>
      </w:r>
      <w:r w:rsidR="00A7496E" w:rsidRPr="00A77E34">
        <w:t xml:space="preserve"> le Président pour sa conduite avisée</w:t>
      </w:r>
      <w:r w:rsidRPr="00A77E34">
        <w:t xml:space="preserve"> des travaux et tous les collègues pour le travail accompli. Le Président a remercié toutes les délégations pour leur</w:t>
      </w:r>
      <w:r w:rsidR="00A7496E" w:rsidRPr="00A77E34">
        <w:t>s</w:t>
      </w:r>
      <w:r w:rsidRPr="00A77E34">
        <w:t xml:space="preserve"> contribution</w:t>
      </w:r>
      <w:r w:rsidR="00A7496E" w:rsidRPr="00A77E34">
        <w:t>s</w:t>
      </w:r>
      <w:r w:rsidRPr="00A77E34">
        <w:t xml:space="preserve"> constructive</w:t>
      </w:r>
      <w:r w:rsidR="00A7496E" w:rsidRPr="00A77E34">
        <w:t>s</w:t>
      </w:r>
      <w:r w:rsidRPr="00A77E34">
        <w:t xml:space="preserve">, </w:t>
      </w:r>
      <w:r w:rsidR="00A7496E" w:rsidRPr="00A77E34">
        <w:t>a souligné les excellents</w:t>
      </w:r>
      <w:r w:rsidRPr="00A77E34">
        <w:t xml:space="preserve"> progrès accomplis et a remercié le personnel du Secrétariat pour </w:t>
      </w:r>
      <w:r w:rsidR="00A7496E" w:rsidRPr="00A77E34">
        <w:t>son</w:t>
      </w:r>
      <w:r w:rsidRPr="00A77E34">
        <w:t xml:space="preserve"> appui.</w:t>
      </w:r>
    </w:p>
    <w:p w:rsidR="00F82A4B" w:rsidRPr="00A77E34" w:rsidRDefault="00F82A4B" w:rsidP="00A7496E"/>
    <w:p w:rsidR="00F82A4B" w:rsidRPr="00A77E34" w:rsidRDefault="00F82A4B" w:rsidP="0032202E">
      <w:pPr>
        <w:pStyle w:val="Reasons"/>
      </w:pPr>
    </w:p>
    <w:p w:rsidR="00F82A4B" w:rsidRPr="00A77E34" w:rsidRDefault="00F82A4B">
      <w:pPr>
        <w:jc w:val="center"/>
      </w:pPr>
      <w:r w:rsidRPr="00A77E34">
        <w:t>______________</w:t>
      </w:r>
    </w:p>
    <w:p w:rsidR="00F82A4B" w:rsidRPr="00A77E34" w:rsidRDefault="00F82A4B" w:rsidP="00A7496E">
      <w:pPr>
        <w:rPr>
          <w:rPrChange w:id="8" w:author="Deturche-Nazer, Anne-Marie" w:date="2018-01-05T17:16:00Z">
            <w:rPr>
              <w:lang w:val="fr-CH"/>
            </w:rPr>
          </w:rPrChange>
        </w:rPr>
      </w:pPr>
    </w:p>
    <w:sectPr w:rsidR="00F82A4B" w:rsidRPr="00A77E34" w:rsidSect="006A697F">
      <w:headerReference w:type="even" r:id="rId29"/>
      <w:headerReference w:type="default" r:id="rId30"/>
      <w:footerReference w:type="even" r:id="rId31"/>
      <w:footerReference w:type="default" r:id="rId32"/>
      <w:footerReference w:type="first" r:id="rId3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6B" w:rsidRDefault="0093616B">
      <w:r>
        <w:separator/>
      </w:r>
    </w:p>
  </w:endnote>
  <w:endnote w:type="continuationSeparator" w:id="0">
    <w:p w:rsidR="0093616B" w:rsidRDefault="0093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Pr="001B2D93" w:rsidRDefault="0093616B">
    <w:pPr>
      <w:pStyle w:val="Footer"/>
      <w:rPr>
        <w:lang w:val="en-US"/>
      </w:rPr>
    </w:pPr>
    <w:r>
      <w:fldChar w:fldCharType="begin"/>
    </w:r>
    <w:r w:rsidRPr="001B2D93">
      <w:rPr>
        <w:lang w:val="en-US"/>
      </w:rPr>
      <w:instrText xml:space="preserve"> FILENAME \p \* MERGEFORMAT </w:instrText>
    </w:r>
    <w:r>
      <w:fldChar w:fldCharType="separate"/>
    </w:r>
    <w:r w:rsidR="00F259ED">
      <w:rPr>
        <w:lang w:val="en-US"/>
      </w:rPr>
      <w:t>P:\FRA\SG\CONSEIL\CWG-SFP\CWG-SFP4\000\002F.docx</w:t>
    </w:r>
    <w:r>
      <w:fldChar w:fldCharType="end"/>
    </w:r>
    <w:r w:rsidRPr="001B2D93">
      <w:rPr>
        <w:lang w:val="en-US"/>
      </w:rPr>
      <w:tab/>
    </w:r>
    <w:r>
      <w:fldChar w:fldCharType="begin"/>
    </w:r>
    <w:r>
      <w:instrText xml:space="preserve"> savedate \@ dd.MM.yy </w:instrText>
    </w:r>
    <w:r>
      <w:fldChar w:fldCharType="separate"/>
    </w:r>
    <w:r w:rsidR="002D3F5F">
      <w:t>21.02.18</w:t>
    </w:r>
    <w:r>
      <w:fldChar w:fldCharType="end"/>
    </w:r>
    <w:r w:rsidRPr="001B2D93">
      <w:rPr>
        <w:lang w:val="en-US"/>
      </w:rPr>
      <w:tab/>
    </w:r>
    <w:r>
      <w:fldChar w:fldCharType="begin"/>
    </w:r>
    <w:r>
      <w:instrText xml:space="preserve"> printdate \@ dd.MM.yy </w:instrText>
    </w:r>
    <w:r>
      <w:fldChar w:fldCharType="separate"/>
    </w:r>
    <w:r w:rsidR="00F259ED">
      <w:t>21.02.18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Pr="00B22860" w:rsidRDefault="0093616B" w:rsidP="008843AC">
    <w:pPr>
      <w:pStyle w:val="Footer"/>
    </w:pPr>
    <w:r>
      <w:fldChar w:fldCharType="begin"/>
    </w:r>
    <w:r w:rsidRPr="00B22860">
      <w:instrText xml:space="preserve"> FILENAME \p \* MERGEFORMAT </w:instrText>
    </w:r>
    <w:r>
      <w:fldChar w:fldCharType="separate"/>
    </w:r>
    <w:r w:rsidR="00F259ED">
      <w:t>P:\FRA\SG\CONSEIL\CWG-SFP\CWG-SFP4\000\002F.docx</w:t>
    </w:r>
    <w:r>
      <w:fldChar w:fldCharType="end"/>
    </w:r>
    <w:r w:rsidR="00986039">
      <w:t xml:space="preserve"> (431564</w:t>
    </w:r>
    <w:r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6B" w:rsidRDefault="0093616B">
      <w:r>
        <w:t>____________________</w:t>
      </w:r>
    </w:p>
  </w:footnote>
  <w:footnote w:type="continuationSeparator" w:id="0">
    <w:p w:rsidR="0093616B" w:rsidRDefault="00936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3616B" w:rsidRDefault="0093616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6B" w:rsidRDefault="0093616B" w:rsidP="00515660">
    <w:pPr>
      <w:pStyle w:val="Header"/>
    </w:pPr>
    <w:r>
      <w:fldChar w:fldCharType="begin"/>
    </w:r>
    <w:r>
      <w:instrText>PAGE</w:instrText>
    </w:r>
    <w:r>
      <w:fldChar w:fldCharType="separate"/>
    </w:r>
    <w:r w:rsidR="009242AC">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F0B86"/>
    <w:multiLevelType w:val="hybridMultilevel"/>
    <w:tmpl w:val="E5DE3300"/>
    <w:lvl w:ilvl="0" w:tplc="FC3AD34E">
      <w:start w:val="1"/>
      <w:numFmt w:val="upperRoman"/>
      <w:lvlText w:val="%1)"/>
      <w:lvlJc w:val="left"/>
      <w:pPr>
        <w:ind w:left="1080" w:hanging="720"/>
      </w:pPr>
      <w:rPr>
        <w:rFonts w:hint="default"/>
      </w:rPr>
    </w:lvl>
    <w:lvl w:ilvl="1" w:tplc="03401B44" w:tentative="1">
      <w:start w:val="1"/>
      <w:numFmt w:val="lowerLetter"/>
      <w:lvlText w:val="%2."/>
      <w:lvlJc w:val="left"/>
      <w:pPr>
        <w:ind w:left="1440" w:hanging="360"/>
      </w:pPr>
    </w:lvl>
    <w:lvl w:ilvl="2" w:tplc="520CF90E" w:tentative="1">
      <w:start w:val="1"/>
      <w:numFmt w:val="lowerRoman"/>
      <w:lvlText w:val="%3."/>
      <w:lvlJc w:val="right"/>
      <w:pPr>
        <w:ind w:left="2160" w:hanging="180"/>
      </w:pPr>
    </w:lvl>
    <w:lvl w:ilvl="3" w:tplc="585C4326" w:tentative="1">
      <w:start w:val="1"/>
      <w:numFmt w:val="decimal"/>
      <w:lvlText w:val="%4."/>
      <w:lvlJc w:val="left"/>
      <w:pPr>
        <w:ind w:left="2880" w:hanging="360"/>
      </w:pPr>
    </w:lvl>
    <w:lvl w:ilvl="4" w:tplc="9E98B5D4" w:tentative="1">
      <w:start w:val="1"/>
      <w:numFmt w:val="lowerLetter"/>
      <w:lvlText w:val="%5."/>
      <w:lvlJc w:val="left"/>
      <w:pPr>
        <w:ind w:left="3600" w:hanging="360"/>
      </w:pPr>
    </w:lvl>
    <w:lvl w:ilvl="5" w:tplc="3A040B4C" w:tentative="1">
      <w:start w:val="1"/>
      <w:numFmt w:val="lowerRoman"/>
      <w:lvlText w:val="%6."/>
      <w:lvlJc w:val="right"/>
      <w:pPr>
        <w:ind w:left="4320" w:hanging="180"/>
      </w:pPr>
    </w:lvl>
    <w:lvl w:ilvl="6" w:tplc="DC8A5DB2" w:tentative="1">
      <w:start w:val="1"/>
      <w:numFmt w:val="decimal"/>
      <w:lvlText w:val="%7."/>
      <w:lvlJc w:val="left"/>
      <w:pPr>
        <w:ind w:left="5040" w:hanging="360"/>
      </w:pPr>
    </w:lvl>
    <w:lvl w:ilvl="7" w:tplc="E28EFA24" w:tentative="1">
      <w:start w:val="1"/>
      <w:numFmt w:val="lowerLetter"/>
      <w:lvlText w:val="%8."/>
      <w:lvlJc w:val="left"/>
      <w:pPr>
        <w:ind w:left="5760" w:hanging="360"/>
      </w:pPr>
    </w:lvl>
    <w:lvl w:ilvl="8" w:tplc="B958109A" w:tentative="1">
      <w:start w:val="1"/>
      <w:numFmt w:val="lowerRoman"/>
      <w:lvlText w:val="%9."/>
      <w:lvlJc w:val="right"/>
      <w:pPr>
        <w:ind w:left="6480" w:hanging="180"/>
      </w:pPr>
    </w:lvl>
  </w:abstractNum>
  <w:abstractNum w:abstractNumId="2" w15:restartNumberingAfterBreak="0">
    <w:nsid w:val="55F72F93"/>
    <w:multiLevelType w:val="hybridMultilevel"/>
    <w:tmpl w:val="3EBC4612"/>
    <w:lvl w:ilvl="0" w:tplc="CD62D452">
      <w:start w:val="1"/>
      <w:numFmt w:val="lowerLetter"/>
      <w:lvlText w:val="%1)"/>
      <w:lvlJc w:val="left"/>
      <w:pPr>
        <w:ind w:left="1440" w:hanging="360"/>
      </w:pPr>
      <w:rPr>
        <w:rFonts w:hint="default"/>
      </w:rPr>
    </w:lvl>
    <w:lvl w:ilvl="1" w:tplc="073A8C88" w:tentative="1">
      <w:start w:val="1"/>
      <w:numFmt w:val="lowerLetter"/>
      <w:lvlText w:val="%2."/>
      <w:lvlJc w:val="left"/>
      <w:pPr>
        <w:ind w:left="1440" w:hanging="360"/>
      </w:pPr>
    </w:lvl>
    <w:lvl w:ilvl="2" w:tplc="D8329C9E" w:tentative="1">
      <w:start w:val="1"/>
      <w:numFmt w:val="lowerRoman"/>
      <w:lvlText w:val="%3."/>
      <w:lvlJc w:val="right"/>
      <w:pPr>
        <w:ind w:left="2160" w:hanging="180"/>
      </w:pPr>
    </w:lvl>
    <w:lvl w:ilvl="3" w:tplc="EC260CA0" w:tentative="1">
      <w:start w:val="1"/>
      <w:numFmt w:val="decimal"/>
      <w:lvlText w:val="%4."/>
      <w:lvlJc w:val="left"/>
      <w:pPr>
        <w:ind w:left="2880" w:hanging="360"/>
      </w:pPr>
    </w:lvl>
    <w:lvl w:ilvl="4" w:tplc="99EED0C4" w:tentative="1">
      <w:start w:val="1"/>
      <w:numFmt w:val="lowerLetter"/>
      <w:lvlText w:val="%5."/>
      <w:lvlJc w:val="left"/>
      <w:pPr>
        <w:ind w:left="3600" w:hanging="360"/>
      </w:pPr>
    </w:lvl>
    <w:lvl w:ilvl="5" w:tplc="7EB43EF0" w:tentative="1">
      <w:start w:val="1"/>
      <w:numFmt w:val="lowerRoman"/>
      <w:lvlText w:val="%6."/>
      <w:lvlJc w:val="right"/>
      <w:pPr>
        <w:ind w:left="4320" w:hanging="180"/>
      </w:pPr>
    </w:lvl>
    <w:lvl w:ilvl="6" w:tplc="0B38E09E" w:tentative="1">
      <w:start w:val="1"/>
      <w:numFmt w:val="decimal"/>
      <w:lvlText w:val="%7."/>
      <w:lvlJc w:val="left"/>
      <w:pPr>
        <w:ind w:left="5040" w:hanging="360"/>
      </w:pPr>
    </w:lvl>
    <w:lvl w:ilvl="7" w:tplc="B18AA018" w:tentative="1">
      <w:start w:val="1"/>
      <w:numFmt w:val="lowerLetter"/>
      <w:lvlText w:val="%8."/>
      <w:lvlJc w:val="left"/>
      <w:pPr>
        <w:ind w:left="5760" w:hanging="360"/>
      </w:pPr>
    </w:lvl>
    <w:lvl w:ilvl="8" w:tplc="2676C53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9E8227-C34F-483C-B433-8058D302534E}"/>
    <w:docVar w:name="dgnword-eventsink" w:val="577564640"/>
  </w:docVars>
  <w:rsids>
    <w:rsidRoot w:val="0044407D"/>
    <w:rsid w:val="000002C9"/>
    <w:rsid w:val="00033613"/>
    <w:rsid w:val="0006001F"/>
    <w:rsid w:val="0007426C"/>
    <w:rsid w:val="00083EF6"/>
    <w:rsid w:val="000C137B"/>
    <w:rsid w:val="000D0D0A"/>
    <w:rsid w:val="000F4CD0"/>
    <w:rsid w:val="00103163"/>
    <w:rsid w:val="001101EF"/>
    <w:rsid w:val="00115D93"/>
    <w:rsid w:val="001179D8"/>
    <w:rsid w:val="001247A8"/>
    <w:rsid w:val="001378C0"/>
    <w:rsid w:val="00160926"/>
    <w:rsid w:val="0018694A"/>
    <w:rsid w:val="00197210"/>
    <w:rsid w:val="001A3287"/>
    <w:rsid w:val="001A6508"/>
    <w:rsid w:val="001B2D93"/>
    <w:rsid w:val="001C795C"/>
    <w:rsid w:val="001D0B38"/>
    <w:rsid w:val="001D25EB"/>
    <w:rsid w:val="001D4C31"/>
    <w:rsid w:val="001E409E"/>
    <w:rsid w:val="001E4D21"/>
    <w:rsid w:val="002045C9"/>
    <w:rsid w:val="00207CD1"/>
    <w:rsid w:val="00226685"/>
    <w:rsid w:val="00233E43"/>
    <w:rsid w:val="00245137"/>
    <w:rsid w:val="00247121"/>
    <w:rsid w:val="002477A2"/>
    <w:rsid w:val="00260A67"/>
    <w:rsid w:val="00263A51"/>
    <w:rsid w:val="00264E11"/>
    <w:rsid w:val="00267E02"/>
    <w:rsid w:val="002A5D44"/>
    <w:rsid w:val="002C7AEF"/>
    <w:rsid w:val="002D3F5F"/>
    <w:rsid w:val="002E0BC4"/>
    <w:rsid w:val="002F1B76"/>
    <w:rsid w:val="00326E63"/>
    <w:rsid w:val="00335CB0"/>
    <w:rsid w:val="00355FF5"/>
    <w:rsid w:val="003561B4"/>
    <w:rsid w:val="00361350"/>
    <w:rsid w:val="003624EF"/>
    <w:rsid w:val="004038CB"/>
    <w:rsid w:val="0040546F"/>
    <w:rsid w:val="00415A40"/>
    <w:rsid w:val="0042404A"/>
    <w:rsid w:val="00443D23"/>
    <w:rsid w:val="0044407D"/>
    <w:rsid w:val="0044618F"/>
    <w:rsid w:val="0046769A"/>
    <w:rsid w:val="00475FB3"/>
    <w:rsid w:val="004A3138"/>
    <w:rsid w:val="004C37A9"/>
    <w:rsid w:val="004F259E"/>
    <w:rsid w:val="00501F2A"/>
    <w:rsid w:val="00511F1D"/>
    <w:rsid w:val="005144A0"/>
    <w:rsid w:val="00515660"/>
    <w:rsid w:val="00520F36"/>
    <w:rsid w:val="00540615"/>
    <w:rsid w:val="00540A28"/>
    <w:rsid w:val="00540A6D"/>
    <w:rsid w:val="00545F15"/>
    <w:rsid w:val="00552229"/>
    <w:rsid w:val="00571EEA"/>
    <w:rsid w:val="00575417"/>
    <w:rsid w:val="005768E1"/>
    <w:rsid w:val="00593E59"/>
    <w:rsid w:val="005C3890"/>
    <w:rsid w:val="005C56EF"/>
    <w:rsid w:val="005F7BFE"/>
    <w:rsid w:val="00600017"/>
    <w:rsid w:val="006224B9"/>
    <w:rsid w:val="006235CA"/>
    <w:rsid w:val="00644CF6"/>
    <w:rsid w:val="006643AB"/>
    <w:rsid w:val="0069551C"/>
    <w:rsid w:val="006A697F"/>
    <w:rsid w:val="00702290"/>
    <w:rsid w:val="00720F7A"/>
    <w:rsid w:val="00721016"/>
    <w:rsid w:val="007210CD"/>
    <w:rsid w:val="00725C46"/>
    <w:rsid w:val="00732045"/>
    <w:rsid w:val="007369DB"/>
    <w:rsid w:val="0074521D"/>
    <w:rsid w:val="007475BB"/>
    <w:rsid w:val="00756E95"/>
    <w:rsid w:val="00774D82"/>
    <w:rsid w:val="00792E35"/>
    <w:rsid w:val="007956C2"/>
    <w:rsid w:val="007976FF"/>
    <w:rsid w:val="007A187E"/>
    <w:rsid w:val="007C72C2"/>
    <w:rsid w:val="007D4436"/>
    <w:rsid w:val="007F257A"/>
    <w:rsid w:val="007F3665"/>
    <w:rsid w:val="00800037"/>
    <w:rsid w:val="00861D73"/>
    <w:rsid w:val="00864C96"/>
    <w:rsid w:val="008843AC"/>
    <w:rsid w:val="008A4E87"/>
    <w:rsid w:val="008C23B3"/>
    <w:rsid w:val="008C5036"/>
    <w:rsid w:val="008D70DA"/>
    <w:rsid w:val="008D76E6"/>
    <w:rsid w:val="008F0008"/>
    <w:rsid w:val="008F5231"/>
    <w:rsid w:val="0091368F"/>
    <w:rsid w:val="009223FC"/>
    <w:rsid w:val="0092392D"/>
    <w:rsid w:val="009242AC"/>
    <w:rsid w:val="0093234A"/>
    <w:rsid w:val="0093616B"/>
    <w:rsid w:val="00986039"/>
    <w:rsid w:val="009863E1"/>
    <w:rsid w:val="009C307F"/>
    <w:rsid w:val="009F642D"/>
    <w:rsid w:val="009F7CD9"/>
    <w:rsid w:val="00A2113E"/>
    <w:rsid w:val="00A23A51"/>
    <w:rsid w:val="00A24607"/>
    <w:rsid w:val="00A249BA"/>
    <w:rsid w:val="00A25CD3"/>
    <w:rsid w:val="00A45030"/>
    <w:rsid w:val="00A7496E"/>
    <w:rsid w:val="00A77E34"/>
    <w:rsid w:val="00A82767"/>
    <w:rsid w:val="00AA332F"/>
    <w:rsid w:val="00AA7BBB"/>
    <w:rsid w:val="00AB01CC"/>
    <w:rsid w:val="00AB303F"/>
    <w:rsid w:val="00AB64A8"/>
    <w:rsid w:val="00AC0266"/>
    <w:rsid w:val="00AD24EC"/>
    <w:rsid w:val="00AD7BEC"/>
    <w:rsid w:val="00AE5069"/>
    <w:rsid w:val="00AE57BE"/>
    <w:rsid w:val="00B03083"/>
    <w:rsid w:val="00B220A1"/>
    <w:rsid w:val="00B22860"/>
    <w:rsid w:val="00B237B8"/>
    <w:rsid w:val="00B30189"/>
    <w:rsid w:val="00B309F9"/>
    <w:rsid w:val="00B32B60"/>
    <w:rsid w:val="00B61619"/>
    <w:rsid w:val="00B719AB"/>
    <w:rsid w:val="00B72DC6"/>
    <w:rsid w:val="00B82135"/>
    <w:rsid w:val="00B954FE"/>
    <w:rsid w:val="00BA15BB"/>
    <w:rsid w:val="00BA2CE6"/>
    <w:rsid w:val="00BA3817"/>
    <w:rsid w:val="00BB26A6"/>
    <w:rsid w:val="00BB4545"/>
    <w:rsid w:val="00BC56CD"/>
    <w:rsid w:val="00BD4810"/>
    <w:rsid w:val="00BD5873"/>
    <w:rsid w:val="00BE0FBF"/>
    <w:rsid w:val="00C04BE3"/>
    <w:rsid w:val="00C23F5C"/>
    <w:rsid w:val="00C25A2E"/>
    <w:rsid w:val="00C25D29"/>
    <w:rsid w:val="00C27A7C"/>
    <w:rsid w:val="00C474D8"/>
    <w:rsid w:val="00CA08ED"/>
    <w:rsid w:val="00CF183B"/>
    <w:rsid w:val="00D168DD"/>
    <w:rsid w:val="00D30024"/>
    <w:rsid w:val="00D375CD"/>
    <w:rsid w:val="00D46A4A"/>
    <w:rsid w:val="00D474C0"/>
    <w:rsid w:val="00D513E5"/>
    <w:rsid w:val="00D553A2"/>
    <w:rsid w:val="00D610E4"/>
    <w:rsid w:val="00D70651"/>
    <w:rsid w:val="00D73C53"/>
    <w:rsid w:val="00D76368"/>
    <w:rsid w:val="00D774D3"/>
    <w:rsid w:val="00D904E8"/>
    <w:rsid w:val="00D93E2C"/>
    <w:rsid w:val="00DA0137"/>
    <w:rsid w:val="00DA06BE"/>
    <w:rsid w:val="00DA08C3"/>
    <w:rsid w:val="00DA6071"/>
    <w:rsid w:val="00DB5A3E"/>
    <w:rsid w:val="00DC22AA"/>
    <w:rsid w:val="00DD5A89"/>
    <w:rsid w:val="00DD6DD4"/>
    <w:rsid w:val="00DE5A61"/>
    <w:rsid w:val="00DE7038"/>
    <w:rsid w:val="00DF74DD"/>
    <w:rsid w:val="00E00B33"/>
    <w:rsid w:val="00E10843"/>
    <w:rsid w:val="00E25AD0"/>
    <w:rsid w:val="00E4643B"/>
    <w:rsid w:val="00E61DBD"/>
    <w:rsid w:val="00E817A0"/>
    <w:rsid w:val="00E9732F"/>
    <w:rsid w:val="00EB103A"/>
    <w:rsid w:val="00EB6350"/>
    <w:rsid w:val="00EC5E54"/>
    <w:rsid w:val="00EE5D12"/>
    <w:rsid w:val="00EF5BE1"/>
    <w:rsid w:val="00F06495"/>
    <w:rsid w:val="00F15B57"/>
    <w:rsid w:val="00F259ED"/>
    <w:rsid w:val="00F3168D"/>
    <w:rsid w:val="00F427DB"/>
    <w:rsid w:val="00F54F23"/>
    <w:rsid w:val="00F82A4B"/>
    <w:rsid w:val="00FA2BE1"/>
    <w:rsid w:val="00FA2FA5"/>
    <w:rsid w:val="00FA5EB1"/>
    <w:rsid w:val="00FA7439"/>
    <w:rsid w:val="00FC1CC5"/>
    <w:rsid w:val="00FC4EC0"/>
    <w:rsid w:val="00FD7C3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CallChar">
    <w:name w:val="Call Char"/>
    <w:basedOn w:val="DefaultParagraphFont"/>
    <w:link w:val="Call"/>
    <w:locked/>
    <w:rsid w:val="00F54F23"/>
    <w:rPr>
      <w:rFonts w:ascii="Calibri" w:hAnsi="Calibri"/>
      <w:i/>
      <w:sz w:val="24"/>
      <w:lang w:val="fr-FR" w:eastAsia="en-US"/>
    </w:rPr>
  </w:style>
  <w:style w:type="character" w:customStyle="1" w:styleId="enumlev1Char">
    <w:name w:val="enumlev1 Char"/>
    <w:basedOn w:val="DefaultParagraphFont"/>
    <w:link w:val="enumlev1"/>
    <w:rsid w:val="00AD7BEC"/>
    <w:rPr>
      <w:rFonts w:ascii="Calibri" w:hAnsi="Calibri"/>
      <w:sz w:val="24"/>
      <w:lang w:val="fr-FR" w:eastAsia="en-US"/>
    </w:rPr>
  </w:style>
  <w:style w:type="character" w:customStyle="1" w:styleId="AnnexNoChar">
    <w:name w:val="Annex_No Char"/>
    <w:basedOn w:val="DefaultParagraphFont"/>
    <w:link w:val="AnnexNo"/>
    <w:rsid w:val="00AD7BEC"/>
    <w:rPr>
      <w:rFonts w:ascii="Calibri" w:hAnsi="Calibri"/>
      <w:caps/>
      <w:sz w:val="28"/>
      <w:lang w:val="fr-FR" w:eastAsia="en-US"/>
    </w:rPr>
  </w:style>
  <w:style w:type="paragraph" w:customStyle="1" w:styleId="NormalendS2">
    <w:name w:val="Normal_end_S2"/>
    <w:basedOn w:val="Normal"/>
    <w:qFormat/>
    <w:rsid w:val="00AD7BEC"/>
    <w:pPr>
      <w:jc w:val="both"/>
    </w:pPr>
    <w:rPr>
      <w:sz w:val="30"/>
    </w:rPr>
  </w:style>
  <w:style w:type="character" w:customStyle="1" w:styleId="Questionarie-instanceQuestion-text">
    <w:name w:val="Questionarie-instance_Question-text"/>
    <w:rsid w:val="00C25A2E"/>
    <w:rPr>
      <w:b/>
      <w:bCs/>
      <w:bdr w:val="nil"/>
    </w:rPr>
  </w:style>
  <w:style w:type="paragraph" w:styleId="Title">
    <w:name w:val="Title"/>
    <w:basedOn w:val="Normal"/>
    <w:next w:val="Normal"/>
    <w:link w:val="TitleChar"/>
    <w:qFormat/>
    <w:rsid w:val="00C25A2E"/>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rsid w:val="00C25A2E"/>
    <w:rPr>
      <w:rFonts w:asciiTheme="majorHAnsi" w:eastAsiaTheme="majorEastAsia" w:hAnsiTheme="majorHAnsi" w:cstheme="majorBidi"/>
      <w:spacing w:val="-10"/>
      <w:kern w:val="28"/>
      <w:sz w:val="56"/>
      <w:szCs w:val="56"/>
    </w:rPr>
  </w:style>
  <w:style w:type="table" w:styleId="TableGrid">
    <w:name w:val="Table Grid"/>
    <w:basedOn w:val="TableNormal"/>
    <w:rsid w:val="00C25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WGSPF3-C-0004/fr" TargetMode="External"/><Relationship Id="rId18" Type="http://schemas.openxmlformats.org/officeDocument/2006/relationships/hyperlink" Target="https://www.itu.int/md/S18-CLCWGSPF3-INF-0001/fr" TargetMode="External"/><Relationship Id="rId26" Type="http://schemas.openxmlformats.org/officeDocument/2006/relationships/hyperlink" Target="https://www.itu.int/md/S18-CLCWGSPF3-C-0007/fr" TargetMode="External"/><Relationship Id="rId3" Type="http://schemas.openxmlformats.org/officeDocument/2006/relationships/styles" Target="styles.xml"/><Relationship Id="rId21" Type="http://schemas.openxmlformats.org/officeDocument/2006/relationships/hyperlink" Target="https://www.itu.int/md/S18-CLCWGSPF3-C-0005/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CLCWGFHRM8-C-0010/fr" TargetMode="External"/><Relationship Id="rId17" Type="http://schemas.openxmlformats.org/officeDocument/2006/relationships/hyperlink" Target="https://www.itu.int/md/S18-CLCWGSPF3-C-0011/fr" TargetMode="External"/><Relationship Id="rId25" Type="http://schemas.openxmlformats.org/officeDocument/2006/relationships/hyperlink" Target="https://www.itu.int/md/S18-CLCWGSPF3-C-0014/fr"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18-CLCWGSPF3-C-0016/fr" TargetMode="External"/><Relationship Id="rId20" Type="http://schemas.openxmlformats.org/officeDocument/2006/relationships/hyperlink" Target="https://www.itu.int/md/S18-CLCWGSPF3-C-0015/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SPF3-C-0003/fr" TargetMode="External"/><Relationship Id="rId24" Type="http://schemas.openxmlformats.org/officeDocument/2006/relationships/hyperlink" Target="https://www.itu.int/md/S18-CLCWGSPF3-C-0013/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8-CLCWGSPF3-C-0005/fr" TargetMode="External"/><Relationship Id="rId23" Type="http://schemas.openxmlformats.org/officeDocument/2006/relationships/hyperlink" Target="https://www.itu.int/md/S18-CLCWGSPF3-C-0006/fr" TargetMode="External"/><Relationship Id="rId28" Type="http://schemas.openxmlformats.org/officeDocument/2006/relationships/hyperlink" Target="https://www.itu.int/md/S18-CLCWGSPF3-C-0008/fr" TargetMode="External"/><Relationship Id="rId36" Type="http://schemas.openxmlformats.org/officeDocument/2006/relationships/theme" Target="theme/theme1.xml"/><Relationship Id="rId10" Type="http://schemas.openxmlformats.org/officeDocument/2006/relationships/hyperlink" Target="https://www.itu.int/md/S18-CLCWGSPF3-C-0002/en" TargetMode="External"/><Relationship Id="rId19" Type="http://schemas.openxmlformats.org/officeDocument/2006/relationships/hyperlink" Target="https://www.itu.int/md/S18-CLCWGSPF3-C-0010/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meetingdoc.asp?lang=en&amp;parent=S18-CLCWGSPF3-C-0001" TargetMode="External"/><Relationship Id="rId14" Type="http://schemas.openxmlformats.org/officeDocument/2006/relationships/hyperlink" Target="https://www.itu.int/md/S18-CLCWGSPF3-C-0012/fr" TargetMode="External"/><Relationship Id="rId22" Type="http://schemas.openxmlformats.org/officeDocument/2006/relationships/hyperlink" Target="https://www.itu.int/md/S18-CLCWGSPF3-C-0006/fr" TargetMode="External"/><Relationship Id="rId27" Type="http://schemas.openxmlformats.org/officeDocument/2006/relationships/hyperlink" Target="https://www.itu.int/md/S18-CLCWGSPF3-C-0009/fr" TargetMode="External"/><Relationship Id="rId30" Type="http://schemas.openxmlformats.org/officeDocument/2006/relationships/header" Target="header2.xml"/><Relationship Id="rId35"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59D0-8185-4616-A087-C02FEE3A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13215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Janin</cp:lastModifiedBy>
  <cp:revision>3</cp:revision>
  <cp:lastPrinted>2018-02-21T14:04:00Z</cp:lastPrinted>
  <dcterms:created xsi:type="dcterms:W3CDTF">2018-02-22T10:24:00Z</dcterms:created>
  <dcterms:modified xsi:type="dcterms:W3CDTF">2018-02-22T10:25:00Z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