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tbl>
            <w:tblPr>
              <w:tblpPr w:leftFromText="180" w:rightFromText="180" w:horzAnchor="margin" w:tblpY="-645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912"/>
            </w:tblGrid>
            <w:tr w:rsidR="005E1DA2" w:rsidRPr="005E1DA2" w:rsidTr="005E1DA2">
              <w:trPr>
                <w:cantSplit/>
              </w:trPr>
              <w:tc>
                <w:tcPr>
                  <w:tcW w:w="6912" w:type="dxa"/>
                  <w:hideMark/>
                </w:tcPr>
                <w:p w:rsidR="005E1DA2" w:rsidRDefault="005E1DA2" w:rsidP="005E1DA2">
                  <w:pPr>
                    <w:rPr>
                      <w:b/>
                      <w:bCs/>
                      <w:sz w:val="30"/>
                      <w:szCs w:val="30"/>
                    </w:rPr>
                  </w:pPr>
                  <w:bookmarkStart w:id="0" w:name="dbluepink" w:colFirst="0" w:colLast="0"/>
                  <w:bookmarkStart w:id="1" w:name="_GoBack"/>
                  <w:bookmarkEnd w:id="1"/>
                  <w:r>
                    <w:rPr>
                      <w:b/>
                      <w:bCs/>
                      <w:sz w:val="30"/>
                      <w:szCs w:val="30"/>
                    </w:rPr>
                    <w:t>Grupo de Trabajo del Consejo sobre los Planes Estratégico y Financiero de la Unión para 2020-2023</w:t>
                  </w:r>
                </w:p>
                <w:p w:rsidR="005E1DA2" w:rsidRDefault="005E1DA2" w:rsidP="005E1DA2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Tercera reunión – Ginebra, 15-16 de enero de 2018</w:t>
                  </w:r>
                </w:p>
              </w:tc>
            </w:tr>
          </w:tbl>
          <w:p w:rsidR="00093EEB" w:rsidRPr="000B0D00" w:rsidRDefault="00093EEB" w:rsidP="009F4811">
            <w:pPr>
              <w:spacing w:before="360"/>
              <w:rPr>
                <w:szCs w:val="24"/>
              </w:rPr>
            </w:pP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5E1DA2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</w:t>
            </w:r>
            <w:r w:rsidR="005E1DA2">
              <w:rPr>
                <w:b/>
                <w:bCs/>
                <w:szCs w:val="24"/>
              </w:rPr>
              <w:t>WG-SFP-3</w:t>
            </w:r>
            <w:r>
              <w:rPr>
                <w:b/>
                <w:bCs/>
                <w:szCs w:val="24"/>
              </w:rPr>
              <w:t>/</w:t>
            </w:r>
            <w:r w:rsidR="005E1DA2">
              <w:rPr>
                <w:b/>
                <w:bCs/>
                <w:szCs w:val="24"/>
              </w:rPr>
              <w:t>13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5E1DA2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en-US"/>
              </w:rPr>
              <w:t>28 de diciembre de</w:t>
            </w:r>
            <w:r w:rsidRPr="00266E1A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 2017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CD724E" w:rsidP="00CD724E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ruso/inglés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5E1DA2">
            <w:pPr>
              <w:pStyle w:val="Source"/>
            </w:pPr>
            <w:bookmarkStart w:id="7" w:name="dsource" w:colFirst="0" w:colLast="0"/>
            <w:bookmarkEnd w:id="0"/>
            <w:bookmarkEnd w:id="6"/>
            <w:r>
              <w:rPr>
                <w:lang w:val="en-US"/>
              </w:rPr>
              <w:t>Federación de Rusia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5E1DA2" w:rsidRPr="00F61B65" w:rsidRDefault="005E1DA2" w:rsidP="005E1DA2">
            <w:pPr>
              <w:pStyle w:val="Title1"/>
            </w:pPr>
            <w:bookmarkStart w:id="8" w:name="dtitle1" w:colFirst="0" w:colLast="0"/>
            <w:bookmarkEnd w:id="7"/>
            <w:r w:rsidRPr="00F61B65">
              <w:t>CONTRIBUción de la federación de rusia</w:t>
            </w:r>
          </w:p>
          <w:p w:rsidR="00093EEB" w:rsidRPr="000B0D00" w:rsidRDefault="005E1DA2" w:rsidP="005E1DA2">
            <w:pPr>
              <w:pStyle w:val="Title1"/>
            </w:pPr>
            <w:r w:rsidRPr="00F61B65">
              <w:t>revisión de las resoluciones relacionadas con la planificación estratégica (Resoluciones 71, 72, 131, 151, 191, 200)</w:t>
            </w:r>
          </w:p>
        </w:tc>
      </w:tr>
      <w:bookmarkEnd w:id="8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5E1DA2" w:rsidRPr="00F61B65" w:rsidRDefault="005E1DA2" w:rsidP="00B65E46">
            <w:r w:rsidRPr="00F61B65">
              <w:t xml:space="preserve">En este documento se presentan algunos puntos que la Federación de Rusia desea señalar a la atención de los participantes en la tercera reunión del GTC-PEF, habida cuenta que, desde la PP-14, se han puesto en práctica algunas de las instrucciones indicadas en las Resoluciones de referencia, y para </w:t>
            </w:r>
            <w:r w:rsidRPr="00F61B65">
              <w:rPr>
                <w:i/>
                <w:iCs/>
              </w:rPr>
              <w:t xml:space="preserve">modificar </w:t>
            </w:r>
            <w:r w:rsidRPr="00F61B65">
              <w:t>los textos de las Resoluciones a fin de evitar las duplicaciones y una innecesaria prolijidad de los textos, resultante de las nuevas metas y objetivos de las actividades de la UIT.</w:t>
            </w:r>
          </w:p>
          <w:p w:rsidR="00093EEB" w:rsidRPr="005E1DA2" w:rsidRDefault="005E1DA2" w:rsidP="00B65E46">
            <w:r w:rsidRPr="00F61B65">
              <w:t>Se propone combin</w:t>
            </w:r>
            <w:r>
              <w:t>a</w:t>
            </w:r>
            <w:r w:rsidRPr="00F61B65">
              <w:t>r dos Resoluciones insertando el contenido principal de la Resolución 72 (Rev. Bus</w:t>
            </w:r>
            <w:r>
              <w:t>á</w:t>
            </w:r>
            <w:r w:rsidRPr="00F61B65">
              <w:t xml:space="preserve">n, 2014) </w:t>
            </w:r>
            <w:r>
              <w:t>en la Resolución 151 revisada (se ha preparado una contribución independiente al respecto</w:t>
            </w:r>
            <w:r w:rsidRPr="00F61B65">
              <w:t>).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5E1DA2" w:rsidP="00B65E46">
            <w:pPr>
              <w:rPr>
                <w:lang w:val="es-ES"/>
              </w:rPr>
            </w:pPr>
            <w:r w:rsidRPr="00F61B65">
              <w:t>Se invita al GTC-PEF a considerar los asuntos y propuestas que se presentan a continuación a fin de tomar en consideración los resultados de los debates sobre la revisión de las Resoluciones</w:t>
            </w:r>
            <w:r w:rsidRPr="00F61B65">
              <w:rPr>
                <w:bCs/>
              </w:rPr>
              <w:t xml:space="preserve"> 71, 72, 131, 151, 191, 200.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093EEB" w:rsidRPr="000B0D00" w:rsidRDefault="005E1DA2">
            <w:pPr>
              <w:spacing w:after="120"/>
              <w:rPr>
                <w:i/>
                <w:iCs/>
                <w:lang w:val="es-ES"/>
              </w:rPr>
            </w:pPr>
            <w:r w:rsidRPr="00F61B65">
              <w:rPr>
                <w:rFonts w:asciiTheme="minorHAnsi" w:hAnsiTheme="minorHAnsi"/>
                <w:i/>
                <w:szCs w:val="24"/>
              </w:rPr>
              <w:t>Resolución 1384 del Consejo-17</w:t>
            </w:r>
            <w:r w:rsidRPr="00F61B65">
              <w:rPr>
                <w:rFonts w:asciiTheme="minorHAnsi" w:hAnsiTheme="minorHAnsi"/>
                <w:i/>
                <w:iCs/>
                <w:szCs w:val="24"/>
              </w:rPr>
              <w:t>; Resolución</w:t>
            </w:r>
            <w:r w:rsidRPr="00F61B65">
              <w:rPr>
                <w:rFonts w:asciiTheme="minorHAnsi" w:hAnsiTheme="minorHAnsi"/>
                <w:i/>
                <w:szCs w:val="24"/>
              </w:rPr>
              <w:t xml:space="preserve"> 71 (Rev. Bus</w:t>
            </w:r>
            <w:r>
              <w:rPr>
                <w:rFonts w:asciiTheme="minorHAnsi" w:hAnsiTheme="minorHAnsi"/>
                <w:i/>
                <w:szCs w:val="24"/>
              </w:rPr>
              <w:t>á</w:t>
            </w:r>
            <w:r w:rsidRPr="00F61B65">
              <w:rPr>
                <w:rFonts w:asciiTheme="minorHAnsi" w:hAnsiTheme="minorHAnsi"/>
                <w:i/>
                <w:szCs w:val="24"/>
              </w:rPr>
              <w:t xml:space="preserve">n, 2014); </w:t>
            </w:r>
            <w:r w:rsidRPr="00F61B65">
              <w:rPr>
                <w:rFonts w:asciiTheme="minorHAnsi" w:hAnsiTheme="minorHAnsi"/>
                <w:i/>
                <w:iCs/>
                <w:szCs w:val="24"/>
              </w:rPr>
              <w:t>Resolu</w:t>
            </w:r>
            <w:r>
              <w:rPr>
                <w:rFonts w:asciiTheme="minorHAnsi" w:hAnsiTheme="minorHAnsi"/>
                <w:i/>
                <w:iCs/>
                <w:szCs w:val="24"/>
              </w:rPr>
              <w:t>ción</w:t>
            </w:r>
            <w:r w:rsidRPr="00F61B65">
              <w:rPr>
                <w:rFonts w:asciiTheme="minorHAnsi" w:hAnsiTheme="minorHAnsi"/>
                <w:i/>
                <w:iCs/>
                <w:szCs w:val="24"/>
              </w:rPr>
              <w:t xml:space="preserve"> 72 (Rev. Bus</w:t>
            </w:r>
            <w:r>
              <w:rPr>
                <w:rFonts w:asciiTheme="minorHAnsi" w:hAnsiTheme="minorHAnsi"/>
                <w:i/>
                <w:iCs/>
                <w:szCs w:val="24"/>
              </w:rPr>
              <w:t>á</w:t>
            </w:r>
            <w:r w:rsidRPr="00F61B65">
              <w:rPr>
                <w:rFonts w:asciiTheme="minorHAnsi" w:hAnsiTheme="minorHAnsi"/>
                <w:i/>
                <w:iCs/>
                <w:szCs w:val="24"/>
              </w:rPr>
              <w:t>n, 2014); Resolu</w:t>
            </w:r>
            <w:r>
              <w:rPr>
                <w:rFonts w:asciiTheme="minorHAnsi" w:hAnsiTheme="minorHAnsi"/>
                <w:i/>
                <w:iCs/>
                <w:szCs w:val="24"/>
              </w:rPr>
              <w:t>ción</w:t>
            </w:r>
            <w:r w:rsidRPr="00F61B65">
              <w:rPr>
                <w:rFonts w:asciiTheme="minorHAnsi" w:hAnsiTheme="minorHAnsi"/>
                <w:i/>
                <w:iCs/>
                <w:szCs w:val="24"/>
              </w:rPr>
              <w:t xml:space="preserve"> 151 (Rev. Bus</w:t>
            </w:r>
            <w:r>
              <w:rPr>
                <w:rFonts w:asciiTheme="minorHAnsi" w:hAnsiTheme="minorHAnsi"/>
                <w:i/>
                <w:iCs/>
                <w:szCs w:val="24"/>
              </w:rPr>
              <w:t>á</w:t>
            </w:r>
            <w:r w:rsidRPr="00F61B65">
              <w:rPr>
                <w:rFonts w:asciiTheme="minorHAnsi" w:hAnsiTheme="minorHAnsi"/>
                <w:i/>
                <w:iCs/>
                <w:szCs w:val="24"/>
              </w:rPr>
              <w:t>n, 2014); Resolu</w:t>
            </w:r>
            <w:r>
              <w:rPr>
                <w:rFonts w:asciiTheme="minorHAnsi" w:hAnsiTheme="minorHAnsi"/>
                <w:i/>
                <w:iCs/>
                <w:szCs w:val="24"/>
              </w:rPr>
              <w:t>ción</w:t>
            </w:r>
            <w:r w:rsidRPr="00F61B65">
              <w:rPr>
                <w:rFonts w:asciiTheme="minorHAnsi" w:hAnsiTheme="minorHAnsi"/>
                <w:i/>
                <w:iCs/>
                <w:szCs w:val="24"/>
              </w:rPr>
              <w:t xml:space="preserve"> 191 (Bus</w:t>
            </w:r>
            <w:r>
              <w:rPr>
                <w:rFonts w:asciiTheme="minorHAnsi" w:hAnsiTheme="minorHAnsi"/>
                <w:i/>
                <w:iCs/>
                <w:szCs w:val="24"/>
              </w:rPr>
              <w:t>á</w:t>
            </w:r>
            <w:r w:rsidRPr="00F61B65">
              <w:rPr>
                <w:rFonts w:asciiTheme="minorHAnsi" w:hAnsiTheme="minorHAnsi"/>
                <w:i/>
                <w:iCs/>
                <w:szCs w:val="24"/>
              </w:rPr>
              <w:t>n, 2014);</w:t>
            </w:r>
            <w:r w:rsidRPr="00F61B65">
              <w:rPr>
                <w:rFonts w:asciiTheme="minorHAnsi" w:hAnsiTheme="minorHAnsi"/>
                <w:i/>
                <w:szCs w:val="24"/>
              </w:rPr>
              <w:t xml:space="preserve"> </w:t>
            </w:r>
            <w:r w:rsidRPr="00F61B65">
              <w:rPr>
                <w:rFonts w:asciiTheme="minorHAnsi" w:hAnsiTheme="minorHAnsi"/>
                <w:i/>
                <w:iCs/>
                <w:szCs w:val="24"/>
              </w:rPr>
              <w:t>Resolu</w:t>
            </w:r>
            <w:r>
              <w:rPr>
                <w:rFonts w:asciiTheme="minorHAnsi" w:hAnsiTheme="minorHAnsi"/>
                <w:i/>
                <w:iCs/>
                <w:szCs w:val="24"/>
              </w:rPr>
              <w:t>ción</w:t>
            </w:r>
            <w:r w:rsidRPr="00F61B65">
              <w:rPr>
                <w:rFonts w:asciiTheme="minorHAnsi" w:hAnsiTheme="minorHAnsi"/>
                <w:i/>
                <w:iCs/>
                <w:szCs w:val="24"/>
              </w:rPr>
              <w:t xml:space="preserve"> 200 (Bus</w:t>
            </w:r>
            <w:r>
              <w:rPr>
                <w:rFonts w:asciiTheme="minorHAnsi" w:hAnsiTheme="minorHAnsi"/>
                <w:i/>
                <w:iCs/>
                <w:szCs w:val="24"/>
              </w:rPr>
              <w:t>á</w:t>
            </w:r>
            <w:r w:rsidRPr="00F61B65">
              <w:rPr>
                <w:rFonts w:asciiTheme="minorHAnsi" w:hAnsiTheme="minorHAnsi"/>
                <w:i/>
                <w:iCs/>
                <w:szCs w:val="24"/>
              </w:rPr>
              <w:t xml:space="preserve">n, 2014); Doc.C17/45; Doc.C17/123; Doc.CWG-SFP-2/6 </w:t>
            </w:r>
            <w:r w:rsidR="00BF119D">
              <w:rPr>
                <w:rFonts w:asciiTheme="minorHAnsi" w:hAnsiTheme="minorHAnsi"/>
                <w:i/>
                <w:iCs/>
                <w:szCs w:val="24"/>
              </w:rPr>
              <w:t>(</w:t>
            </w:r>
            <w:r w:rsidRPr="00F61B65">
              <w:rPr>
                <w:rFonts w:asciiTheme="minorHAnsi" w:hAnsiTheme="minorHAnsi"/>
                <w:i/>
                <w:iCs/>
                <w:szCs w:val="24"/>
              </w:rPr>
              <w:t>Rev.2</w:t>
            </w:r>
            <w:r w:rsidR="00BF119D">
              <w:rPr>
                <w:rFonts w:asciiTheme="minorHAnsi" w:hAnsiTheme="minorHAnsi"/>
                <w:i/>
                <w:iCs/>
                <w:szCs w:val="24"/>
              </w:rPr>
              <w:t>)</w:t>
            </w:r>
            <w:r w:rsidRPr="00F61B65">
              <w:rPr>
                <w:rFonts w:asciiTheme="minorHAnsi" w:hAnsiTheme="minorHAnsi"/>
                <w:i/>
                <w:iCs/>
                <w:szCs w:val="24"/>
              </w:rPr>
              <w:t>;</w:t>
            </w:r>
            <w:r w:rsidRPr="00F61B65">
              <w:rPr>
                <w:rFonts w:asciiTheme="minorHAnsi" w:hAnsiTheme="minorHAnsi"/>
                <w:szCs w:val="24"/>
              </w:rPr>
              <w:t xml:space="preserve"> </w:t>
            </w:r>
            <w:r w:rsidRPr="00F61B65">
              <w:rPr>
                <w:rFonts w:asciiTheme="minorHAnsi" w:hAnsiTheme="minorHAnsi"/>
                <w:i/>
                <w:iCs/>
                <w:szCs w:val="24"/>
              </w:rPr>
              <w:t>Doc.CWG-SFP-3/7; Doc.CWG-SFP-3/5</w:t>
            </w:r>
          </w:p>
          <w:p w:rsidR="00093EEB" w:rsidRPr="000B0D00" w:rsidRDefault="00093EEB">
            <w:pPr>
              <w:spacing w:after="120"/>
              <w:rPr>
                <w:i/>
                <w:iCs/>
                <w:lang w:val="es-ES"/>
              </w:rPr>
            </w:pPr>
          </w:p>
        </w:tc>
      </w:tr>
    </w:tbl>
    <w:p w:rsidR="005E1DA2" w:rsidRDefault="005E1DA2" w:rsidP="000B0D00"/>
    <w:p w:rsidR="005E1DA2" w:rsidRDefault="005E1D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5E1DA2" w:rsidRPr="00266E1A" w:rsidRDefault="0086178B" w:rsidP="0086178B">
      <w:pPr>
        <w:pStyle w:val="Heading1"/>
      </w:pPr>
      <w:r>
        <w:lastRenderedPageBreak/>
        <w:t>1</w:t>
      </w:r>
      <w:r>
        <w:tab/>
      </w:r>
      <w:r w:rsidR="005E1DA2" w:rsidRPr="0086178B">
        <w:t>Antecedentes</w:t>
      </w:r>
    </w:p>
    <w:p w:rsidR="005E1DA2" w:rsidRPr="00353EBE" w:rsidRDefault="005E1DA2" w:rsidP="003F355B">
      <w:pPr>
        <w:rPr>
          <w:rFonts w:eastAsiaTheme="minorHAnsi"/>
        </w:rPr>
      </w:pPr>
      <w:r w:rsidRPr="00F61B65">
        <w:rPr>
          <w:rFonts w:eastAsiaTheme="minorHAnsi"/>
        </w:rPr>
        <w:t xml:space="preserve">El Grupo de Trabajo del Consejo sobre los Planes Estratégico y Financiero para 2020-2023 decidió incluir entre sus actividades la revisión de las Resoluciones 71, 72, 151, 191 </w:t>
      </w:r>
      <w:r>
        <w:rPr>
          <w:rFonts w:eastAsiaTheme="minorHAnsi"/>
        </w:rPr>
        <w:t>y</w:t>
      </w:r>
      <w:r w:rsidRPr="00F61B65">
        <w:rPr>
          <w:rFonts w:eastAsiaTheme="minorHAnsi"/>
        </w:rPr>
        <w:t xml:space="preserve"> 200 </w:t>
      </w:r>
      <w:r>
        <w:rPr>
          <w:rFonts w:eastAsiaTheme="minorHAnsi"/>
        </w:rPr>
        <w:t>de la PP a fin de armonizarlas con el nuevo Plan Estratégico</w:t>
      </w:r>
      <w:r w:rsidRPr="00F61B65">
        <w:rPr>
          <w:rFonts w:eastAsiaTheme="minorHAnsi"/>
        </w:rPr>
        <w:t xml:space="preserve"> (Doc</w:t>
      </w:r>
      <w:r>
        <w:rPr>
          <w:rFonts w:eastAsiaTheme="minorHAnsi"/>
        </w:rPr>
        <w:t>umento</w:t>
      </w:r>
      <w:r w:rsidRPr="00F61B65">
        <w:rPr>
          <w:rFonts w:eastAsiaTheme="minorHAnsi"/>
        </w:rPr>
        <w:t xml:space="preserve"> CWG-SFP-2/2 (</w:t>
      </w:r>
      <w:r w:rsidRPr="00266E1A">
        <w:rPr>
          <w:rFonts w:eastAsiaTheme="minorHAnsi"/>
          <w:lang w:val="ru-RU"/>
        </w:rPr>
        <w:t>С</w:t>
      </w:r>
      <w:r w:rsidRPr="00F61B65">
        <w:rPr>
          <w:rFonts w:eastAsiaTheme="minorHAnsi"/>
        </w:rPr>
        <w:t>17/123)). La Federación de Rusia recomienda que se incluya en la lista la Resolución 131 (Rev. Busán, 2014) "Medición de las tecnologías de la información y la comunicación para la construcci</w:t>
      </w:r>
      <w:r>
        <w:rPr>
          <w:rFonts w:eastAsiaTheme="minorHAnsi"/>
        </w:rPr>
        <w:t>ón de una sociedad de la información integradora e inclusiva</w:t>
      </w:r>
      <w:r w:rsidRPr="00F61B65">
        <w:rPr>
          <w:rFonts w:eastAsiaTheme="minorHAnsi"/>
        </w:rPr>
        <w:t xml:space="preserve"> "</w:t>
      </w:r>
      <w:r>
        <w:rPr>
          <w:rFonts w:eastAsiaTheme="minorHAnsi"/>
        </w:rPr>
        <w:t xml:space="preserve">, pues en el título ya se refleja la importancia de esta Resolución para reflejar los progresos en la consecución de las metas estratégicas de la UIT. </w:t>
      </w:r>
      <w:r w:rsidRPr="00353EBE">
        <w:rPr>
          <w:rFonts w:eastAsiaTheme="minorHAnsi"/>
        </w:rPr>
        <w:t>Habida cuenta de lo anterior, la Federación de Rusia propone lo siguiente:</w:t>
      </w:r>
    </w:p>
    <w:p w:rsidR="005E1DA2" w:rsidRPr="00353EBE" w:rsidRDefault="005E1DA2" w:rsidP="0086178B">
      <w:pPr>
        <w:pStyle w:val="Heading1"/>
        <w:rPr>
          <w:rFonts w:eastAsiaTheme="minorHAnsi"/>
        </w:rPr>
      </w:pPr>
      <w:r w:rsidRPr="00353EBE">
        <w:rPr>
          <w:rFonts w:eastAsiaTheme="minorHAnsi"/>
        </w:rPr>
        <w:t>2</w:t>
      </w:r>
      <w:r w:rsidR="0086178B">
        <w:rPr>
          <w:rFonts w:eastAsiaTheme="minorHAnsi"/>
        </w:rPr>
        <w:tab/>
      </w:r>
      <w:r w:rsidRPr="00353EBE">
        <w:rPr>
          <w:rFonts w:eastAsiaTheme="minorHAnsi"/>
        </w:rPr>
        <w:t>Propuestas que se han de considerar</w:t>
      </w:r>
    </w:p>
    <w:p w:rsidR="005E1DA2" w:rsidRPr="00353EBE" w:rsidRDefault="005E1DA2" w:rsidP="003F355B">
      <w:r w:rsidRPr="00353EBE">
        <w:t>2.1</w:t>
      </w:r>
      <w:r w:rsidRPr="00353EBE">
        <w:tab/>
      </w:r>
      <w:r w:rsidRPr="00353EBE">
        <w:rPr>
          <w:i/>
          <w:iCs/>
        </w:rPr>
        <w:t>Proponemos</w:t>
      </w:r>
      <w:r w:rsidRPr="00353EBE">
        <w:rPr>
          <w:i/>
        </w:rPr>
        <w:t xml:space="preserve"> </w:t>
      </w:r>
      <w:r w:rsidRPr="00353EBE">
        <w:t>que la Secretaría prepare y presente a la tercera y/o la cuarta reuniones del GTC-PEF un(os) documento(s) de información sobre las instrucciones de las Resoluciones 71, 72, 131, 151, 191 y 200 que ya se han cumplido, de acuerdo con la necesidad de evaluar los progresos en la aplicaci</w:t>
      </w:r>
      <w:r>
        <w:t>ón de las Resoluciones y con el fin de modificarlas convenientemente antes de presentarlas a la</w:t>
      </w:r>
      <w:r w:rsidRPr="00353EBE">
        <w:t xml:space="preserve"> PP-18.</w:t>
      </w:r>
    </w:p>
    <w:p w:rsidR="005E1DA2" w:rsidRPr="00353EBE" w:rsidRDefault="005E1DA2" w:rsidP="003A12D1">
      <w:r w:rsidRPr="00353EBE">
        <w:t>2.2</w:t>
      </w:r>
      <w:r w:rsidRPr="00353EBE">
        <w:tab/>
        <w:t xml:space="preserve">Entendiendo que la vinculación de todos los planes y tipos de planificación de la Unión forma parte de la gestión basada en resultados (GBR), </w:t>
      </w:r>
      <w:r w:rsidRPr="00353EBE">
        <w:rPr>
          <w:i/>
          <w:iCs/>
        </w:rPr>
        <w:t>proponemos</w:t>
      </w:r>
      <w:r w:rsidRPr="00353EBE">
        <w:t xml:space="preserve"> que se estudie si es razonable </w:t>
      </w:r>
      <w:r>
        <w:t>refundir</w:t>
      </w:r>
      <w:r w:rsidRPr="00353EBE">
        <w:t xml:space="preserve"> la Resolución 151, "</w:t>
      </w:r>
      <w:r>
        <w:t>Aplicación de la gestión basada en los resultados en la UIT</w:t>
      </w:r>
      <w:r w:rsidRPr="00353EBE">
        <w:t xml:space="preserve">" </w:t>
      </w:r>
      <w:r>
        <w:t>y la Resolución</w:t>
      </w:r>
      <w:r w:rsidRPr="00353EBE">
        <w:t xml:space="preserve"> 72 "</w:t>
      </w:r>
      <w:r>
        <w:t>Vinculación de la planificación estratégica, financiera y operacional en la UIT</w:t>
      </w:r>
      <w:r w:rsidRPr="00353EBE">
        <w:t xml:space="preserve">" </w:t>
      </w:r>
      <w:r>
        <w:t>sobre la base de la contribución de la Federación de Rusia presentada en el Documento</w:t>
      </w:r>
      <w:r w:rsidRPr="00353EBE">
        <w:t xml:space="preserve"> "Prop</w:t>
      </w:r>
      <w:r>
        <w:t>uestas para modificar la Resolución</w:t>
      </w:r>
      <w:r w:rsidRPr="00353EBE">
        <w:t xml:space="preserve"> 151 (Rev. Bus</w:t>
      </w:r>
      <w:r>
        <w:t>á</w:t>
      </w:r>
      <w:r w:rsidRPr="00353EBE">
        <w:t xml:space="preserve">n, 2014) </w:t>
      </w:r>
      <w:r>
        <w:t>mediante su refundición con la Resolución</w:t>
      </w:r>
      <w:r w:rsidRPr="00353EBE">
        <w:t xml:space="preserve"> 72 (Rev. Bus</w:t>
      </w:r>
      <w:r>
        <w:t>á</w:t>
      </w:r>
      <w:r w:rsidRPr="00353EBE">
        <w:t>n, 2014)".</w:t>
      </w:r>
    </w:p>
    <w:p w:rsidR="005E1DA2" w:rsidRPr="00BA5236" w:rsidRDefault="005E1DA2" w:rsidP="003F355B">
      <w:r w:rsidRPr="00BA5236">
        <w:t>2.3</w:t>
      </w:r>
      <w:r w:rsidRPr="00BA5236">
        <w:tab/>
        <w:t>Habida cuenta de que el mecanismo para vincular los tres tipos de plan, indicando las herramientas y medios específicos para ello, no figura en la Resolución 72 (Rev. Bus</w:t>
      </w:r>
      <w:r>
        <w:t>á</w:t>
      </w:r>
      <w:r w:rsidRPr="00BA5236">
        <w:t xml:space="preserve">n, 2014), </w:t>
      </w:r>
      <w:r w:rsidRPr="00BA5236">
        <w:rPr>
          <w:i/>
        </w:rPr>
        <w:t>propo</w:t>
      </w:r>
      <w:r>
        <w:rPr>
          <w:i/>
        </w:rPr>
        <w:t>nemos</w:t>
      </w:r>
      <w:r w:rsidRPr="00BA5236">
        <w:rPr>
          <w:i/>
        </w:rPr>
        <w:t xml:space="preserve"> </w:t>
      </w:r>
      <w:r>
        <w:t>que la Secretaría prepare un documento donde se presente el proceso de vinculación de los Planes Estratégico, Financiero y Operacional con un algoritmo que refleje todos los pasos del proceso de vinculación y que ese documento pueda presentarse como Anexo a la Resolución 151 revisada</w:t>
      </w:r>
      <w:r w:rsidRPr="00BA5236">
        <w:t>.</w:t>
      </w:r>
    </w:p>
    <w:p w:rsidR="005E1DA2" w:rsidRPr="00BA5236" w:rsidRDefault="005E1DA2" w:rsidP="003F355B">
      <w:r w:rsidRPr="00BA5236">
        <w:t>2.4</w:t>
      </w:r>
      <w:r w:rsidRPr="00BA5236">
        <w:tab/>
        <w:t>La medición de las TIC para la construcción de una sociedad de</w:t>
      </w:r>
      <w:r>
        <w:t xml:space="preserve"> </w:t>
      </w:r>
      <w:r w:rsidRPr="00BA5236">
        <w:t>la infor</w:t>
      </w:r>
      <w:r>
        <w:t>m</w:t>
      </w:r>
      <w:r w:rsidRPr="00BA5236">
        <w:t>ación integradora e inclusiva es un objetivo importante de las actividades de la UIT y como tal ha quedado reflejado en la Resoluci</w:t>
      </w:r>
      <w:r>
        <w:t>ón</w:t>
      </w:r>
      <w:r w:rsidRPr="00BA5236">
        <w:t xml:space="preserve"> 131 (Rev. Bus</w:t>
      </w:r>
      <w:r>
        <w:t>á</w:t>
      </w:r>
      <w:r w:rsidRPr="00BA5236">
        <w:t xml:space="preserve">n, 2014) " </w:t>
      </w:r>
      <w:r w:rsidRPr="00F61B65">
        <w:t>Medición de las tecnologías de la información y la comunicación para la construcci</w:t>
      </w:r>
      <w:r>
        <w:t>ón de una sociedad de la info</w:t>
      </w:r>
      <w:r w:rsidR="00C50D54">
        <w:t>rmación integradora e inclusiva"</w:t>
      </w:r>
      <w:r>
        <w:t xml:space="preserve"> y en la Resolución</w:t>
      </w:r>
      <w:r w:rsidRPr="00BA5236">
        <w:t xml:space="preserve"> 8 (</w:t>
      </w:r>
      <w:r>
        <w:t>CMDT</w:t>
      </w:r>
      <w:r w:rsidRPr="00BA5236">
        <w:t xml:space="preserve">-17). Teniendo esto en mente, </w:t>
      </w:r>
      <w:r w:rsidRPr="00BA5236">
        <w:rPr>
          <w:i/>
        </w:rPr>
        <w:t>proponemos</w:t>
      </w:r>
      <w:r w:rsidRPr="00BA5236">
        <w:t xml:space="preserve"> que en la revisión de la Resolución 131 (Rev. Busán, 2014) se tenga en cuenta lo siguiente: los indicadores incluidos en el Índice de Desarrollo de las Telecomunicaciones/TIC (IDI) </w:t>
      </w:r>
      <w:r>
        <w:t>deberán estar vinculados, entre otras cosas, con los indicadores que reflejen las metas estratégicas de la UIT especificadas en los Planes Estratégico y Operacional de la UIT para</w:t>
      </w:r>
      <w:r w:rsidRPr="00BA5236">
        <w:t xml:space="preserve"> 2020-2023</w:t>
      </w:r>
      <w:r>
        <w:t xml:space="preserve"> y se deberá poder medir su grado de consecución</w:t>
      </w:r>
      <w:r w:rsidRPr="00BA5236">
        <w:t>.</w:t>
      </w:r>
    </w:p>
    <w:p w:rsidR="005E1DA2" w:rsidRPr="00B043C9" w:rsidRDefault="005E1DA2" w:rsidP="003F355B">
      <w:r w:rsidRPr="00B043C9">
        <w:t>Entre otras cosas, tal vinculación redundaría en ahorros para todas las partes interesadas que participan en la recopilación de las estadísticas necesarias (datos estadísticos) y servir</w:t>
      </w:r>
      <w:r>
        <w:t>ía de orientación para los organismos estadísticos de los Estados Miembros de la UIT en general</w:t>
      </w:r>
      <w:r w:rsidRPr="00B043C9">
        <w:t>.</w:t>
      </w:r>
    </w:p>
    <w:p w:rsidR="005E1DA2" w:rsidRPr="001A2721" w:rsidRDefault="005E1DA2" w:rsidP="003F355B">
      <w:r w:rsidRPr="001A2721">
        <w:lastRenderedPageBreak/>
        <w:t>2.5</w:t>
      </w:r>
      <w:r w:rsidRPr="001A2721">
        <w:tab/>
        <w:t xml:space="preserve">En cuanto a la Resolución 191 (Busán, 2014) "Estrategia de coordinación de los trabajos de los tres Sectores de la Unión", </w:t>
      </w:r>
      <w:r w:rsidRPr="001A2721">
        <w:rPr>
          <w:i/>
        </w:rPr>
        <w:t xml:space="preserve">proponemos </w:t>
      </w:r>
      <w:r w:rsidRPr="001A2721">
        <w:t>que se tenga en cuenta que se trata de la GBR y que es uno de los principales elementos que permite el logro de</w:t>
      </w:r>
      <w:r>
        <w:t xml:space="preserve"> </w:t>
      </w:r>
      <w:r w:rsidRPr="001A2721">
        <w:t>las metas estratégicas de la UIT, por lo que se ha de hacer menci</w:t>
      </w:r>
      <w:r>
        <w:t xml:space="preserve">ón a ella en los </w:t>
      </w:r>
      <w:r>
        <w:rPr>
          <w:i/>
          <w:iCs/>
        </w:rPr>
        <w:t>considerando</w:t>
      </w:r>
      <w:r>
        <w:t xml:space="preserve"> de las Resoluciones</w:t>
      </w:r>
      <w:r w:rsidRPr="001A2721">
        <w:t xml:space="preserve"> 71, 131, 151</w:t>
      </w:r>
      <w:r>
        <w:t xml:space="preserve"> y</w:t>
      </w:r>
      <w:r w:rsidRPr="001A2721">
        <w:t xml:space="preserve"> 200</w:t>
      </w:r>
      <w:r>
        <w:t xml:space="preserve">. Además, se ha de actualizar la lista de eventos que desde la </w:t>
      </w:r>
      <w:r w:rsidRPr="001A2721">
        <w:t>PP-14 se han revelado pertinentes para mejorar la coordinaci</w:t>
      </w:r>
      <w:r>
        <w:t>ón y evitar la duplicación de los trabajos de los Sectores</w:t>
      </w:r>
      <w:r w:rsidRPr="001A2721">
        <w:t>.</w:t>
      </w:r>
    </w:p>
    <w:p w:rsidR="005E1DA2" w:rsidRPr="001A2721" w:rsidRDefault="005E1DA2" w:rsidP="003F355B">
      <w:r w:rsidRPr="001A2721">
        <w:t>2.6</w:t>
      </w:r>
      <w:r w:rsidRPr="001A2721">
        <w:tab/>
      </w:r>
      <w:r w:rsidRPr="001A2721">
        <w:rPr>
          <w:i/>
          <w:iCs/>
        </w:rPr>
        <w:t>Proponemos</w:t>
      </w:r>
      <w:r w:rsidRPr="001A2721">
        <w:t xml:space="preserve"> suprimir de la Resolución 200 (Busán, 2014) "Agenda Conectar 2020 para el desarrollo mundial de las telecomunicaciones/tecnolog</w:t>
      </w:r>
      <w:r>
        <w:t>ías de la información y la comunicación (TIC)</w:t>
      </w:r>
      <w:r w:rsidRPr="001A2721">
        <w:t xml:space="preserve">" </w:t>
      </w:r>
      <w:r>
        <w:t>que dupliquen los de la Resolución</w:t>
      </w:r>
      <w:r w:rsidRPr="001A2721">
        <w:t xml:space="preserve"> 71 </w:t>
      </w:r>
      <w:r>
        <w:t xml:space="preserve">y tomar en consideración la necesidad de seguir las </w:t>
      </w:r>
      <w:r w:rsidR="00C50D54">
        <w:t>instrucciones de la Resolución "</w:t>
      </w:r>
      <w:r>
        <w:t>Agenda 2030 para el Desarrollo Sostenible</w:t>
      </w:r>
      <w:r w:rsidR="00C50D54">
        <w:t>"</w:t>
      </w:r>
      <w:r>
        <w:t xml:space="preserve"> de la AGNU</w:t>
      </w:r>
      <w:r w:rsidRPr="001A2721">
        <w:t>.</w:t>
      </w:r>
    </w:p>
    <w:p w:rsidR="005E1DA2" w:rsidRPr="001A2721" w:rsidRDefault="005E1DA2" w:rsidP="003F355B">
      <w:r w:rsidRPr="001A2721">
        <w:t>2.7</w:t>
      </w:r>
      <w:r w:rsidRPr="001A2721">
        <w:tab/>
      </w:r>
      <w:r w:rsidRPr="001A2721">
        <w:rPr>
          <w:i/>
          <w:iCs/>
        </w:rPr>
        <w:t>Proponemos</w:t>
      </w:r>
      <w:r w:rsidRPr="001A2721">
        <w:t xml:space="preserve"> suprimir (como mínimo, dejar entre paréntesis) los Objetivos para 2015 de la cláusula 1.5 del Anexo 1 (Doc</w:t>
      </w:r>
      <w:r>
        <w:t xml:space="preserve">umento </w:t>
      </w:r>
      <w:r w:rsidRPr="001A2721">
        <w:t xml:space="preserve">CWG-SFP-3/5) </w:t>
      </w:r>
      <w:r>
        <w:t>al proyecto de Resolución</w:t>
      </w:r>
      <w:r w:rsidRPr="001A2721">
        <w:t xml:space="preserve"> 71 (Doc</w:t>
      </w:r>
      <w:r>
        <w:t xml:space="preserve">umento </w:t>
      </w:r>
      <w:r w:rsidRPr="001A2721">
        <w:t>CWG-SFP-3/7) "</w:t>
      </w:r>
      <w:r>
        <w:t>Plan Estratégico de la UIT para</w:t>
      </w:r>
      <w:r w:rsidRPr="001A2721">
        <w:t xml:space="preserve"> 2020-2023".</w:t>
      </w:r>
    </w:p>
    <w:p w:rsidR="005E1DA2" w:rsidRPr="009565E7" w:rsidRDefault="005E1DA2" w:rsidP="003F355B">
      <w:r w:rsidRPr="009565E7">
        <w:t>Además, es necesario numerar todos los Cuadros del Anexo 1.</w:t>
      </w:r>
    </w:p>
    <w:p w:rsidR="005E1DA2" w:rsidRDefault="005E1DA2" w:rsidP="005E1DA2">
      <w:pPr>
        <w:pStyle w:val="Reasons"/>
      </w:pPr>
    </w:p>
    <w:p w:rsidR="005E1DA2" w:rsidRDefault="005E1DA2" w:rsidP="005E1DA2">
      <w:pPr>
        <w:jc w:val="center"/>
      </w:pPr>
      <w:r>
        <w:t>______________</w:t>
      </w:r>
    </w:p>
    <w:p w:rsidR="00093EEB" w:rsidRPr="000B0D00" w:rsidRDefault="00093EEB" w:rsidP="005E1DA2">
      <w:pPr>
        <w:pStyle w:val="ListParagraph"/>
        <w:spacing w:before="120" w:after="0" w:line="240" w:lineRule="auto"/>
        <w:ind w:left="0" w:firstLine="709"/>
        <w:contextualSpacing w:val="0"/>
        <w:jc w:val="both"/>
      </w:pPr>
    </w:p>
    <w:sectPr w:rsidR="00093EEB" w:rsidRPr="000B0D00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A2" w:rsidRDefault="005E1DA2">
      <w:r>
        <w:separator/>
      </w:r>
    </w:p>
  </w:endnote>
  <w:endnote w:type="continuationSeparator" w:id="0">
    <w:p w:rsidR="005E1DA2" w:rsidRDefault="005E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5F3BCB" w:rsidP="00383228">
    <w:pPr>
      <w:pStyle w:val="Footer"/>
      <w:rPr>
        <w:lang w:val="en-US"/>
      </w:rPr>
    </w:pPr>
    <w:fldSimple w:instr=" FILENAME \p \* MERGEFORMAT ">
      <w:r w:rsidR="00383228" w:rsidRPr="00383228">
        <w:rPr>
          <w:lang w:val="en-US"/>
        </w:rPr>
        <w:t>P</w:t>
      </w:r>
      <w:r w:rsidR="00383228">
        <w:t>:\ESP\SG\CONSEIL\CWG-SFP\CWG-SFP3\000\013S.docx</w:t>
      </w:r>
    </w:fldSimple>
    <w:r w:rsidR="00383228">
      <w:rPr>
        <w:lang w:val="en-US"/>
      </w:rPr>
      <w:t xml:space="preserve"> (430382)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A2" w:rsidRDefault="005E1DA2">
      <w:r>
        <w:t>____________________</w:t>
      </w:r>
    </w:p>
  </w:footnote>
  <w:footnote w:type="continuationSeparator" w:id="0">
    <w:p w:rsidR="005E1DA2" w:rsidRDefault="005E1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538E5">
      <w:rPr>
        <w:noProof/>
      </w:rPr>
      <w:t>3</w:t>
    </w:r>
    <w:r>
      <w:rPr>
        <w:noProof/>
      </w:rPr>
      <w:fldChar w:fldCharType="end"/>
    </w:r>
  </w:p>
  <w:p w:rsidR="00760F1C" w:rsidRDefault="00760F1C" w:rsidP="009F4811">
    <w:pPr>
      <w:pStyle w:val="Header"/>
    </w:pPr>
    <w:r>
      <w:t>C</w:t>
    </w:r>
    <w:r w:rsidR="007F350B">
      <w:t>1</w:t>
    </w:r>
    <w:r w:rsidR="009F4811">
      <w:t>8</w:t>
    </w:r>
    <w:r>
      <w:t>/#-S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8697C"/>
    <w:multiLevelType w:val="multilevel"/>
    <w:tmpl w:val="FDEAB71A"/>
    <w:lvl w:ilvl="0">
      <w:start w:val="1"/>
      <w:numFmt w:val="decimal"/>
      <w:lvlText w:val="%1"/>
      <w:lvlJc w:val="left"/>
      <w:pPr>
        <w:ind w:left="1191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159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968" w:hanging="15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9" w:hanging="15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5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1" w:hanging="15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32" w:hanging="15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A2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83228"/>
    <w:rsid w:val="003A12D1"/>
    <w:rsid w:val="003F355B"/>
    <w:rsid w:val="00513630"/>
    <w:rsid w:val="00560125"/>
    <w:rsid w:val="00585553"/>
    <w:rsid w:val="005B34D9"/>
    <w:rsid w:val="005D0CCF"/>
    <w:rsid w:val="005E1DA2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86178B"/>
    <w:rsid w:val="00913B9C"/>
    <w:rsid w:val="00956E77"/>
    <w:rsid w:val="009F4811"/>
    <w:rsid w:val="00AA390C"/>
    <w:rsid w:val="00B0200A"/>
    <w:rsid w:val="00B574DB"/>
    <w:rsid w:val="00B65E46"/>
    <w:rsid w:val="00B826C2"/>
    <w:rsid w:val="00B8298E"/>
    <w:rsid w:val="00BD0723"/>
    <w:rsid w:val="00BD2518"/>
    <w:rsid w:val="00BF119D"/>
    <w:rsid w:val="00BF1D1C"/>
    <w:rsid w:val="00C20C59"/>
    <w:rsid w:val="00C50D54"/>
    <w:rsid w:val="00C55B1F"/>
    <w:rsid w:val="00CD724E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538E5"/>
    <w:rsid w:val="00E92DE8"/>
    <w:rsid w:val="00EB1212"/>
    <w:rsid w:val="00ED65AB"/>
    <w:rsid w:val="00EF70FE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A7919BD-8217-47CE-87E6-66EFE69B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5E1DA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49</TotalTime>
  <Pages>3</Pages>
  <Words>1005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6321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Ayala Martinez, Beatriz</dc:creator>
  <cp:keywords>C2018, C18</cp:keywords>
  <dc:description/>
  <cp:lastModifiedBy>Ayala Martinez, Beatriz</cp:lastModifiedBy>
  <cp:revision>11</cp:revision>
  <cp:lastPrinted>2006-03-24T09:51:00Z</cp:lastPrinted>
  <dcterms:created xsi:type="dcterms:W3CDTF">2018-01-12T08:40:00Z</dcterms:created>
  <dcterms:modified xsi:type="dcterms:W3CDTF">2018-01-12T09:31:00Z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