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F1649">
        <w:trPr>
          <w:cantSplit/>
        </w:trPr>
        <w:tc>
          <w:tcPr>
            <w:tcW w:w="6912" w:type="dxa"/>
          </w:tcPr>
          <w:p w:rsidR="00520F36" w:rsidRPr="004F1649" w:rsidRDefault="00D76368" w:rsidP="00A5586A">
            <w:pPr>
              <w:spacing w:before="360"/>
            </w:pPr>
            <w:r w:rsidRPr="004F1649">
              <w:rPr>
                <w:b/>
                <w:bCs/>
                <w:sz w:val="30"/>
                <w:szCs w:val="30"/>
              </w:rPr>
              <w:t>Groupe de travail du Conseil</w:t>
            </w:r>
            <w:r w:rsidRPr="004F1649">
              <w:rPr>
                <w:b/>
                <w:bCs/>
                <w:color w:val="000000"/>
                <w:sz w:val="30"/>
                <w:szCs w:val="30"/>
              </w:rPr>
              <w:t xml:space="preserve"> chargé d</w:t>
            </w:r>
            <w:r w:rsidR="00197210" w:rsidRPr="004F1649">
              <w:rPr>
                <w:b/>
                <w:bCs/>
                <w:color w:val="000000"/>
                <w:sz w:val="30"/>
                <w:szCs w:val="30"/>
              </w:rPr>
              <w:t>'</w:t>
            </w:r>
            <w:r w:rsidRPr="004F1649">
              <w:rPr>
                <w:b/>
                <w:bCs/>
                <w:color w:val="000000"/>
                <w:sz w:val="30"/>
                <w:szCs w:val="30"/>
              </w:rPr>
              <w:t xml:space="preserve">élaborer </w:t>
            </w:r>
            <w:r w:rsidRPr="004F1649">
              <w:rPr>
                <w:b/>
                <w:bCs/>
                <w:color w:val="000000"/>
                <w:sz w:val="30"/>
                <w:szCs w:val="30"/>
              </w:rPr>
              <w:br/>
              <w:t>le Plan stratégique et le Plan financier pour la période 2020-2023</w:t>
            </w:r>
          </w:p>
        </w:tc>
        <w:tc>
          <w:tcPr>
            <w:tcW w:w="3261" w:type="dxa"/>
          </w:tcPr>
          <w:p w:rsidR="00520F36" w:rsidRPr="004F1649" w:rsidRDefault="00520F36" w:rsidP="00A5586A">
            <w:pPr>
              <w:spacing w:before="0"/>
              <w:jc w:val="right"/>
            </w:pPr>
            <w:bookmarkStart w:id="0" w:name="ditulogo"/>
            <w:bookmarkEnd w:id="0"/>
            <w:r w:rsidRPr="004F1649">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4F1649" w:rsidTr="003F6C69">
        <w:trPr>
          <w:cantSplit/>
          <w:trHeight w:val="20"/>
        </w:trPr>
        <w:tc>
          <w:tcPr>
            <w:tcW w:w="6912" w:type="dxa"/>
            <w:tcBorders>
              <w:bottom w:val="single" w:sz="12" w:space="0" w:color="auto"/>
            </w:tcBorders>
            <w:vAlign w:val="center"/>
          </w:tcPr>
          <w:p w:rsidR="00520F36" w:rsidRPr="004F1649" w:rsidRDefault="006224B9" w:rsidP="00A5586A">
            <w:pPr>
              <w:spacing w:before="60" w:after="60"/>
              <w:rPr>
                <w:b/>
                <w:bCs/>
                <w:szCs w:val="24"/>
              </w:rPr>
            </w:pPr>
            <w:r w:rsidRPr="004F1649">
              <w:rPr>
                <w:b/>
                <w:bCs/>
                <w:szCs w:val="24"/>
              </w:rPr>
              <w:t>Troisième</w:t>
            </w:r>
            <w:r w:rsidR="00D76368" w:rsidRPr="004F1649">
              <w:rPr>
                <w:b/>
                <w:bCs/>
                <w:szCs w:val="24"/>
              </w:rPr>
              <w:t xml:space="preserve"> réunion – Genève, </w:t>
            </w:r>
            <w:r w:rsidR="00B22860" w:rsidRPr="004F1649">
              <w:rPr>
                <w:b/>
                <w:bCs/>
                <w:szCs w:val="24"/>
              </w:rPr>
              <w:t>15-16 janvier 2018</w:t>
            </w:r>
          </w:p>
        </w:tc>
        <w:tc>
          <w:tcPr>
            <w:tcW w:w="3261" w:type="dxa"/>
            <w:tcBorders>
              <w:bottom w:val="single" w:sz="12" w:space="0" w:color="auto"/>
            </w:tcBorders>
          </w:tcPr>
          <w:p w:rsidR="00520F36" w:rsidRPr="004F1649" w:rsidRDefault="00520F36" w:rsidP="00A5586A">
            <w:pPr>
              <w:spacing w:before="0"/>
              <w:rPr>
                <w:b/>
                <w:bCs/>
              </w:rPr>
            </w:pPr>
          </w:p>
        </w:tc>
      </w:tr>
      <w:tr w:rsidR="00520F36" w:rsidRPr="004F1649">
        <w:trPr>
          <w:cantSplit/>
          <w:trHeight w:val="20"/>
        </w:trPr>
        <w:tc>
          <w:tcPr>
            <w:tcW w:w="6912" w:type="dxa"/>
            <w:tcBorders>
              <w:top w:val="single" w:sz="12" w:space="0" w:color="auto"/>
            </w:tcBorders>
          </w:tcPr>
          <w:p w:rsidR="00520F36" w:rsidRPr="004F1649" w:rsidRDefault="00520F36" w:rsidP="00A5586A">
            <w:pPr>
              <w:spacing w:before="0"/>
              <w:rPr>
                <w:smallCaps/>
                <w:sz w:val="22"/>
              </w:rPr>
            </w:pPr>
          </w:p>
        </w:tc>
        <w:tc>
          <w:tcPr>
            <w:tcW w:w="3261" w:type="dxa"/>
            <w:tcBorders>
              <w:top w:val="single" w:sz="12" w:space="0" w:color="auto"/>
            </w:tcBorders>
          </w:tcPr>
          <w:p w:rsidR="00520F36" w:rsidRPr="004F1649" w:rsidRDefault="00520F36" w:rsidP="00A5586A">
            <w:pPr>
              <w:spacing w:before="0"/>
              <w:rPr>
                <w:b/>
                <w:bCs/>
              </w:rPr>
            </w:pPr>
          </w:p>
        </w:tc>
      </w:tr>
      <w:tr w:rsidR="00520F36" w:rsidRPr="004F1649">
        <w:trPr>
          <w:cantSplit/>
          <w:trHeight w:val="20"/>
        </w:trPr>
        <w:tc>
          <w:tcPr>
            <w:tcW w:w="6912" w:type="dxa"/>
            <w:vMerge w:val="restart"/>
          </w:tcPr>
          <w:p w:rsidR="00520F36" w:rsidRPr="004F1649" w:rsidRDefault="00520F36" w:rsidP="00A5586A">
            <w:pPr>
              <w:spacing w:before="0"/>
              <w:rPr>
                <w:rFonts w:cs="Times"/>
                <w:b/>
                <w:bCs/>
                <w:szCs w:val="24"/>
              </w:rPr>
            </w:pPr>
            <w:bookmarkStart w:id="1" w:name="dnum" w:colFirst="1" w:colLast="1"/>
            <w:bookmarkStart w:id="2" w:name="dmeeting" w:colFirst="0" w:colLast="0"/>
          </w:p>
        </w:tc>
        <w:tc>
          <w:tcPr>
            <w:tcW w:w="3261" w:type="dxa"/>
          </w:tcPr>
          <w:p w:rsidR="00520F36" w:rsidRPr="004F1649" w:rsidRDefault="00520F36" w:rsidP="00A5586A">
            <w:pPr>
              <w:spacing w:before="0"/>
              <w:rPr>
                <w:b/>
                <w:bCs/>
              </w:rPr>
            </w:pPr>
            <w:r w:rsidRPr="004F1649">
              <w:rPr>
                <w:b/>
                <w:bCs/>
              </w:rPr>
              <w:t xml:space="preserve">Document </w:t>
            </w:r>
            <w:r w:rsidR="006224B9" w:rsidRPr="004F1649">
              <w:rPr>
                <w:b/>
                <w:bCs/>
              </w:rPr>
              <w:t>CWG-SFP-3</w:t>
            </w:r>
            <w:r w:rsidR="00D76368" w:rsidRPr="004F1649">
              <w:rPr>
                <w:b/>
                <w:bCs/>
              </w:rPr>
              <w:t>/</w:t>
            </w:r>
            <w:r w:rsidR="00E9732F" w:rsidRPr="004F1649">
              <w:rPr>
                <w:b/>
                <w:bCs/>
              </w:rPr>
              <w:t>1</w:t>
            </w:r>
            <w:r w:rsidR="00873238">
              <w:rPr>
                <w:b/>
                <w:bCs/>
              </w:rPr>
              <w:t>3</w:t>
            </w:r>
            <w:r w:rsidRPr="004F1649">
              <w:rPr>
                <w:b/>
                <w:bCs/>
              </w:rPr>
              <w:t>-F</w:t>
            </w:r>
          </w:p>
        </w:tc>
      </w:tr>
      <w:tr w:rsidR="00520F36" w:rsidRPr="004F1649">
        <w:trPr>
          <w:cantSplit/>
          <w:trHeight w:val="20"/>
        </w:trPr>
        <w:tc>
          <w:tcPr>
            <w:tcW w:w="6912" w:type="dxa"/>
            <w:vMerge/>
          </w:tcPr>
          <w:p w:rsidR="00520F36" w:rsidRPr="004F1649" w:rsidRDefault="00520F36" w:rsidP="00A5586A">
            <w:pPr>
              <w:shd w:val="solid" w:color="FFFFFF" w:fill="FFFFFF"/>
              <w:spacing w:before="180"/>
              <w:rPr>
                <w:smallCaps/>
              </w:rPr>
            </w:pPr>
            <w:bookmarkStart w:id="3" w:name="ddate" w:colFirst="1" w:colLast="1"/>
            <w:bookmarkEnd w:id="1"/>
            <w:bookmarkEnd w:id="2"/>
          </w:p>
        </w:tc>
        <w:tc>
          <w:tcPr>
            <w:tcW w:w="3261" w:type="dxa"/>
          </w:tcPr>
          <w:p w:rsidR="00520F36" w:rsidRPr="004F1649" w:rsidRDefault="00E9732F" w:rsidP="00A5586A">
            <w:pPr>
              <w:spacing w:before="0"/>
              <w:rPr>
                <w:b/>
                <w:bCs/>
              </w:rPr>
            </w:pPr>
            <w:r w:rsidRPr="004F1649">
              <w:rPr>
                <w:b/>
                <w:bCs/>
              </w:rPr>
              <w:t>28</w:t>
            </w:r>
            <w:r w:rsidR="006224B9" w:rsidRPr="004F1649">
              <w:rPr>
                <w:b/>
                <w:bCs/>
              </w:rPr>
              <w:t xml:space="preserve"> décembre</w:t>
            </w:r>
            <w:r w:rsidR="00520F36" w:rsidRPr="004F1649">
              <w:rPr>
                <w:b/>
                <w:bCs/>
              </w:rPr>
              <w:t xml:space="preserve"> 2017</w:t>
            </w:r>
          </w:p>
        </w:tc>
      </w:tr>
      <w:tr w:rsidR="00520F36" w:rsidRPr="004F1649">
        <w:trPr>
          <w:cantSplit/>
          <w:trHeight w:val="20"/>
        </w:trPr>
        <w:tc>
          <w:tcPr>
            <w:tcW w:w="6912" w:type="dxa"/>
            <w:vMerge/>
          </w:tcPr>
          <w:p w:rsidR="00520F36" w:rsidRPr="004F1649" w:rsidRDefault="00520F36" w:rsidP="00A5586A">
            <w:pPr>
              <w:shd w:val="solid" w:color="FFFFFF" w:fill="FFFFFF"/>
              <w:spacing w:before="180"/>
              <w:rPr>
                <w:smallCaps/>
              </w:rPr>
            </w:pPr>
            <w:bookmarkStart w:id="4" w:name="dorlang" w:colFirst="1" w:colLast="1"/>
            <w:bookmarkEnd w:id="3"/>
          </w:p>
        </w:tc>
        <w:tc>
          <w:tcPr>
            <w:tcW w:w="3261" w:type="dxa"/>
          </w:tcPr>
          <w:p w:rsidR="00520F36" w:rsidRPr="004F1649" w:rsidRDefault="00520F36" w:rsidP="00A5586A">
            <w:pPr>
              <w:spacing w:before="0"/>
              <w:rPr>
                <w:b/>
                <w:bCs/>
              </w:rPr>
            </w:pPr>
            <w:r w:rsidRPr="004F1649">
              <w:rPr>
                <w:b/>
                <w:bCs/>
              </w:rPr>
              <w:t xml:space="preserve">Original: </w:t>
            </w:r>
            <w:r w:rsidR="006412ED">
              <w:rPr>
                <w:b/>
                <w:bCs/>
              </w:rPr>
              <w:t>anglais</w:t>
            </w:r>
            <w:r w:rsidR="006B2FE0">
              <w:rPr>
                <w:b/>
                <w:bCs/>
              </w:rPr>
              <w:t>/russe</w:t>
            </w:r>
          </w:p>
        </w:tc>
      </w:tr>
      <w:tr w:rsidR="00520F36" w:rsidRPr="004F1649">
        <w:trPr>
          <w:cantSplit/>
        </w:trPr>
        <w:tc>
          <w:tcPr>
            <w:tcW w:w="10173" w:type="dxa"/>
            <w:gridSpan w:val="2"/>
          </w:tcPr>
          <w:p w:rsidR="00520F36" w:rsidRPr="004F1649" w:rsidRDefault="00E9732F" w:rsidP="00A5586A">
            <w:pPr>
              <w:pStyle w:val="Source"/>
              <w:spacing w:before="360"/>
              <w:rPr>
                <w:szCs w:val="28"/>
              </w:rPr>
            </w:pPr>
            <w:bookmarkStart w:id="5" w:name="dsource" w:colFirst="0" w:colLast="0"/>
            <w:bookmarkEnd w:id="4"/>
            <w:r w:rsidRPr="004F1649">
              <w:rPr>
                <w:szCs w:val="28"/>
              </w:rPr>
              <w:t>Fédération de Russie</w:t>
            </w:r>
          </w:p>
        </w:tc>
      </w:tr>
      <w:tr w:rsidR="00520F36" w:rsidRPr="004F1649">
        <w:trPr>
          <w:cantSplit/>
        </w:trPr>
        <w:tc>
          <w:tcPr>
            <w:tcW w:w="10173" w:type="dxa"/>
            <w:gridSpan w:val="2"/>
          </w:tcPr>
          <w:p w:rsidR="006224B9" w:rsidRPr="004F1649" w:rsidRDefault="00E9732F" w:rsidP="00A5586A">
            <w:pPr>
              <w:pStyle w:val="Title1"/>
            </w:pPr>
            <w:bookmarkStart w:id="6" w:name="dtitle1" w:colFirst="0" w:colLast="0"/>
            <w:bookmarkEnd w:id="5"/>
            <w:r w:rsidRPr="004F1649">
              <w:rPr>
                <w:bCs/>
                <w:szCs w:val="32"/>
              </w:rPr>
              <w:t>Contribution de la fédération de russie</w:t>
            </w:r>
          </w:p>
        </w:tc>
      </w:tr>
      <w:tr w:rsidR="00E9732F" w:rsidRPr="004F1649">
        <w:trPr>
          <w:cantSplit/>
        </w:trPr>
        <w:tc>
          <w:tcPr>
            <w:tcW w:w="10173" w:type="dxa"/>
            <w:gridSpan w:val="2"/>
          </w:tcPr>
          <w:p w:rsidR="00E9732F" w:rsidRPr="004F1649" w:rsidRDefault="00FD7C55" w:rsidP="00A5586A">
            <w:pPr>
              <w:pStyle w:val="Title1"/>
              <w:pPrChange w:id="7" w:author="Deturche-Nazer, Anne-Marie" w:date="2018-01-08T18:09:00Z">
                <w:pPr>
                  <w:pStyle w:val="Title1"/>
                  <w:framePr w:hSpace="180" w:wrap="around" w:hAnchor="margin" w:y="-690"/>
                  <w:spacing w:line="480" w:lineRule="auto"/>
                </w:pPr>
              </w:pPrChange>
            </w:pPr>
            <w:r w:rsidRPr="00B63E9C">
              <w:rPr>
                <w:rFonts w:asciiTheme="minorHAnsi" w:hAnsiTheme="minorHAnsi"/>
                <w:szCs w:val="28"/>
              </w:rPr>
              <w:t>En vue de la révision des ré</w:t>
            </w:r>
            <w:r>
              <w:rPr>
                <w:rFonts w:asciiTheme="minorHAnsi" w:hAnsiTheme="minorHAnsi"/>
                <w:szCs w:val="28"/>
              </w:rPr>
              <w:t>s</w:t>
            </w:r>
            <w:r w:rsidRPr="00B63E9C">
              <w:rPr>
                <w:rFonts w:asciiTheme="minorHAnsi" w:hAnsiTheme="minorHAnsi"/>
                <w:szCs w:val="28"/>
              </w:rPr>
              <w:t>olutions relatives à la planification stratégique (Résolutions 71, 72, 131, 151, 191 et 200)</w:t>
            </w:r>
            <w:r w:rsidR="003B6DDD" w:rsidRPr="004F1649">
              <w:t xml:space="preserve"> </w:t>
            </w:r>
          </w:p>
        </w:tc>
      </w:tr>
      <w:bookmarkEnd w:id="6"/>
    </w:tbl>
    <w:p w:rsidR="006505FA" w:rsidRDefault="006505FA" w:rsidP="00A5586A">
      <w:pPr>
        <w:tabs>
          <w:tab w:val="clear" w:pos="567"/>
          <w:tab w:val="clear" w:pos="1134"/>
          <w:tab w:val="clear" w:pos="1701"/>
          <w:tab w:val="clear" w:pos="2268"/>
          <w:tab w:val="clear" w:pos="2835"/>
          <w:tab w:val="left" w:pos="794"/>
          <w:tab w:val="left" w:pos="1191"/>
          <w:tab w:val="left" w:pos="1588"/>
          <w:tab w:val="left" w:pos="1985"/>
        </w:tabs>
        <w:spacing w:before="240"/>
        <w:jc w:val="both"/>
        <w:rPr>
          <w:rFonts w:asciiTheme="minorHAnsi" w:hAnsiTheme="minorHAnsi"/>
          <w:szCs w:val="24"/>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D7C55" w:rsidRPr="00B63E9C" w:rsidTr="005C4709">
        <w:trPr>
          <w:trHeight w:val="3372"/>
        </w:trPr>
        <w:tc>
          <w:tcPr>
            <w:tcW w:w="8080" w:type="dxa"/>
            <w:tcBorders>
              <w:top w:val="single" w:sz="12" w:space="0" w:color="auto"/>
              <w:left w:val="single" w:sz="12" w:space="0" w:color="auto"/>
              <w:bottom w:val="single" w:sz="12" w:space="0" w:color="auto"/>
              <w:right w:val="single" w:sz="12" w:space="0" w:color="auto"/>
            </w:tcBorders>
          </w:tcPr>
          <w:p w:rsidR="00FD7C55" w:rsidRPr="00B63E9C" w:rsidRDefault="00FD7C55" w:rsidP="00A5586A">
            <w:pPr>
              <w:pStyle w:val="Headingb"/>
            </w:pPr>
            <w:r w:rsidRPr="00B63E9C">
              <w:t>Résumé</w:t>
            </w:r>
          </w:p>
          <w:p w:rsidR="00FD7C55" w:rsidRPr="00B63E9C" w:rsidRDefault="00FD7C55" w:rsidP="00A5586A">
            <w:pPr>
              <w:rPr>
                <w:rFonts w:asciiTheme="minorHAnsi" w:hAnsiTheme="minorHAnsi"/>
                <w:szCs w:val="24"/>
              </w:rPr>
            </w:pPr>
            <w:r w:rsidRPr="00B63E9C">
              <w:rPr>
                <w:rFonts w:asciiTheme="minorHAnsi" w:hAnsiTheme="minorHAnsi"/>
                <w:szCs w:val="24"/>
              </w:rPr>
              <w:t xml:space="preserve">Le présent document traite de questions que la Fédération de Russie souhaite porter à l'attention des participants à la troisième réunion du Groupe GTC-SFP, étant donné qu'un certain nombre d'instructions, énoncées dans les Résolutions énumérées ci-dessus, ont été exécutées depuis la PP-14, et </w:t>
            </w:r>
            <w:r w:rsidR="007173B5">
              <w:rPr>
                <w:rFonts w:asciiTheme="minorHAnsi" w:hAnsiTheme="minorHAnsi"/>
                <w:szCs w:val="24"/>
              </w:rPr>
              <w:t>ce, afin de</w:t>
            </w:r>
            <w:r w:rsidRPr="00B63E9C">
              <w:rPr>
                <w:rFonts w:asciiTheme="minorHAnsi" w:hAnsiTheme="minorHAnsi"/>
                <w:szCs w:val="24"/>
              </w:rPr>
              <w:t xml:space="preserve"> </w:t>
            </w:r>
            <w:r w:rsidRPr="00B63E9C">
              <w:rPr>
                <w:rFonts w:asciiTheme="minorHAnsi" w:hAnsiTheme="minorHAnsi"/>
                <w:i/>
                <w:szCs w:val="24"/>
              </w:rPr>
              <w:t>modifier</w:t>
            </w:r>
            <w:r w:rsidRPr="00B63E9C">
              <w:rPr>
                <w:rFonts w:asciiTheme="minorHAnsi" w:hAnsiTheme="minorHAnsi"/>
                <w:szCs w:val="24"/>
              </w:rPr>
              <w:t xml:space="preserve"> les textes des Résolutions, compte </w:t>
            </w:r>
            <w:r w:rsidR="007173B5">
              <w:rPr>
                <w:rFonts w:asciiTheme="minorHAnsi" w:hAnsiTheme="minorHAnsi"/>
                <w:szCs w:val="24"/>
              </w:rPr>
              <w:t xml:space="preserve">tenu </w:t>
            </w:r>
            <w:r w:rsidRPr="00B63E9C">
              <w:rPr>
                <w:rFonts w:asciiTheme="minorHAnsi" w:hAnsiTheme="minorHAnsi"/>
                <w:szCs w:val="24"/>
              </w:rPr>
              <w:t xml:space="preserve">des nouveaux </w:t>
            </w:r>
            <w:r w:rsidR="007173B5">
              <w:rPr>
                <w:rFonts w:asciiTheme="minorHAnsi" w:hAnsiTheme="minorHAnsi"/>
                <w:szCs w:val="24"/>
              </w:rPr>
              <w:t>but</w:t>
            </w:r>
            <w:r w:rsidRPr="00B63E9C">
              <w:rPr>
                <w:rFonts w:asciiTheme="minorHAnsi" w:hAnsiTheme="minorHAnsi"/>
                <w:szCs w:val="24"/>
              </w:rPr>
              <w:t>s et des nouvelles cibles concernant les activités de l'UIT</w:t>
            </w:r>
            <w:r w:rsidR="007173B5">
              <w:rPr>
                <w:rFonts w:asciiTheme="minorHAnsi" w:hAnsiTheme="minorHAnsi"/>
                <w:szCs w:val="24"/>
              </w:rPr>
              <w:t>, en évitant</w:t>
            </w:r>
            <w:r w:rsidRPr="00B63E9C">
              <w:rPr>
                <w:rFonts w:asciiTheme="minorHAnsi" w:hAnsiTheme="minorHAnsi"/>
                <w:szCs w:val="24"/>
              </w:rPr>
              <w:t xml:space="preserve"> toute redondance et toute verbosité inutile dans les textes.</w:t>
            </w:r>
          </w:p>
          <w:p w:rsidR="00FD7C55" w:rsidRPr="00B63E9C" w:rsidRDefault="00FD7C55" w:rsidP="00A5586A">
            <w:r w:rsidRPr="00B63E9C">
              <w:rPr>
                <w:rFonts w:asciiTheme="minorHAnsi" w:hAnsiTheme="minorHAnsi"/>
                <w:szCs w:val="24"/>
              </w:rPr>
              <w:t>Il est proposé de regrouper deux Résolutions</w:t>
            </w:r>
            <w:r w:rsidR="00A5586A">
              <w:rPr>
                <w:rFonts w:asciiTheme="minorHAnsi" w:hAnsiTheme="minorHAnsi"/>
                <w:szCs w:val="24"/>
              </w:rPr>
              <w:t>,</w:t>
            </w:r>
            <w:r w:rsidRPr="00B63E9C">
              <w:rPr>
                <w:rFonts w:asciiTheme="minorHAnsi" w:hAnsiTheme="minorHAnsi"/>
                <w:szCs w:val="24"/>
              </w:rPr>
              <w:t xml:space="preserve"> en insérant le contenu principal de la Résolution 72 (Rév. Busan, 2014) dans la Résolution 151 révisée (une contribution distincte est élaborée).</w:t>
            </w:r>
          </w:p>
          <w:p w:rsidR="00FD7C55" w:rsidRPr="00B63E9C" w:rsidRDefault="00FD7C55" w:rsidP="00A5586A">
            <w:pPr>
              <w:pStyle w:val="Headingb"/>
            </w:pPr>
            <w:r w:rsidRPr="00B63E9C">
              <w:t>Suite à donner</w:t>
            </w:r>
          </w:p>
          <w:p w:rsidR="00FD7C55" w:rsidRPr="00B63E9C" w:rsidRDefault="00FD7C55" w:rsidP="00A5586A">
            <w:r w:rsidRPr="00B63E9C">
              <w:rPr>
                <w:rFonts w:asciiTheme="minorHAnsi" w:hAnsiTheme="minorHAnsi"/>
                <w:szCs w:val="24"/>
              </w:rPr>
              <w:t xml:space="preserve">Le GTC-SFP est invité à examiner les </w:t>
            </w:r>
            <w:r w:rsidR="00A5586A">
              <w:rPr>
                <w:rFonts w:asciiTheme="minorHAnsi" w:hAnsiTheme="minorHAnsi"/>
                <w:szCs w:val="24"/>
              </w:rPr>
              <w:t xml:space="preserve">questions et </w:t>
            </w:r>
            <w:r w:rsidRPr="00B63E9C">
              <w:rPr>
                <w:rFonts w:asciiTheme="minorHAnsi" w:hAnsiTheme="minorHAnsi"/>
                <w:szCs w:val="24"/>
              </w:rPr>
              <w:t>propositions ci-dessous et à tenir compte des résultats des débats en vue de la révision des Résolutions 71, 72, 131, 151, 191 et 200</w:t>
            </w:r>
            <w:r w:rsidRPr="00B63E9C">
              <w:rPr>
                <w:rFonts w:asciiTheme="minorHAnsi" w:hAnsiTheme="minorHAnsi"/>
                <w:bCs/>
                <w:szCs w:val="24"/>
              </w:rPr>
              <w:t>.</w:t>
            </w:r>
          </w:p>
          <w:p w:rsidR="00FD7C55" w:rsidRPr="00B63E9C" w:rsidRDefault="00FD7C55" w:rsidP="00A5586A">
            <w:pPr>
              <w:pStyle w:val="Table"/>
              <w:keepNext w:val="0"/>
              <w:spacing w:before="0" w:after="0"/>
              <w:rPr>
                <w:rFonts w:ascii="Calibri" w:hAnsi="Calibri"/>
                <w:caps w:val="0"/>
                <w:sz w:val="22"/>
                <w:lang w:val="fr-FR"/>
              </w:rPr>
            </w:pPr>
            <w:r w:rsidRPr="00B63E9C">
              <w:rPr>
                <w:rFonts w:ascii="Calibri" w:hAnsi="Calibri"/>
                <w:caps w:val="0"/>
                <w:sz w:val="22"/>
                <w:lang w:val="fr-FR"/>
              </w:rPr>
              <w:t>____________</w:t>
            </w:r>
          </w:p>
          <w:p w:rsidR="00FD7C55" w:rsidRPr="00B63E9C" w:rsidRDefault="00FD7C55" w:rsidP="00A5586A">
            <w:pPr>
              <w:pStyle w:val="Headingb"/>
            </w:pPr>
            <w:r w:rsidRPr="00B63E9C">
              <w:t>Références</w:t>
            </w:r>
          </w:p>
          <w:p w:rsidR="00FD7C55" w:rsidRPr="00B63E9C" w:rsidRDefault="00FD7C55" w:rsidP="00A5586A">
            <w:pPr>
              <w:spacing w:after="120"/>
              <w:rPr>
                <w:i/>
                <w:iCs/>
              </w:rPr>
            </w:pPr>
            <w:r w:rsidRPr="00B63E9C">
              <w:rPr>
                <w:rFonts w:asciiTheme="minorHAnsi" w:hAnsiTheme="minorHAnsi"/>
                <w:i/>
                <w:iCs/>
                <w:szCs w:val="24"/>
              </w:rPr>
              <w:t>Documents</w:t>
            </w:r>
            <w:r w:rsidRPr="00B63E9C">
              <w:rPr>
                <w:rFonts w:asciiTheme="minorHAnsi" w:hAnsiTheme="minorHAnsi"/>
                <w:i/>
                <w:szCs w:val="24"/>
              </w:rPr>
              <w:t>: Résolution</w:t>
            </w:r>
            <w:r w:rsidRPr="00B63E9C">
              <w:rPr>
                <w:rFonts w:asciiTheme="minorHAnsi" w:hAnsiTheme="minorHAnsi"/>
                <w:i/>
                <w:iCs/>
                <w:szCs w:val="24"/>
              </w:rPr>
              <w:t xml:space="preserve"> 1384 du Conseil à sa session de 2017; Résolution</w:t>
            </w:r>
            <w:r w:rsidRPr="00B63E9C">
              <w:rPr>
                <w:rFonts w:asciiTheme="minorHAnsi" w:hAnsiTheme="minorHAnsi"/>
                <w:i/>
                <w:szCs w:val="24"/>
              </w:rPr>
              <w:t xml:space="preserve"> 71 (Rév.</w:t>
            </w:r>
            <w:r w:rsidR="00A5586A">
              <w:rPr>
                <w:rFonts w:asciiTheme="minorHAnsi" w:hAnsiTheme="minorHAnsi"/>
                <w:i/>
                <w:szCs w:val="24"/>
              </w:rPr>
              <w:t> </w:t>
            </w:r>
            <w:r w:rsidRPr="00B63E9C">
              <w:rPr>
                <w:rFonts w:asciiTheme="minorHAnsi" w:hAnsiTheme="minorHAnsi"/>
                <w:i/>
                <w:szCs w:val="24"/>
              </w:rPr>
              <w:t xml:space="preserve">Busan, 2014); </w:t>
            </w:r>
            <w:r w:rsidRPr="00B63E9C">
              <w:rPr>
                <w:rFonts w:asciiTheme="minorHAnsi" w:hAnsiTheme="minorHAnsi"/>
                <w:i/>
                <w:iCs/>
                <w:szCs w:val="24"/>
              </w:rPr>
              <w:t>Résolution 72 (Rév. Busan, 2014); Résolution 151 (Ré</w:t>
            </w:r>
            <w:r w:rsidR="00A5586A">
              <w:rPr>
                <w:rFonts w:asciiTheme="minorHAnsi" w:hAnsiTheme="minorHAnsi"/>
                <w:i/>
                <w:iCs/>
                <w:szCs w:val="24"/>
              </w:rPr>
              <w:t>v. </w:t>
            </w:r>
            <w:r w:rsidRPr="00B63E9C">
              <w:rPr>
                <w:rFonts w:asciiTheme="minorHAnsi" w:hAnsiTheme="minorHAnsi"/>
                <w:i/>
                <w:iCs/>
                <w:szCs w:val="24"/>
              </w:rPr>
              <w:t>Busan, 2014); Résolution 191 (Busan, 2014);</w:t>
            </w:r>
            <w:r w:rsidRPr="00B63E9C">
              <w:rPr>
                <w:rFonts w:asciiTheme="minorHAnsi" w:hAnsiTheme="minorHAnsi"/>
                <w:i/>
                <w:szCs w:val="24"/>
              </w:rPr>
              <w:t xml:space="preserve"> </w:t>
            </w:r>
            <w:r w:rsidRPr="00B63E9C">
              <w:rPr>
                <w:rFonts w:asciiTheme="minorHAnsi" w:hAnsiTheme="minorHAnsi"/>
                <w:i/>
                <w:iCs/>
                <w:szCs w:val="24"/>
              </w:rPr>
              <w:t>Résolution 200 (Busan, 2014)</w:t>
            </w:r>
            <w:r w:rsidR="00A5586A">
              <w:rPr>
                <w:rFonts w:asciiTheme="minorHAnsi" w:hAnsiTheme="minorHAnsi"/>
                <w:i/>
                <w:iCs/>
                <w:szCs w:val="24"/>
              </w:rPr>
              <w:t xml:space="preserve"> de la Conférence de plénipotentiaires</w:t>
            </w:r>
            <w:r w:rsidRPr="00B63E9C">
              <w:rPr>
                <w:rFonts w:asciiTheme="minorHAnsi" w:hAnsiTheme="minorHAnsi"/>
                <w:i/>
                <w:iCs/>
                <w:szCs w:val="24"/>
              </w:rPr>
              <w:t>; Doc. C17/45; Doc. C17/123; Doc.</w:t>
            </w:r>
            <w:r w:rsidR="00A5586A">
              <w:rPr>
                <w:rFonts w:asciiTheme="minorHAnsi" w:hAnsiTheme="minorHAnsi"/>
                <w:i/>
                <w:iCs/>
                <w:szCs w:val="24"/>
              </w:rPr>
              <w:t> CWG</w:t>
            </w:r>
            <w:r w:rsidR="00A5586A">
              <w:rPr>
                <w:rFonts w:asciiTheme="minorHAnsi" w:hAnsiTheme="minorHAnsi"/>
                <w:i/>
                <w:iCs/>
                <w:szCs w:val="24"/>
              </w:rPr>
              <w:noBreakHyphen/>
            </w:r>
            <w:r w:rsidRPr="00B63E9C">
              <w:rPr>
                <w:rFonts w:asciiTheme="minorHAnsi" w:hAnsiTheme="minorHAnsi"/>
                <w:i/>
                <w:iCs/>
                <w:szCs w:val="24"/>
              </w:rPr>
              <w:t>SFP-2/6(Rév.2);</w:t>
            </w:r>
            <w:r w:rsidRPr="00B63E9C">
              <w:rPr>
                <w:rFonts w:asciiTheme="minorHAnsi" w:hAnsiTheme="minorHAnsi"/>
                <w:szCs w:val="24"/>
              </w:rPr>
              <w:t xml:space="preserve"> </w:t>
            </w:r>
            <w:r w:rsidRPr="00B63E9C">
              <w:rPr>
                <w:rFonts w:asciiTheme="minorHAnsi" w:hAnsiTheme="minorHAnsi"/>
                <w:i/>
                <w:iCs/>
                <w:szCs w:val="24"/>
              </w:rPr>
              <w:t>Doc. CWG-SFP-3/7; Doc. CWG-SFP-3/5</w:t>
            </w:r>
          </w:p>
        </w:tc>
      </w:tr>
    </w:tbl>
    <w:p w:rsidR="00FD7C55" w:rsidRPr="00B63E9C" w:rsidRDefault="00FD7C55" w:rsidP="00A5586A">
      <w:pPr>
        <w:tabs>
          <w:tab w:val="clear" w:pos="567"/>
          <w:tab w:val="clear" w:pos="1134"/>
          <w:tab w:val="clear" w:pos="1701"/>
          <w:tab w:val="clear" w:pos="2268"/>
          <w:tab w:val="clear" w:pos="2835"/>
        </w:tabs>
        <w:overflowPunct/>
        <w:autoSpaceDE/>
        <w:autoSpaceDN/>
        <w:adjustRightInd/>
        <w:spacing w:before="0"/>
        <w:textAlignment w:val="auto"/>
      </w:pPr>
      <w:r w:rsidRPr="00B63E9C">
        <w:br w:type="page"/>
      </w:r>
    </w:p>
    <w:p w:rsidR="00FD7C55" w:rsidRPr="00B63E9C" w:rsidRDefault="00FD7C55" w:rsidP="00A5586A">
      <w:pPr>
        <w:pStyle w:val="Heading1"/>
        <w:tabs>
          <w:tab w:val="left" w:pos="520"/>
        </w:tabs>
      </w:pPr>
      <w:r w:rsidRPr="00B63E9C">
        <w:lastRenderedPageBreak/>
        <w:t>1</w:t>
      </w:r>
      <w:r w:rsidRPr="00B63E9C">
        <w:tab/>
      </w:r>
      <w:r w:rsidR="00A5586A">
        <w:t>Considérations générales</w:t>
      </w:r>
    </w:p>
    <w:p w:rsidR="00FD7C55" w:rsidRPr="00B63E9C" w:rsidRDefault="00FD7C55" w:rsidP="00A5586A">
      <w:pPr>
        <w:rPr>
          <w:rFonts w:asciiTheme="minorHAnsi" w:hAnsiTheme="minorHAnsi"/>
          <w:szCs w:val="24"/>
        </w:rPr>
      </w:pPr>
      <w:r w:rsidRPr="00B63E9C">
        <w:rPr>
          <w:rFonts w:asciiTheme="minorHAnsi" w:eastAsiaTheme="minorHAnsi" w:hAnsiTheme="minorHAnsi" w:cstheme="minorBidi"/>
          <w:szCs w:val="24"/>
        </w:rPr>
        <w:t xml:space="preserve">Le Groupe de travail du Conseil chargé d'élaborer le Plan stratégique et le Plan financier pour la période 2020-2023 a décidé d'inclure dans ses travaux la révision des Résolutions 71, 72, 151, 191 et 200 de la Conférence de plénipotentiaires afin de les harmoniser avec le nouveau Plan stratégique (Doc. CWG-SFP-2/2 (С17/123)). La Fédération de Russie recommande d'ajouter </w:t>
      </w:r>
      <w:r w:rsidR="00A5586A">
        <w:rPr>
          <w:rFonts w:asciiTheme="minorHAnsi" w:eastAsiaTheme="minorHAnsi" w:hAnsiTheme="minorHAnsi" w:cstheme="minorBidi"/>
          <w:szCs w:val="24"/>
        </w:rPr>
        <w:t xml:space="preserve">à cette liste </w:t>
      </w:r>
      <w:r w:rsidRPr="00B63E9C">
        <w:rPr>
          <w:rFonts w:asciiTheme="minorHAnsi" w:eastAsiaTheme="minorHAnsi" w:hAnsiTheme="minorHAnsi" w:cstheme="minorBidi"/>
          <w:szCs w:val="24"/>
        </w:rPr>
        <w:t xml:space="preserve">la Résolution 131 (Rév. Busan, 2014) </w:t>
      </w:r>
      <w:r w:rsidR="00A5586A">
        <w:rPr>
          <w:rFonts w:asciiTheme="minorHAnsi" w:eastAsiaTheme="minorHAnsi" w:hAnsiTheme="minorHAnsi" w:cstheme="minorBidi"/>
          <w:szCs w:val="24"/>
        </w:rPr>
        <w:t xml:space="preserve">de la Conférence de plénipotentiaires </w:t>
      </w:r>
      <w:r w:rsidRPr="00B63E9C">
        <w:rPr>
          <w:rFonts w:asciiTheme="minorHAnsi" w:eastAsiaTheme="minorHAnsi" w:hAnsiTheme="minorHAnsi"/>
          <w:szCs w:val="24"/>
        </w:rPr>
        <w:t>"</w:t>
      </w:r>
      <w:r w:rsidRPr="00B63E9C">
        <w:rPr>
          <w:rFonts w:asciiTheme="minorHAnsi" w:eastAsiaTheme="minorHAnsi" w:hAnsiTheme="minorHAnsi" w:cstheme="minorBidi"/>
          <w:szCs w:val="24"/>
        </w:rPr>
        <w:t>Mesurer les technologies de l'information et de la communication pour édifier une société de l'information inclusive et qui facilite l'intégration</w:t>
      </w:r>
      <w:r w:rsidRPr="00B63E9C">
        <w:rPr>
          <w:rFonts w:asciiTheme="minorHAnsi" w:eastAsiaTheme="minorHAnsi" w:hAnsiTheme="minorHAnsi"/>
          <w:szCs w:val="24"/>
        </w:rPr>
        <w:t>"</w:t>
      </w:r>
      <w:r w:rsidRPr="00B63E9C">
        <w:rPr>
          <w:rFonts w:asciiTheme="minorHAnsi" w:eastAsiaTheme="minorHAnsi" w:hAnsiTheme="minorHAnsi" w:cstheme="minorBidi"/>
          <w:szCs w:val="24"/>
        </w:rPr>
        <w:t>, étant donné que son titre évoque déjà l'importance que revêt la Résolution pour rendre compte des progrès accomplis en vue d'atteindre les buts stratégiques de l'UIT. Cela étant, la Fédération de Russie formule les propositions suivantes:</w:t>
      </w:r>
    </w:p>
    <w:p w:rsidR="00FD7C55" w:rsidRPr="00B63E9C" w:rsidRDefault="00FD7C55" w:rsidP="00A5586A">
      <w:pPr>
        <w:pStyle w:val="Heading1"/>
      </w:pPr>
      <w:r w:rsidRPr="00B63E9C">
        <w:t>2</w:t>
      </w:r>
      <w:r w:rsidRPr="00B63E9C">
        <w:tab/>
        <w:t>Propositions à examiner</w:t>
      </w:r>
    </w:p>
    <w:p w:rsidR="00FD7C55" w:rsidRPr="00B63E9C" w:rsidRDefault="00FD7C55" w:rsidP="00A5586A">
      <w:pPr>
        <w:rPr>
          <w:rFonts w:eastAsiaTheme="minorHAnsi"/>
        </w:rPr>
      </w:pPr>
      <w:r w:rsidRPr="00B63E9C">
        <w:rPr>
          <w:rFonts w:eastAsiaTheme="minorHAnsi"/>
        </w:rPr>
        <w:t>2.1</w:t>
      </w:r>
      <w:r w:rsidRPr="00B63E9C">
        <w:rPr>
          <w:rFonts w:eastAsiaTheme="minorHAnsi"/>
        </w:rPr>
        <w:tab/>
        <w:t xml:space="preserve">Nous </w:t>
      </w:r>
      <w:r w:rsidRPr="00B63E9C">
        <w:rPr>
          <w:rFonts w:eastAsiaTheme="minorHAnsi"/>
          <w:i/>
        </w:rPr>
        <w:t xml:space="preserve">proposons </w:t>
      </w:r>
      <w:r w:rsidRPr="00B63E9C">
        <w:rPr>
          <w:rFonts w:eastAsiaTheme="minorHAnsi"/>
        </w:rPr>
        <w:t>que le Secrétariat</w:t>
      </w:r>
      <w:r w:rsidRPr="00B63E9C">
        <w:rPr>
          <w:rFonts w:eastAsiaTheme="minorHAnsi"/>
          <w:i/>
        </w:rPr>
        <w:t xml:space="preserve"> </w:t>
      </w:r>
      <w:r w:rsidRPr="00B63E9C">
        <w:rPr>
          <w:rFonts w:eastAsiaTheme="minorHAnsi"/>
        </w:rPr>
        <w:t>élabore et présente aux troisième et/ou quatrième réunions du GTC-SFP un ou plusieurs documents d'information faisant état des instructions exécutées pour chacune des Résolutions 71, 72, 131, 151, 191 et 200, conformément à la nécessité d'évaluer les progrès accomplis dans la mise en oeuvre des Résolutions, afin d'apporter des modifications appropriées et de les soumettre à la PP-18.</w:t>
      </w:r>
    </w:p>
    <w:p w:rsidR="00FD7C55" w:rsidRPr="00B63E9C" w:rsidRDefault="00FD7C55" w:rsidP="00A5586A">
      <w:pPr>
        <w:rPr>
          <w:rFonts w:eastAsiaTheme="minorHAnsi"/>
        </w:rPr>
      </w:pPr>
      <w:r w:rsidRPr="00B63E9C">
        <w:rPr>
          <w:rFonts w:eastAsiaTheme="minorHAnsi"/>
        </w:rPr>
        <w:t>2.2</w:t>
      </w:r>
      <w:r w:rsidRPr="00B63E9C">
        <w:rPr>
          <w:rFonts w:eastAsiaTheme="minorHAnsi"/>
        </w:rPr>
        <w:tab/>
        <w:t xml:space="preserve">Etant entendu que la coordination de tous les types de planification et plans au sein de l'Union </w:t>
      </w:r>
      <w:r w:rsidR="00A5586A">
        <w:rPr>
          <w:rFonts w:eastAsiaTheme="minorHAnsi"/>
        </w:rPr>
        <w:t>entre en ligne de compte dans la</w:t>
      </w:r>
      <w:r w:rsidRPr="00B63E9C">
        <w:rPr>
          <w:rFonts w:eastAsiaTheme="minorHAnsi"/>
        </w:rPr>
        <w:t xml:space="preserve"> gestion axée sur les résultats (GAR), nous </w:t>
      </w:r>
      <w:r w:rsidRPr="00B63E9C">
        <w:rPr>
          <w:rFonts w:eastAsiaTheme="minorHAnsi"/>
          <w:i/>
        </w:rPr>
        <w:t>proposons</w:t>
      </w:r>
      <w:r w:rsidRPr="00B63E9C">
        <w:rPr>
          <w:rFonts w:eastAsiaTheme="minorHAnsi"/>
        </w:rPr>
        <w:t xml:space="preserve"> d'examiner s'il est raisonnable </w:t>
      </w:r>
      <w:r w:rsidR="00A5586A">
        <w:rPr>
          <w:rFonts w:eastAsiaTheme="minorHAnsi"/>
        </w:rPr>
        <w:t>de regrouper</w:t>
      </w:r>
      <w:r w:rsidRPr="00B63E9C">
        <w:rPr>
          <w:rFonts w:eastAsiaTheme="minorHAnsi"/>
        </w:rPr>
        <w:t xml:space="preserve"> la Résolution 151 "Mise en </w:t>
      </w:r>
      <w:r w:rsidR="00A5586A">
        <w:rPr>
          <w:rFonts w:eastAsiaTheme="minorHAnsi"/>
        </w:rPr>
        <w:t>oe</w:t>
      </w:r>
      <w:r w:rsidRPr="00B63E9C">
        <w:rPr>
          <w:rFonts w:eastAsiaTheme="minorHAnsi"/>
        </w:rPr>
        <w:t xml:space="preserve">uvre de la gestion axée sur les résultats à l’UIT" et la Résolution 72 "Coordination des planifications stratégique, financière et opérationnelle à l'UIT", sur la base de la contribution présentée par la Fédération de Russie dans le </w:t>
      </w:r>
      <w:r w:rsidR="00A5586A">
        <w:rPr>
          <w:rFonts w:eastAsiaTheme="minorHAnsi"/>
        </w:rPr>
        <w:t>d</w:t>
      </w:r>
      <w:r w:rsidRPr="00B63E9C">
        <w:rPr>
          <w:rFonts w:eastAsiaTheme="minorHAnsi"/>
        </w:rPr>
        <w:t>ocument</w:t>
      </w:r>
      <w:r w:rsidR="00A5586A">
        <w:rPr>
          <w:rFonts w:eastAsiaTheme="minorHAnsi"/>
        </w:rPr>
        <w:t xml:space="preserve"> intitulé</w:t>
      </w:r>
      <w:r w:rsidRPr="00B63E9C">
        <w:rPr>
          <w:rFonts w:eastAsiaTheme="minorHAnsi"/>
        </w:rPr>
        <w:t xml:space="preserve"> "Propositions visant à modifier la Résolution 151 (Rév. Busan, 2014) de la Conférence de plénipotentiaires en la regroupant avec la Résolution 72 (Rév. Busan, 2014)".</w:t>
      </w:r>
    </w:p>
    <w:p w:rsidR="00FD7C55" w:rsidRPr="00B63E9C" w:rsidRDefault="00FD7C55" w:rsidP="00A5586A">
      <w:pPr>
        <w:rPr>
          <w:rFonts w:eastAsiaTheme="minorHAnsi"/>
        </w:rPr>
      </w:pPr>
      <w:r w:rsidRPr="00B63E9C">
        <w:rPr>
          <w:rFonts w:eastAsiaTheme="minorHAnsi"/>
        </w:rPr>
        <w:t>2.3</w:t>
      </w:r>
      <w:r w:rsidRPr="00B63E9C">
        <w:rPr>
          <w:rFonts w:eastAsiaTheme="minorHAnsi"/>
        </w:rPr>
        <w:tab/>
        <w:t>Etant donné que le mécanisme à utiliser pour la coordination des trois types de plans, avec indication des moyens et modalités spécifiques, n'est pas présenté dans la Résolution 72 (Ré</w:t>
      </w:r>
      <w:r w:rsidR="00A5586A">
        <w:rPr>
          <w:rFonts w:eastAsiaTheme="minorHAnsi"/>
        </w:rPr>
        <w:t>v. </w:t>
      </w:r>
      <w:r w:rsidRPr="00B63E9C">
        <w:rPr>
          <w:rFonts w:eastAsiaTheme="minorHAnsi"/>
        </w:rPr>
        <w:t xml:space="preserve">Busan, 2014), nous </w:t>
      </w:r>
      <w:r w:rsidRPr="00B63E9C">
        <w:rPr>
          <w:rFonts w:eastAsiaTheme="minorHAnsi"/>
          <w:i/>
        </w:rPr>
        <w:t xml:space="preserve">proposons </w:t>
      </w:r>
      <w:r w:rsidRPr="00B63E9C">
        <w:rPr>
          <w:rFonts w:eastAsiaTheme="minorHAnsi"/>
        </w:rPr>
        <w:t>que le Secrétariat élabore un document présentant le process</w:t>
      </w:r>
      <w:r w:rsidR="00A5586A">
        <w:rPr>
          <w:rFonts w:eastAsiaTheme="minorHAnsi"/>
        </w:rPr>
        <w:t>us de coordination des P</w:t>
      </w:r>
      <w:r w:rsidRPr="00B63E9C">
        <w:rPr>
          <w:rFonts w:eastAsiaTheme="minorHAnsi"/>
        </w:rPr>
        <w:t xml:space="preserve">lans stratégique, financier et opérationnels sous la forme d'un algorithme incluant toutes les étapes du processus, et qui pourrait </w:t>
      </w:r>
      <w:r w:rsidR="00A5586A">
        <w:rPr>
          <w:rFonts w:eastAsiaTheme="minorHAnsi"/>
        </w:rPr>
        <w:t xml:space="preserve">faire l'objet d'une </w:t>
      </w:r>
      <w:r w:rsidRPr="00B63E9C">
        <w:rPr>
          <w:rFonts w:eastAsiaTheme="minorHAnsi"/>
        </w:rPr>
        <w:t>Annexe à la Ré</w:t>
      </w:r>
      <w:r w:rsidR="00A5586A">
        <w:rPr>
          <w:rFonts w:eastAsiaTheme="minorHAnsi"/>
        </w:rPr>
        <w:t>solution </w:t>
      </w:r>
      <w:r w:rsidRPr="00B63E9C">
        <w:rPr>
          <w:rFonts w:eastAsiaTheme="minorHAnsi"/>
        </w:rPr>
        <w:t>151 révisée.</w:t>
      </w:r>
    </w:p>
    <w:p w:rsidR="00FD7C55" w:rsidRPr="00B63E9C" w:rsidRDefault="00FD7C55" w:rsidP="00A5586A">
      <w:pPr>
        <w:rPr>
          <w:rFonts w:eastAsiaTheme="minorHAnsi"/>
        </w:rPr>
      </w:pPr>
      <w:r w:rsidRPr="00B63E9C">
        <w:rPr>
          <w:rFonts w:eastAsiaTheme="minorHAnsi"/>
        </w:rPr>
        <w:t>2.4</w:t>
      </w:r>
      <w:r w:rsidRPr="00B63E9C">
        <w:rPr>
          <w:rFonts w:eastAsiaTheme="minorHAnsi"/>
        </w:rPr>
        <w:tab/>
      </w:r>
      <w:r w:rsidRPr="00B63E9C">
        <w:rPr>
          <w:rFonts w:asciiTheme="minorHAnsi" w:eastAsiaTheme="minorHAnsi" w:hAnsiTheme="minorHAnsi" w:cstheme="minorBidi"/>
          <w:szCs w:val="24"/>
        </w:rPr>
        <w:t>Mesurer les TIC pour édifier une société de l'information inclusive et qui facilite l'intégration</w:t>
      </w:r>
      <w:r w:rsidR="00A5586A">
        <w:rPr>
          <w:rFonts w:eastAsiaTheme="minorHAnsi"/>
        </w:rPr>
        <w:t> </w:t>
      </w:r>
      <w:r w:rsidRPr="00B63E9C">
        <w:rPr>
          <w:rFonts w:eastAsiaTheme="minorHAnsi"/>
        </w:rPr>
        <w:t xml:space="preserve">est l'un des objectifs importants des activités de l'UIT, qui a été </w:t>
      </w:r>
      <w:r w:rsidR="00A5586A">
        <w:rPr>
          <w:rFonts w:eastAsiaTheme="minorHAnsi"/>
        </w:rPr>
        <w:t>mis en évidence</w:t>
      </w:r>
      <w:r w:rsidRPr="00B63E9C">
        <w:rPr>
          <w:rFonts w:eastAsiaTheme="minorHAnsi"/>
        </w:rPr>
        <w:t xml:space="preserve"> dans la Résolution 131 (Rév. Busan, 2014) "</w:t>
      </w:r>
      <w:r w:rsidRPr="00B63E9C">
        <w:rPr>
          <w:rFonts w:asciiTheme="minorHAnsi" w:eastAsiaTheme="minorHAnsi" w:hAnsiTheme="minorHAnsi" w:cstheme="minorBidi"/>
          <w:szCs w:val="24"/>
        </w:rPr>
        <w:t>Mesurer les technologies de l'information et de la communication pour édifier une société de l'information inclusive et qui facilite l'intégration</w:t>
      </w:r>
      <w:r w:rsidRPr="00B63E9C">
        <w:rPr>
          <w:rFonts w:eastAsiaTheme="minorHAnsi"/>
        </w:rPr>
        <w:t xml:space="preserve">" et la Résolution 8 (CMDT-17). </w:t>
      </w:r>
      <w:r w:rsidR="00A5586A">
        <w:rPr>
          <w:rFonts w:eastAsiaTheme="minorHAnsi"/>
        </w:rPr>
        <w:t>Cela étant,</w:t>
      </w:r>
      <w:r w:rsidRPr="00B63E9C">
        <w:rPr>
          <w:rFonts w:eastAsiaTheme="minorHAnsi"/>
        </w:rPr>
        <w:t xml:space="preserve"> nous </w:t>
      </w:r>
      <w:r w:rsidRPr="00B63E9C">
        <w:rPr>
          <w:rFonts w:eastAsiaTheme="minorHAnsi"/>
          <w:i/>
        </w:rPr>
        <w:t>proposons</w:t>
      </w:r>
      <w:r w:rsidRPr="00B63E9C">
        <w:rPr>
          <w:rFonts w:eastAsiaTheme="minorHAnsi"/>
        </w:rPr>
        <w:t>, dans la révision de la Résolution 131 (Ré</w:t>
      </w:r>
      <w:r w:rsidR="00A5586A">
        <w:rPr>
          <w:rFonts w:eastAsiaTheme="minorHAnsi"/>
        </w:rPr>
        <w:t>v. </w:t>
      </w:r>
      <w:r w:rsidRPr="00B63E9C">
        <w:rPr>
          <w:rFonts w:eastAsiaTheme="minorHAnsi"/>
        </w:rPr>
        <w:t>Busan, 2014), de noter ce qui suit: les indicateurs pour l'établissement de l'indice de développement des TIC (IDI) doivent notamment être reliés aux indicateurs reflétant les buts stratégi</w:t>
      </w:r>
      <w:r w:rsidR="00A5586A">
        <w:rPr>
          <w:rFonts w:eastAsiaTheme="minorHAnsi"/>
        </w:rPr>
        <w:t>ques de l'UIT indiqués dans le Plan stratégique et les P</w:t>
      </w:r>
      <w:r w:rsidRPr="00B63E9C">
        <w:rPr>
          <w:rFonts w:eastAsiaTheme="minorHAnsi"/>
        </w:rPr>
        <w:t xml:space="preserve">lans opérationnels de l'UIT pour la période 2020-2023, et doivent permettre de mesurer les progrès accomplis </w:t>
      </w:r>
      <w:r w:rsidR="00A5586A">
        <w:rPr>
          <w:rFonts w:eastAsiaTheme="minorHAnsi"/>
        </w:rPr>
        <w:t>en vue d'atteindre</w:t>
      </w:r>
      <w:r w:rsidRPr="00B63E9C">
        <w:rPr>
          <w:rFonts w:eastAsiaTheme="minorHAnsi"/>
        </w:rPr>
        <w:t xml:space="preserve"> ces buts.</w:t>
      </w:r>
    </w:p>
    <w:p w:rsidR="00FD7C55" w:rsidRPr="00B63E9C" w:rsidRDefault="00FD7C55" w:rsidP="00A5586A">
      <w:pPr>
        <w:rPr>
          <w:rFonts w:eastAsiaTheme="minorHAnsi"/>
        </w:rPr>
      </w:pPr>
      <w:r w:rsidRPr="00B63E9C">
        <w:rPr>
          <w:rFonts w:eastAsiaTheme="minorHAnsi"/>
        </w:rPr>
        <w:t xml:space="preserve">Une telle relation permettrait notamment à toutes les parties prenantes de réduire les coûts liés à la collecte des statistiques requises (données statistiques) et </w:t>
      </w:r>
      <w:r w:rsidR="00A5586A">
        <w:rPr>
          <w:rFonts w:eastAsiaTheme="minorHAnsi"/>
        </w:rPr>
        <w:t>permettrait de fournir</w:t>
      </w:r>
      <w:r w:rsidRPr="00B63E9C">
        <w:rPr>
          <w:rFonts w:eastAsiaTheme="minorHAnsi"/>
        </w:rPr>
        <w:t xml:space="preserve"> une orientation générale aux organismes de statistiques des Etats Membres de l'UIT.</w:t>
      </w:r>
    </w:p>
    <w:p w:rsidR="00FD7C55" w:rsidRPr="00B63E9C" w:rsidRDefault="00FD7C55" w:rsidP="00A5586A">
      <w:pPr>
        <w:rPr>
          <w:rFonts w:eastAsiaTheme="minorHAnsi"/>
        </w:rPr>
      </w:pPr>
      <w:r w:rsidRPr="00B63E9C">
        <w:rPr>
          <w:rFonts w:eastAsiaTheme="minorHAnsi"/>
        </w:rPr>
        <w:lastRenderedPageBreak/>
        <w:t>2.5</w:t>
      </w:r>
      <w:r w:rsidRPr="00B63E9C">
        <w:rPr>
          <w:rFonts w:eastAsiaTheme="minorHAnsi"/>
        </w:rPr>
        <w:tab/>
        <w:t xml:space="preserve">En ce qui concerne la Résolution 191 (Busan, 2014) "Stratégie de coordination des efforts entre les trois Secteurs de l'Union", nous </w:t>
      </w:r>
      <w:r w:rsidRPr="00B63E9C">
        <w:rPr>
          <w:rFonts w:eastAsiaTheme="minorHAnsi"/>
          <w:i/>
        </w:rPr>
        <w:t xml:space="preserve">proposons </w:t>
      </w:r>
      <w:r w:rsidRPr="00B63E9C">
        <w:rPr>
          <w:rFonts w:eastAsiaTheme="minorHAnsi"/>
        </w:rPr>
        <w:t xml:space="preserve">de noter que l'instrument GAR est l'un des catalyseurs qui favorisent la réalisation des buts stratégiques de l'UIT; par conséquent, il convient de faire référence aux Résolutions 71, 131, 151 et 200 dans la partie </w:t>
      </w:r>
      <w:r w:rsidRPr="00B63E9C">
        <w:rPr>
          <w:rFonts w:eastAsiaTheme="minorHAnsi"/>
          <w:i/>
        </w:rPr>
        <w:t>considérant.</w:t>
      </w:r>
      <w:r w:rsidRPr="00B63E9C">
        <w:rPr>
          <w:rFonts w:eastAsiaTheme="minorHAnsi"/>
        </w:rPr>
        <w:t xml:space="preserve"> Par ailleurs, il est nécessaire de mettre à jour la liste des événements qui, depuis la PP-14, ont permis d'améliorer la coordination et d'éviter toute duplication des tâches entre les Secteurs.</w:t>
      </w:r>
    </w:p>
    <w:p w:rsidR="00FD7C55" w:rsidRPr="00B63E9C" w:rsidRDefault="00FD7C55" w:rsidP="00A5586A">
      <w:pPr>
        <w:rPr>
          <w:rFonts w:eastAsiaTheme="minorHAnsi"/>
        </w:rPr>
      </w:pPr>
      <w:r w:rsidRPr="00B63E9C">
        <w:rPr>
          <w:rFonts w:eastAsiaTheme="minorHAnsi"/>
        </w:rPr>
        <w:t>2.6</w:t>
      </w:r>
      <w:r w:rsidRPr="00B63E9C">
        <w:rPr>
          <w:rFonts w:eastAsiaTheme="minorHAnsi"/>
        </w:rPr>
        <w:tab/>
        <w:t xml:space="preserve">Nous </w:t>
      </w:r>
      <w:r w:rsidRPr="00B63E9C">
        <w:rPr>
          <w:rFonts w:eastAsiaTheme="minorHAnsi"/>
          <w:i/>
        </w:rPr>
        <w:t>proposons</w:t>
      </w:r>
      <w:r w:rsidRPr="00B63E9C">
        <w:rPr>
          <w:rFonts w:eastAsiaTheme="minorHAnsi"/>
        </w:rPr>
        <w:t xml:space="preserve"> de supprimer, dans la Résolution 200 (Busan, 2014) "Prog</w:t>
      </w:r>
      <w:r w:rsidR="007173B5">
        <w:rPr>
          <w:rFonts w:eastAsiaTheme="minorHAnsi"/>
        </w:rPr>
        <w:t>ramme Connect </w:t>
      </w:r>
      <w:r w:rsidRPr="00B63E9C">
        <w:rPr>
          <w:rFonts w:eastAsiaTheme="minorHAnsi"/>
        </w:rPr>
        <w:t>2020 pour le développement des télécommunications/technologies de l'information et de la communication dans le monde", les textes redondants par rapport à la Résolution 71, et de tenir compte de l'obligation d'exécuter les instructions énoncées dans la Résolution de l'Assemblée générale des Nations Unies relative au Programme de développement durable à l'horizon 2030.</w:t>
      </w:r>
    </w:p>
    <w:p w:rsidR="00FD7C55" w:rsidRPr="00B63E9C" w:rsidRDefault="00FD7C55" w:rsidP="00A5586A">
      <w:pPr>
        <w:rPr>
          <w:rFonts w:eastAsiaTheme="minorHAnsi"/>
        </w:rPr>
      </w:pPr>
      <w:r w:rsidRPr="00B63E9C">
        <w:rPr>
          <w:rFonts w:eastAsiaTheme="minorHAnsi"/>
        </w:rPr>
        <w:t>2.7</w:t>
      </w:r>
      <w:r w:rsidRPr="00B63E9C">
        <w:rPr>
          <w:rFonts w:eastAsiaTheme="minorHAnsi"/>
        </w:rPr>
        <w:tab/>
        <w:t xml:space="preserve">Nous </w:t>
      </w:r>
      <w:r w:rsidRPr="00B63E9C">
        <w:rPr>
          <w:rFonts w:eastAsiaTheme="minorHAnsi"/>
          <w:i/>
        </w:rPr>
        <w:t>proposons</w:t>
      </w:r>
      <w:r w:rsidRPr="00B63E9C">
        <w:rPr>
          <w:rFonts w:eastAsiaTheme="minorHAnsi"/>
        </w:rPr>
        <w:t xml:space="preserve"> de supprimer (ou au moins de mettre entre parenthèses) </w:t>
      </w:r>
      <w:r w:rsidR="005E6C46">
        <w:rPr>
          <w:rFonts w:eastAsiaTheme="minorHAnsi"/>
        </w:rPr>
        <w:t>les cibles d'ici à </w:t>
      </w:r>
      <w:r w:rsidRPr="00B63E9C">
        <w:rPr>
          <w:rFonts w:eastAsiaTheme="minorHAnsi"/>
        </w:rPr>
        <w:t>2025, dans le paragraphe 1.5 de l'Annexe 1 (Doc. CWG-SFP-3/5) du projet de Résolution 71 (Doc.</w:t>
      </w:r>
      <w:r w:rsidR="005E6C46">
        <w:rPr>
          <w:rFonts w:eastAsiaTheme="minorHAnsi"/>
        </w:rPr>
        <w:t> </w:t>
      </w:r>
      <w:r w:rsidRPr="00B63E9C">
        <w:rPr>
          <w:rFonts w:eastAsiaTheme="minorHAnsi"/>
        </w:rPr>
        <w:t>CWG-SFP-3/7) "Plan stratégique de l'Union pour la période 2020-2023".</w:t>
      </w:r>
    </w:p>
    <w:p w:rsidR="006505FA" w:rsidRDefault="00FD7C55" w:rsidP="00A5586A">
      <w:r w:rsidRPr="00B63E9C">
        <w:rPr>
          <w:rFonts w:eastAsiaTheme="minorHAnsi"/>
        </w:rPr>
        <w:t>En outre</w:t>
      </w:r>
      <w:bookmarkStart w:id="8" w:name="_GoBack"/>
      <w:bookmarkEnd w:id="8"/>
      <w:r w:rsidRPr="00B63E9C">
        <w:rPr>
          <w:rFonts w:eastAsiaTheme="minorHAnsi"/>
        </w:rPr>
        <w:t>, tous les Tableaux de l'Annexe 1 doivent être énumérés.</w:t>
      </w:r>
    </w:p>
    <w:p w:rsidR="00873238" w:rsidRDefault="00873238" w:rsidP="006505FA"/>
    <w:p w:rsidR="000002C9" w:rsidRPr="004F1649" w:rsidRDefault="00F54F23" w:rsidP="006505FA">
      <w:pPr>
        <w:jc w:val="center"/>
      </w:pPr>
      <w:r w:rsidRPr="004F1649">
        <w:t>______________</w:t>
      </w:r>
    </w:p>
    <w:sectPr w:rsidR="000002C9" w:rsidRPr="004F1649"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69" w:rsidRDefault="003F6C69">
      <w:r>
        <w:separator/>
      </w:r>
    </w:p>
  </w:endnote>
  <w:endnote w:type="continuationSeparator" w:id="0">
    <w:p w:rsidR="003F6C69" w:rsidRDefault="003F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9" w:rsidRPr="001B2D93" w:rsidRDefault="003F6C69">
    <w:pPr>
      <w:pStyle w:val="Footer"/>
      <w:rPr>
        <w:lang w:val="en-US"/>
      </w:rPr>
    </w:pPr>
    <w:r>
      <w:fldChar w:fldCharType="begin"/>
    </w:r>
    <w:r w:rsidRPr="001B2D93">
      <w:rPr>
        <w:lang w:val="en-US"/>
      </w:rPr>
      <w:instrText xml:space="preserve"> FILENAME \p \* MERGEFORMAT </w:instrText>
    </w:r>
    <w:r>
      <w:fldChar w:fldCharType="separate"/>
    </w:r>
    <w:r w:rsidR="006B2FE0">
      <w:rPr>
        <w:lang w:val="en-US"/>
      </w:rPr>
      <w:t>P:\FRA\SG\CONSEIL\CWG-SFP\CWG-SFP3\000\014F.docx</w:t>
    </w:r>
    <w:r>
      <w:fldChar w:fldCharType="end"/>
    </w:r>
    <w:r w:rsidRPr="001B2D93">
      <w:rPr>
        <w:lang w:val="en-US"/>
      </w:rPr>
      <w:tab/>
    </w:r>
    <w:r>
      <w:fldChar w:fldCharType="begin"/>
    </w:r>
    <w:r>
      <w:instrText xml:space="preserve"> savedate \@ dd.MM.yy </w:instrText>
    </w:r>
    <w:r>
      <w:fldChar w:fldCharType="separate"/>
    </w:r>
    <w:r w:rsidR="00940A4D">
      <w:t>10.01.18</w:t>
    </w:r>
    <w:r>
      <w:fldChar w:fldCharType="end"/>
    </w:r>
    <w:r w:rsidRPr="001B2D93">
      <w:rPr>
        <w:lang w:val="en-US"/>
      </w:rPr>
      <w:tab/>
    </w:r>
    <w:r>
      <w:fldChar w:fldCharType="begin"/>
    </w:r>
    <w:r>
      <w:instrText xml:space="preserve"> printdate \@ dd.MM.yy </w:instrText>
    </w:r>
    <w:r>
      <w:fldChar w:fldCharType="separate"/>
    </w:r>
    <w:r w:rsidR="006B2FE0">
      <w:t>09.01.18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9" w:rsidRPr="00B22860" w:rsidRDefault="003F6C69" w:rsidP="008843AC">
    <w:pPr>
      <w:pStyle w:val="Footer"/>
    </w:pPr>
    <w:r>
      <w:fldChar w:fldCharType="begin"/>
    </w:r>
    <w:r w:rsidRPr="00B22860">
      <w:instrText xml:space="preserve"> FILENAME \p \* MERGEFORMAT </w:instrText>
    </w:r>
    <w:r>
      <w:fldChar w:fldCharType="separate"/>
    </w:r>
    <w:r w:rsidR="00873238">
      <w:t>P:\FRA\SG\CONSEIL\CWG-SFP\CWG-SFP3\000\013F.docx</w:t>
    </w:r>
    <w:r>
      <w:fldChar w:fldCharType="end"/>
    </w:r>
    <w:r w:rsidR="00873238">
      <w:t xml:space="preserve"> (430382</w:t>
    </w:r>
    <w:r w:rsidRPr="00B2286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9" w:rsidRDefault="003F6C6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69" w:rsidRDefault="003F6C69">
      <w:r>
        <w:t>____________________</w:t>
      </w:r>
    </w:p>
  </w:footnote>
  <w:footnote w:type="continuationSeparator" w:id="0">
    <w:p w:rsidR="003F6C69" w:rsidRDefault="003F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9" w:rsidRDefault="003F6C69">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F6C69" w:rsidRDefault="003F6C69">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9" w:rsidRDefault="003F6C69" w:rsidP="00515660">
    <w:pPr>
      <w:pStyle w:val="Header"/>
    </w:pPr>
    <w:r>
      <w:fldChar w:fldCharType="begin"/>
    </w:r>
    <w:r>
      <w:instrText>PAGE</w:instrText>
    </w:r>
    <w:r>
      <w:fldChar w:fldCharType="separate"/>
    </w:r>
    <w:r w:rsidR="005E6C4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2002E"/>
    <w:multiLevelType w:val="multilevel"/>
    <w:tmpl w:val="49B03EB2"/>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AFA86C-9FE2-4AFA-9E9E-6F44F3B74F59}"/>
    <w:docVar w:name="dgnword-eventsink" w:val="301578352"/>
  </w:docVars>
  <w:rsids>
    <w:rsidRoot w:val="0044407D"/>
    <w:rsid w:val="000002C9"/>
    <w:rsid w:val="000312FE"/>
    <w:rsid w:val="00033613"/>
    <w:rsid w:val="0004594B"/>
    <w:rsid w:val="0006001F"/>
    <w:rsid w:val="00083EF6"/>
    <w:rsid w:val="000D0D0A"/>
    <w:rsid w:val="000E2765"/>
    <w:rsid w:val="000F24F4"/>
    <w:rsid w:val="00103163"/>
    <w:rsid w:val="001101EF"/>
    <w:rsid w:val="00115D93"/>
    <w:rsid w:val="001179D8"/>
    <w:rsid w:val="001247A8"/>
    <w:rsid w:val="001378C0"/>
    <w:rsid w:val="0016160B"/>
    <w:rsid w:val="0018694A"/>
    <w:rsid w:val="00197210"/>
    <w:rsid w:val="001A304D"/>
    <w:rsid w:val="001A3287"/>
    <w:rsid w:val="001A6508"/>
    <w:rsid w:val="001B2D93"/>
    <w:rsid w:val="001D0B38"/>
    <w:rsid w:val="001D25EB"/>
    <w:rsid w:val="001D4C31"/>
    <w:rsid w:val="001E4A6B"/>
    <w:rsid w:val="001E4D21"/>
    <w:rsid w:val="001F16C6"/>
    <w:rsid w:val="00207CD1"/>
    <w:rsid w:val="00210C19"/>
    <w:rsid w:val="002118C8"/>
    <w:rsid w:val="002477A2"/>
    <w:rsid w:val="00263A51"/>
    <w:rsid w:val="00264E11"/>
    <w:rsid w:val="00267E02"/>
    <w:rsid w:val="002A0776"/>
    <w:rsid w:val="002A5D44"/>
    <w:rsid w:val="002E0BC4"/>
    <w:rsid w:val="002F1B76"/>
    <w:rsid w:val="00326E63"/>
    <w:rsid w:val="00355FF5"/>
    <w:rsid w:val="003561B4"/>
    <w:rsid w:val="00361350"/>
    <w:rsid w:val="003624EF"/>
    <w:rsid w:val="003B24ED"/>
    <w:rsid w:val="003B6DDD"/>
    <w:rsid w:val="003B7F06"/>
    <w:rsid w:val="003F2FC0"/>
    <w:rsid w:val="003F6C69"/>
    <w:rsid w:val="004038CB"/>
    <w:rsid w:val="0040546F"/>
    <w:rsid w:val="00415A40"/>
    <w:rsid w:val="0042404A"/>
    <w:rsid w:val="0044407D"/>
    <w:rsid w:val="0044618F"/>
    <w:rsid w:val="00456BC6"/>
    <w:rsid w:val="0046769A"/>
    <w:rsid w:val="00475FB3"/>
    <w:rsid w:val="004C2397"/>
    <w:rsid w:val="004C37A9"/>
    <w:rsid w:val="004E57A1"/>
    <w:rsid w:val="004F1649"/>
    <w:rsid w:val="004F259E"/>
    <w:rsid w:val="00510EBE"/>
    <w:rsid w:val="00511F1D"/>
    <w:rsid w:val="00515660"/>
    <w:rsid w:val="00520F36"/>
    <w:rsid w:val="0052114A"/>
    <w:rsid w:val="00530133"/>
    <w:rsid w:val="00540615"/>
    <w:rsid w:val="00540A6D"/>
    <w:rsid w:val="00571EEA"/>
    <w:rsid w:val="00575417"/>
    <w:rsid w:val="005768E1"/>
    <w:rsid w:val="005772DE"/>
    <w:rsid w:val="005C3890"/>
    <w:rsid w:val="005C56EF"/>
    <w:rsid w:val="005E6C46"/>
    <w:rsid w:val="005F7BFE"/>
    <w:rsid w:val="00600017"/>
    <w:rsid w:val="006224B9"/>
    <w:rsid w:val="006235CA"/>
    <w:rsid w:val="006412ED"/>
    <w:rsid w:val="00644CF6"/>
    <w:rsid w:val="006505FA"/>
    <w:rsid w:val="006550D0"/>
    <w:rsid w:val="006643AB"/>
    <w:rsid w:val="00664E1D"/>
    <w:rsid w:val="006A697F"/>
    <w:rsid w:val="006B2FE0"/>
    <w:rsid w:val="006E0098"/>
    <w:rsid w:val="00702290"/>
    <w:rsid w:val="007173B5"/>
    <w:rsid w:val="00720F7A"/>
    <w:rsid w:val="00721016"/>
    <w:rsid w:val="007210CD"/>
    <w:rsid w:val="007256B5"/>
    <w:rsid w:val="00732045"/>
    <w:rsid w:val="007369DB"/>
    <w:rsid w:val="0074521D"/>
    <w:rsid w:val="007475BB"/>
    <w:rsid w:val="00756E95"/>
    <w:rsid w:val="00772F59"/>
    <w:rsid w:val="00792E35"/>
    <w:rsid w:val="00794EBC"/>
    <w:rsid w:val="007956C2"/>
    <w:rsid w:val="007A187E"/>
    <w:rsid w:val="007C03D2"/>
    <w:rsid w:val="007C72C2"/>
    <w:rsid w:val="007D4436"/>
    <w:rsid w:val="007F257A"/>
    <w:rsid w:val="007F3665"/>
    <w:rsid w:val="007F3BCB"/>
    <w:rsid w:val="00800037"/>
    <w:rsid w:val="00806D0B"/>
    <w:rsid w:val="008152E0"/>
    <w:rsid w:val="00861D73"/>
    <w:rsid w:val="00873238"/>
    <w:rsid w:val="008765EC"/>
    <w:rsid w:val="008843AC"/>
    <w:rsid w:val="008A081E"/>
    <w:rsid w:val="008A4E87"/>
    <w:rsid w:val="008C5036"/>
    <w:rsid w:val="008D76E6"/>
    <w:rsid w:val="008F5231"/>
    <w:rsid w:val="0092392D"/>
    <w:rsid w:val="0093234A"/>
    <w:rsid w:val="00940A4D"/>
    <w:rsid w:val="0098754B"/>
    <w:rsid w:val="009C307F"/>
    <w:rsid w:val="009F642D"/>
    <w:rsid w:val="00A2113E"/>
    <w:rsid w:val="00A23A51"/>
    <w:rsid w:val="00A24607"/>
    <w:rsid w:val="00A25CD3"/>
    <w:rsid w:val="00A45030"/>
    <w:rsid w:val="00A5586A"/>
    <w:rsid w:val="00A802D1"/>
    <w:rsid w:val="00A82767"/>
    <w:rsid w:val="00AA332F"/>
    <w:rsid w:val="00AA7BBB"/>
    <w:rsid w:val="00AB1450"/>
    <w:rsid w:val="00AB1E94"/>
    <w:rsid w:val="00AB64A8"/>
    <w:rsid w:val="00AC0266"/>
    <w:rsid w:val="00AD24EC"/>
    <w:rsid w:val="00AE57BE"/>
    <w:rsid w:val="00B17ECB"/>
    <w:rsid w:val="00B22860"/>
    <w:rsid w:val="00B2517F"/>
    <w:rsid w:val="00B27BBD"/>
    <w:rsid w:val="00B309F9"/>
    <w:rsid w:val="00B32B60"/>
    <w:rsid w:val="00B55872"/>
    <w:rsid w:val="00B61619"/>
    <w:rsid w:val="00B72DC6"/>
    <w:rsid w:val="00BA3817"/>
    <w:rsid w:val="00BB26A6"/>
    <w:rsid w:val="00BB4545"/>
    <w:rsid w:val="00BB65E9"/>
    <w:rsid w:val="00BD5873"/>
    <w:rsid w:val="00C04BE3"/>
    <w:rsid w:val="00C140C6"/>
    <w:rsid w:val="00C25D29"/>
    <w:rsid w:val="00C27A7C"/>
    <w:rsid w:val="00C84918"/>
    <w:rsid w:val="00CA08ED"/>
    <w:rsid w:val="00CA308C"/>
    <w:rsid w:val="00CA3B1B"/>
    <w:rsid w:val="00CF183B"/>
    <w:rsid w:val="00D10208"/>
    <w:rsid w:val="00D168DD"/>
    <w:rsid w:val="00D30024"/>
    <w:rsid w:val="00D375CD"/>
    <w:rsid w:val="00D474C0"/>
    <w:rsid w:val="00D54AA6"/>
    <w:rsid w:val="00D553A2"/>
    <w:rsid w:val="00D610E4"/>
    <w:rsid w:val="00D70651"/>
    <w:rsid w:val="00D73C53"/>
    <w:rsid w:val="00D76368"/>
    <w:rsid w:val="00D774D3"/>
    <w:rsid w:val="00D81F55"/>
    <w:rsid w:val="00D820F4"/>
    <w:rsid w:val="00D85F09"/>
    <w:rsid w:val="00D8732D"/>
    <w:rsid w:val="00D904E8"/>
    <w:rsid w:val="00D93E2C"/>
    <w:rsid w:val="00DA0137"/>
    <w:rsid w:val="00DA08C3"/>
    <w:rsid w:val="00DB5A3E"/>
    <w:rsid w:val="00DC22AA"/>
    <w:rsid w:val="00DC5576"/>
    <w:rsid w:val="00DD5A89"/>
    <w:rsid w:val="00DF74DD"/>
    <w:rsid w:val="00E10843"/>
    <w:rsid w:val="00E25AD0"/>
    <w:rsid w:val="00E61DBD"/>
    <w:rsid w:val="00E62A1C"/>
    <w:rsid w:val="00E62E89"/>
    <w:rsid w:val="00E817A0"/>
    <w:rsid w:val="00E9562C"/>
    <w:rsid w:val="00E9732F"/>
    <w:rsid w:val="00EB6350"/>
    <w:rsid w:val="00EC5E54"/>
    <w:rsid w:val="00EF5BE1"/>
    <w:rsid w:val="00F06495"/>
    <w:rsid w:val="00F144C5"/>
    <w:rsid w:val="00F15B57"/>
    <w:rsid w:val="00F427DB"/>
    <w:rsid w:val="00F54F23"/>
    <w:rsid w:val="00F632D7"/>
    <w:rsid w:val="00F74CF7"/>
    <w:rsid w:val="00F773CB"/>
    <w:rsid w:val="00F9644D"/>
    <w:rsid w:val="00FA2BE1"/>
    <w:rsid w:val="00FA5EB1"/>
    <w:rsid w:val="00FA7439"/>
    <w:rsid w:val="00FC4EC0"/>
    <w:rsid w:val="00FD7C5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CallChar">
    <w:name w:val="Call Char"/>
    <w:basedOn w:val="DefaultParagraphFont"/>
    <w:link w:val="Call"/>
    <w:locked/>
    <w:rsid w:val="00F54F23"/>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9439-A494-42A6-A3EB-F7E01282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85</TotalTime>
  <Pages>3</Pages>
  <Words>1013</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6698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Royer, Veronique</cp:lastModifiedBy>
  <cp:revision>4</cp:revision>
  <cp:lastPrinted>2018-01-09T13:59:00Z</cp:lastPrinted>
  <dcterms:created xsi:type="dcterms:W3CDTF">2018-01-10T06:47:00Z</dcterms:created>
  <dcterms:modified xsi:type="dcterms:W3CDTF">2018-01-10T08:22:00Z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