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BD3C8A"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hint="cs"/>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E70D6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E70D6A">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w:t>
            </w:r>
            <w:proofErr w:type="gramStart"/>
            <w:r w:rsidRPr="00D22D93">
              <w:rPr>
                <w:rFonts w:eastAsiaTheme="minorEastAsia" w:hint="cs"/>
                <w:b/>
                <w:bCs/>
                <w:sz w:val="24"/>
                <w:szCs w:val="32"/>
                <w:rtl/>
                <w:lang w:eastAsia="zh-CN" w:bidi="ar-EG"/>
              </w:rPr>
              <w:t>- جنيف</w:t>
            </w:r>
            <w:proofErr w:type="gramEnd"/>
            <w:r w:rsidRPr="00D22D93">
              <w:rPr>
                <w:rFonts w:eastAsiaTheme="minorEastAsia" w:hint="cs"/>
                <w:b/>
                <w:bCs/>
                <w:sz w:val="24"/>
                <w:szCs w:val="32"/>
                <w:rtl/>
                <w:lang w:eastAsia="zh-CN" w:bidi="ar-EG"/>
              </w:rPr>
              <w:t xml:space="preserve">، </w:t>
            </w:r>
            <w:r w:rsidR="00720957">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sidR="00720957">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7A6D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720957">
              <w:rPr>
                <w:rFonts w:eastAsiaTheme="minorEastAsia"/>
                <w:b/>
                <w:bCs/>
                <w:lang w:eastAsia="zh-CN" w:bidi="ar-SY"/>
              </w:rPr>
              <w:t>3</w:t>
            </w:r>
            <w:r w:rsidRPr="00950A5B">
              <w:rPr>
                <w:rFonts w:eastAsiaTheme="minorEastAsia"/>
                <w:b/>
                <w:bCs/>
                <w:lang w:eastAsia="zh-CN" w:bidi="ar-SY"/>
              </w:rPr>
              <w:t>/</w:t>
            </w:r>
            <w:r w:rsidR="007A6D44">
              <w:rPr>
                <w:rFonts w:eastAsiaTheme="minorEastAsia"/>
                <w:b/>
                <w:bCs/>
                <w:lang w:eastAsia="zh-CN" w:bidi="ar-SY"/>
              </w:rPr>
              <w:t>13</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7A6D44" w:rsidP="007A6D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28</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007A6D44">
              <w:rPr>
                <w:rFonts w:eastAsiaTheme="minorEastAsia" w:hint="cs"/>
                <w:b/>
                <w:bCs/>
                <w:rtl/>
                <w:lang w:eastAsia="zh-CN" w:bidi="ar-EG"/>
              </w:rPr>
              <w:t>بالروسية/</w:t>
            </w:r>
            <w:r w:rsidRPr="007A6D44">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7A6D44" w:rsidP="001701EA">
            <w:pPr>
              <w:pStyle w:val="Source"/>
              <w:spacing w:after="120"/>
              <w:rPr>
                <w:rFonts w:eastAsiaTheme="minorEastAsia"/>
                <w:rtl/>
                <w:lang w:eastAsia="zh-CN"/>
              </w:rPr>
            </w:pPr>
            <w:r>
              <w:rPr>
                <w:rFonts w:eastAsiaTheme="minorEastAsia" w:hint="cs"/>
                <w:rtl/>
                <w:lang w:eastAsia="zh-CN"/>
              </w:rPr>
              <w:t>الاتحاد الروسي</w:t>
            </w:r>
          </w:p>
        </w:tc>
      </w:tr>
      <w:tr w:rsidR="00950A5B" w:rsidRPr="00950A5B" w:rsidTr="004B6B8C">
        <w:trPr>
          <w:cantSplit/>
        </w:trPr>
        <w:tc>
          <w:tcPr>
            <w:tcW w:w="9672" w:type="dxa"/>
            <w:gridSpan w:val="2"/>
          </w:tcPr>
          <w:p w:rsidR="00950A5B" w:rsidRPr="00950A5B" w:rsidRDefault="007A6D44" w:rsidP="007A6D44">
            <w:pPr>
              <w:pStyle w:val="Title1"/>
              <w:rPr>
                <w:rFonts w:eastAsiaTheme="minorEastAsia" w:hint="cs"/>
                <w:rtl/>
                <w:lang w:eastAsia="zh-CN"/>
              </w:rPr>
            </w:pPr>
            <w:r>
              <w:rPr>
                <w:rFonts w:eastAsiaTheme="minorEastAsia" w:hint="cs"/>
                <w:rtl/>
                <w:lang w:eastAsia="zh-CN"/>
              </w:rPr>
              <w:t>مساهمة من الاتحاد الروسي</w:t>
            </w:r>
            <w:r>
              <w:rPr>
                <w:rFonts w:eastAsiaTheme="minorEastAsia"/>
                <w:rtl/>
                <w:lang w:eastAsia="zh-CN"/>
              </w:rPr>
              <w:br/>
            </w:r>
            <w:r>
              <w:rPr>
                <w:rFonts w:eastAsiaTheme="minorEastAsia" w:hint="cs"/>
                <w:rtl/>
                <w:lang w:eastAsia="zh-CN"/>
              </w:rPr>
              <w:t xml:space="preserve">من أجل مراجعة القرارات ذات الصلة بالتخطيط الاستراتيجي </w:t>
            </w:r>
            <w:r>
              <w:rPr>
                <w:rFonts w:eastAsiaTheme="minorEastAsia"/>
                <w:rtl/>
                <w:lang w:eastAsia="zh-CN"/>
              </w:rPr>
              <w:br/>
            </w:r>
            <w:r>
              <w:rPr>
                <w:rFonts w:eastAsiaTheme="minorEastAsia" w:hint="cs"/>
                <w:rtl/>
                <w:lang w:eastAsia="zh-CN"/>
              </w:rPr>
              <w:t xml:space="preserve">(القرارات </w:t>
            </w:r>
            <w:r>
              <w:rPr>
                <w:rFonts w:eastAsiaTheme="minorEastAsia"/>
                <w:lang w:eastAsia="zh-CN"/>
              </w:rPr>
              <w:t>71</w:t>
            </w:r>
            <w:r>
              <w:rPr>
                <w:rFonts w:eastAsiaTheme="minorEastAsia" w:hint="cs"/>
                <w:rtl/>
                <w:lang w:eastAsia="zh-CN"/>
              </w:rPr>
              <w:t xml:space="preserve"> و</w:t>
            </w:r>
            <w:r>
              <w:rPr>
                <w:rFonts w:eastAsiaTheme="minorEastAsia"/>
                <w:lang w:eastAsia="zh-CN"/>
              </w:rPr>
              <w:t>72</w:t>
            </w:r>
            <w:r>
              <w:rPr>
                <w:rFonts w:eastAsiaTheme="minorEastAsia" w:hint="cs"/>
                <w:rtl/>
                <w:lang w:eastAsia="zh-CN"/>
              </w:rPr>
              <w:t xml:space="preserve"> و</w:t>
            </w:r>
            <w:r>
              <w:rPr>
                <w:rFonts w:eastAsiaTheme="minorEastAsia"/>
                <w:lang w:eastAsia="zh-CN"/>
              </w:rPr>
              <w:t>131</w:t>
            </w:r>
            <w:r>
              <w:rPr>
                <w:rFonts w:eastAsiaTheme="minorEastAsia" w:hint="cs"/>
                <w:rtl/>
                <w:lang w:eastAsia="zh-CN"/>
              </w:rPr>
              <w:t xml:space="preserve"> و</w:t>
            </w:r>
            <w:r>
              <w:rPr>
                <w:rFonts w:eastAsiaTheme="minorEastAsia"/>
                <w:lang w:eastAsia="zh-CN"/>
              </w:rPr>
              <w:t>151</w:t>
            </w:r>
            <w:r>
              <w:rPr>
                <w:rFonts w:eastAsiaTheme="minorEastAsia" w:hint="cs"/>
                <w:rtl/>
                <w:lang w:eastAsia="zh-CN"/>
              </w:rPr>
              <w:t xml:space="preserve"> و</w:t>
            </w:r>
            <w:r>
              <w:rPr>
                <w:rFonts w:eastAsiaTheme="minorEastAsia"/>
                <w:lang w:eastAsia="zh-CN"/>
              </w:rPr>
              <w:t>191</w:t>
            </w:r>
            <w:r>
              <w:rPr>
                <w:rFonts w:eastAsiaTheme="minorEastAsia" w:hint="cs"/>
                <w:rtl/>
                <w:lang w:eastAsia="zh-CN"/>
              </w:rPr>
              <w:t xml:space="preserve"> و</w:t>
            </w:r>
            <w:r>
              <w:rPr>
                <w:rFonts w:eastAsiaTheme="minorEastAsia"/>
                <w:lang w:eastAsia="zh-CN"/>
              </w:rPr>
              <w:t>200</w:t>
            </w:r>
            <w:r>
              <w:rPr>
                <w:rFonts w:eastAsiaTheme="minorEastAsia" w:hint="cs"/>
                <w:rtl/>
                <w:lang w:eastAsia="zh-CN"/>
              </w:rPr>
              <w:t>)</w:t>
            </w:r>
          </w:p>
        </w:tc>
      </w:tr>
    </w:tbl>
    <w:tbl>
      <w:tblPr>
        <w:tblStyle w:val="TableGrid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97"/>
      </w:tblGrid>
      <w:tr w:rsidR="007A6D44" w:rsidRPr="007A6D44" w:rsidTr="007A6D44">
        <w:trPr>
          <w:jc w:val="center"/>
        </w:trPr>
        <w:tc>
          <w:tcPr>
            <w:tcW w:w="7797" w:type="dxa"/>
          </w:tcPr>
          <w:p w:rsidR="007A6D44" w:rsidRPr="007A6D44" w:rsidRDefault="007A6D44" w:rsidP="007A6D4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7A6D44">
              <w:rPr>
                <w:rFonts w:eastAsiaTheme="minorEastAsia" w:hint="cs"/>
                <w:b/>
                <w:bCs/>
                <w:rtl/>
                <w:lang w:eastAsia="zh-CN" w:bidi="ar-SY"/>
              </w:rPr>
              <w:t>ملخص</w:t>
            </w:r>
          </w:p>
          <w:p w:rsidR="007A6D44" w:rsidRDefault="007A6D44" w:rsidP="007A6D4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A6D44">
              <w:rPr>
                <w:rFonts w:eastAsiaTheme="minorEastAsia" w:hint="cs"/>
                <w:rtl/>
                <w:lang w:eastAsia="zh-CN" w:bidi="ar-SY"/>
              </w:rPr>
              <w:t>تعرض الوثيقة مسائل يود الاتحاد الروسي رفعها إلى عناية المشاركين في الاجتماع الثالث لفريق العمل التابع للمجلس المعني بالخطتين والاستراتيجية والمالية مع العلم بأن عدداً من الإرشادات المتضمنة في</w:t>
            </w:r>
            <w:r>
              <w:rPr>
                <w:rFonts w:eastAsiaTheme="minorEastAsia" w:hint="eastAsia"/>
                <w:rtl/>
                <w:lang w:eastAsia="zh-CN" w:bidi="ar-SY"/>
              </w:rPr>
              <w:t> </w:t>
            </w:r>
            <w:r w:rsidRPr="007A6D44">
              <w:rPr>
                <w:rFonts w:eastAsiaTheme="minorEastAsia" w:hint="cs"/>
                <w:rtl/>
                <w:lang w:eastAsia="zh-CN" w:bidi="ar-SY"/>
              </w:rPr>
              <w:t xml:space="preserve">القرارات المدرجة في عنوان الوثيقة قد نفذت منذ مؤتمر المندوبين المفوضين لعام </w:t>
            </w:r>
            <w:r w:rsidRPr="007A6D44">
              <w:rPr>
                <w:rFonts w:eastAsiaTheme="minorEastAsia"/>
                <w:lang w:eastAsia="zh-CN" w:bidi="ar-EG"/>
              </w:rPr>
              <w:t>2014</w:t>
            </w:r>
            <w:r w:rsidRPr="007A6D44">
              <w:rPr>
                <w:rFonts w:eastAsiaTheme="minorEastAsia" w:hint="cs"/>
                <w:rtl/>
                <w:lang w:eastAsia="zh-CN" w:bidi="ar-EG"/>
              </w:rPr>
              <w:t xml:space="preserve">، وكذلك </w:t>
            </w:r>
            <w:r w:rsidRPr="007A6D44">
              <w:rPr>
                <w:rFonts w:eastAsiaTheme="minorEastAsia" w:hint="cs"/>
                <w:i/>
                <w:iCs/>
                <w:rtl/>
                <w:lang w:eastAsia="zh-CN" w:bidi="ar-EG"/>
              </w:rPr>
              <w:t>لتعديل</w:t>
            </w:r>
            <w:r w:rsidRPr="007A6D44">
              <w:rPr>
                <w:rFonts w:eastAsiaTheme="minorEastAsia" w:hint="cs"/>
                <w:rtl/>
                <w:lang w:eastAsia="zh-CN" w:bidi="ar-EG"/>
              </w:rPr>
              <w:t xml:space="preserve"> نصوص القرارات نتيجةً للغايات والمقاصد الجديدة لأنشطة الاتحاد وتجنب الازدواجية والتكرار الذي لا داعي له للنصوص.</w:t>
            </w:r>
          </w:p>
          <w:p w:rsidR="007A6D44" w:rsidRDefault="007A6D44" w:rsidP="007A6D4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EG"/>
              </w:rPr>
              <w:t xml:space="preserve">ويقترح دمج قرارين بإدخال المحتوى الرئيسي للقرار </w:t>
            </w:r>
            <w:r>
              <w:rPr>
                <w:rFonts w:eastAsiaTheme="minorEastAsia"/>
                <w:lang w:eastAsia="zh-CN" w:bidi="ar-EG"/>
              </w:rPr>
              <w:t>72</w:t>
            </w:r>
            <w:r>
              <w:rPr>
                <w:rFonts w:eastAsiaTheme="minorEastAsia" w:hint="cs"/>
                <w:rtl/>
                <w:lang w:eastAsia="zh-CN" w:bidi="ar-EG"/>
              </w:rPr>
              <w:t xml:space="preserve"> (المراجَع في بوسان، </w:t>
            </w:r>
            <w:r>
              <w:rPr>
                <w:rFonts w:eastAsiaTheme="minorEastAsia"/>
                <w:lang w:eastAsia="zh-CN" w:bidi="ar-EG"/>
              </w:rPr>
              <w:t>2014</w:t>
            </w:r>
            <w:r>
              <w:rPr>
                <w:rFonts w:eastAsiaTheme="minorEastAsia" w:hint="cs"/>
                <w:rtl/>
                <w:lang w:eastAsia="zh-CN" w:bidi="ar-EG"/>
              </w:rPr>
              <w:t xml:space="preserve">) ضمن القرار المراجَع </w:t>
            </w:r>
            <w:r>
              <w:rPr>
                <w:rFonts w:eastAsiaTheme="minorEastAsia"/>
                <w:lang w:eastAsia="zh-CN" w:bidi="ar-EG"/>
              </w:rPr>
              <w:t>151</w:t>
            </w:r>
            <w:r>
              <w:rPr>
                <w:rFonts w:eastAsiaTheme="minorEastAsia" w:hint="cs"/>
                <w:rtl/>
                <w:lang w:eastAsia="zh-CN" w:bidi="ar-EG"/>
              </w:rPr>
              <w:t xml:space="preserve"> (جاري إعداد مساهمة منفصلة بذلك).</w:t>
            </w:r>
          </w:p>
          <w:p w:rsidR="007A6D44" w:rsidRPr="007A6D44" w:rsidRDefault="007A6D44" w:rsidP="007A6D4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7A6D44">
              <w:rPr>
                <w:rFonts w:eastAsiaTheme="minorEastAsia" w:hint="cs"/>
                <w:b/>
                <w:bCs/>
                <w:rtl/>
                <w:lang w:eastAsia="zh-CN" w:bidi="ar-SY"/>
              </w:rPr>
              <w:t>الإجراء المطلوب</w:t>
            </w:r>
          </w:p>
          <w:p w:rsidR="007A6D44" w:rsidRPr="007A6D44" w:rsidRDefault="00A40EB5" w:rsidP="00A40EB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SY"/>
              </w:rPr>
              <w:t xml:space="preserve">يُدعى فريق </w:t>
            </w:r>
            <w:r w:rsidRPr="00A40EB5">
              <w:rPr>
                <w:rFonts w:eastAsiaTheme="minorEastAsia" w:hint="cs"/>
                <w:rtl/>
                <w:lang w:eastAsia="zh-CN" w:bidi="ar-SY"/>
              </w:rPr>
              <w:t>العمل التابع للمجلس المعني بالخطتين والاستراتيجية والمالية</w:t>
            </w:r>
            <w:r>
              <w:rPr>
                <w:rFonts w:eastAsiaTheme="minorEastAsia" w:hint="cs"/>
                <w:rtl/>
                <w:lang w:eastAsia="zh-CN" w:bidi="ar-SY"/>
              </w:rPr>
              <w:t xml:space="preserve"> إلى النظر في المسائل والمقترحات أدناه من أجل مراعاة نتائج المناقشات المتعلقة بمراجعة القرارات </w:t>
            </w:r>
            <w:r>
              <w:rPr>
                <w:rFonts w:eastAsiaTheme="minorEastAsia"/>
                <w:lang w:eastAsia="zh-CN" w:bidi="ar-SY"/>
              </w:rPr>
              <w:t>71</w:t>
            </w:r>
            <w:r>
              <w:rPr>
                <w:rFonts w:eastAsiaTheme="minorEastAsia" w:hint="cs"/>
                <w:rtl/>
                <w:lang w:eastAsia="zh-CN" w:bidi="ar-EG"/>
              </w:rPr>
              <w:t xml:space="preserve"> و</w:t>
            </w:r>
            <w:r>
              <w:rPr>
                <w:rFonts w:eastAsiaTheme="minorEastAsia"/>
                <w:lang w:eastAsia="zh-CN" w:bidi="ar-EG"/>
              </w:rPr>
              <w:t>72</w:t>
            </w:r>
            <w:r>
              <w:rPr>
                <w:rFonts w:eastAsiaTheme="minorEastAsia" w:hint="cs"/>
                <w:rtl/>
                <w:lang w:eastAsia="zh-CN" w:bidi="ar-EG"/>
              </w:rPr>
              <w:t xml:space="preserve"> و</w:t>
            </w:r>
            <w:r>
              <w:rPr>
                <w:rFonts w:eastAsiaTheme="minorEastAsia"/>
                <w:lang w:eastAsia="zh-CN" w:bidi="ar-EG"/>
              </w:rPr>
              <w:t>131</w:t>
            </w:r>
            <w:r>
              <w:rPr>
                <w:rFonts w:eastAsiaTheme="minorEastAsia" w:hint="cs"/>
                <w:rtl/>
                <w:lang w:eastAsia="zh-CN" w:bidi="ar-EG"/>
              </w:rPr>
              <w:t xml:space="preserve"> و</w:t>
            </w:r>
            <w:r>
              <w:rPr>
                <w:rFonts w:eastAsiaTheme="minorEastAsia"/>
                <w:lang w:eastAsia="zh-CN" w:bidi="ar-EG"/>
              </w:rPr>
              <w:t>151</w:t>
            </w:r>
            <w:r>
              <w:rPr>
                <w:rFonts w:eastAsiaTheme="minorEastAsia" w:hint="cs"/>
                <w:rtl/>
                <w:lang w:eastAsia="zh-CN" w:bidi="ar-EG"/>
              </w:rPr>
              <w:t xml:space="preserve"> و</w:t>
            </w:r>
            <w:r>
              <w:rPr>
                <w:rFonts w:eastAsiaTheme="minorEastAsia"/>
                <w:lang w:eastAsia="zh-CN" w:bidi="ar-EG"/>
              </w:rPr>
              <w:t>191</w:t>
            </w:r>
            <w:r>
              <w:rPr>
                <w:rFonts w:eastAsiaTheme="minorEastAsia" w:hint="cs"/>
                <w:rtl/>
                <w:lang w:eastAsia="zh-CN" w:bidi="ar-EG"/>
              </w:rPr>
              <w:t xml:space="preserve"> و</w:t>
            </w:r>
            <w:r>
              <w:rPr>
                <w:rFonts w:eastAsiaTheme="minorEastAsia"/>
                <w:lang w:eastAsia="zh-CN" w:bidi="ar-EG"/>
              </w:rPr>
              <w:t>200</w:t>
            </w:r>
            <w:r>
              <w:rPr>
                <w:rFonts w:eastAsiaTheme="minorEastAsia" w:hint="cs"/>
                <w:rtl/>
                <w:lang w:eastAsia="zh-CN" w:bidi="ar-EG"/>
              </w:rPr>
              <w:t>.</w:t>
            </w:r>
          </w:p>
          <w:p w:rsidR="007A6D44" w:rsidRPr="007A6D44" w:rsidRDefault="007A6D44" w:rsidP="007A6D4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7A6D44">
              <w:rPr>
                <w:rFonts w:eastAsiaTheme="minorEastAsia" w:hint="cs"/>
                <w:rtl/>
                <w:lang w:eastAsia="zh-CN" w:bidi="ar-SY"/>
              </w:rPr>
              <w:t>_________</w:t>
            </w:r>
          </w:p>
          <w:p w:rsidR="007A6D44" w:rsidRPr="007A6D44" w:rsidRDefault="007A6D44" w:rsidP="007A6D4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7A6D44">
              <w:rPr>
                <w:rFonts w:eastAsiaTheme="minorEastAsia" w:hint="cs"/>
                <w:b/>
                <w:bCs/>
                <w:rtl/>
                <w:lang w:eastAsia="zh-CN" w:bidi="ar-SY"/>
              </w:rPr>
              <w:t>المراجع</w:t>
            </w:r>
          </w:p>
          <w:p w:rsidR="007A6D44" w:rsidRPr="007A6D44" w:rsidRDefault="0029692C" w:rsidP="00347A5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hint="cs"/>
                <w:i/>
                <w:iCs/>
                <w:rtl/>
                <w:lang w:eastAsia="zh-CN" w:bidi="ar-EG"/>
              </w:rPr>
            </w:pPr>
            <w:r w:rsidRPr="00347A5E">
              <w:rPr>
                <w:rFonts w:eastAsiaTheme="minorEastAsia" w:hint="cs"/>
                <w:i/>
                <w:iCs/>
                <w:rtl/>
                <w:lang w:eastAsia="zh-CN" w:bidi="ar-SY"/>
              </w:rPr>
              <w:t xml:space="preserve">الوثائق: القرار </w:t>
            </w:r>
            <w:r w:rsidRPr="00347A5E">
              <w:rPr>
                <w:rFonts w:eastAsiaTheme="minorEastAsia"/>
                <w:i/>
                <w:iCs/>
                <w:lang w:eastAsia="zh-CN" w:bidi="ar-SY"/>
              </w:rPr>
              <w:t>1384</w:t>
            </w:r>
            <w:r w:rsidRPr="00347A5E">
              <w:rPr>
                <w:rFonts w:eastAsiaTheme="minorEastAsia" w:hint="cs"/>
                <w:i/>
                <w:iCs/>
                <w:rtl/>
                <w:lang w:eastAsia="zh-CN" w:bidi="ar-SY"/>
              </w:rPr>
              <w:t xml:space="preserve"> الصادر عن المجلس في دورته لعام </w:t>
            </w:r>
            <w:r w:rsidRPr="00347A5E">
              <w:rPr>
                <w:rFonts w:eastAsiaTheme="minorEastAsia"/>
                <w:i/>
                <w:iCs/>
                <w:lang w:eastAsia="zh-CN" w:bidi="ar-SY"/>
              </w:rPr>
              <w:t>2017</w:t>
            </w:r>
            <w:r w:rsidRPr="00347A5E">
              <w:rPr>
                <w:rFonts w:eastAsiaTheme="minorEastAsia" w:hint="cs"/>
                <w:i/>
                <w:iCs/>
                <w:rtl/>
                <w:lang w:eastAsia="zh-CN" w:bidi="ar-EG"/>
              </w:rPr>
              <w:t xml:space="preserve">؛ القرار </w:t>
            </w:r>
            <w:r w:rsidRPr="00347A5E">
              <w:rPr>
                <w:rFonts w:eastAsiaTheme="minorEastAsia"/>
                <w:i/>
                <w:iCs/>
                <w:lang w:eastAsia="zh-CN" w:bidi="ar-EG"/>
              </w:rPr>
              <w:t>71</w:t>
            </w:r>
            <w:r w:rsidRPr="00347A5E">
              <w:rPr>
                <w:rFonts w:eastAsiaTheme="minorEastAsia" w:hint="cs"/>
                <w:i/>
                <w:iCs/>
                <w:rtl/>
                <w:lang w:eastAsia="zh-CN" w:bidi="ar-EG"/>
              </w:rPr>
              <w:t xml:space="preserve"> (المراجَع في بوسان، </w:t>
            </w:r>
            <w:r w:rsidRPr="00347A5E">
              <w:rPr>
                <w:rFonts w:eastAsiaTheme="minorEastAsia"/>
                <w:i/>
                <w:iCs/>
                <w:lang w:eastAsia="zh-CN" w:bidi="ar-EG"/>
              </w:rPr>
              <w:t>2014</w:t>
            </w:r>
            <w:r w:rsidRPr="00347A5E">
              <w:rPr>
                <w:rFonts w:eastAsiaTheme="minorEastAsia" w:hint="cs"/>
                <w:i/>
                <w:iCs/>
                <w:rtl/>
                <w:lang w:eastAsia="zh-CN" w:bidi="ar-EG"/>
              </w:rPr>
              <w:t xml:space="preserve">)؛ القرار </w:t>
            </w:r>
            <w:r w:rsidRPr="00347A5E">
              <w:rPr>
                <w:rFonts w:eastAsiaTheme="minorEastAsia"/>
                <w:i/>
                <w:iCs/>
                <w:lang w:eastAsia="zh-CN" w:bidi="ar-EG"/>
              </w:rPr>
              <w:t>72</w:t>
            </w:r>
            <w:r w:rsidRPr="00347A5E">
              <w:rPr>
                <w:rFonts w:eastAsiaTheme="minorEastAsia" w:hint="cs"/>
                <w:i/>
                <w:iCs/>
                <w:rtl/>
                <w:lang w:eastAsia="zh-CN" w:bidi="ar-EG"/>
              </w:rPr>
              <w:t xml:space="preserve"> </w:t>
            </w:r>
            <w:r w:rsidRPr="00347A5E">
              <w:rPr>
                <w:rFonts w:eastAsiaTheme="minorEastAsia" w:hint="cs"/>
                <w:i/>
                <w:iCs/>
                <w:rtl/>
                <w:lang w:eastAsia="zh-CN" w:bidi="ar-EG"/>
              </w:rPr>
              <w:t xml:space="preserve">(المراجَع في بوسان، </w:t>
            </w:r>
            <w:r w:rsidRPr="00347A5E">
              <w:rPr>
                <w:rFonts w:eastAsiaTheme="minorEastAsia"/>
                <w:i/>
                <w:iCs/>
                <w:lang w:eastAsia="zh-CN" w:bidi="ar-EG"/>
              </w:rPr>
              <w:t>2014</w:t>
            </w:r>
            <w:r w:rsidRPr="00347A5E">
              <w:rPr>
                <w:rFonts w:eastAsiaTheme="minorEastAsia" w:hint="cs"/>
                <w:i/>
                <w:iCs/>
                <w:rtl/>
                <w:lang w:eastAsia="zh-CN" w:bidi="ar-EG"/>
              </w:rPr>
              <w:t>)</w:t>
            </w:r>
            <w:r w:rsidRPr="00347A5E">
              <w:rPr>
                <w:rFonts w:eastAsiaTheme="minorEastAsia" w:hint="cs"/>
                <w:i/>
                <w:iCs/>
                <w:rtl/>
                <w:lang w:eastAsia="zh-CN" w:bidi="ar-EG"/>
              </w:rPr>
              <w:t xml:space="preserve">؛ القرار </w:t>
            </w:r>
            <w:r w:rsidRPr="00347A5E">
              <w:rPr>
                <w:rFonts w:eastAsiaTheme="minorEastAsia"/>
                <w:i/>
                <w:iCs/>
                <w:lang w:eastAsia="zh-CN" w:bidi="ar-EG"/>
              </w:rPr>
              <w:t>151</w:t>
            </w:r>
            <w:r w:rsidRPr="00347A5E">
              <w:rPr>
                <w:rFonts w:eastAsiaTheme="minorEastAsia" w:hint="cs"/>
                <w:i/>
                <w:iCs/>
                <w:rtl/>
                <w:lang w:eastAsia="zh-CN" w:bidi="ar-EG"/>
              </w:rPr>
              <w:t xml:space="preserve"> </w:t>
            </w:r>
            <w:r w:rsidRPr="00347A5E">
              <w:rPr>
                <w:rFonts w:eastAsiaTheme="minorEastAsia" w:hint="cs"/>
                <w:i/>
                <w:iCs/>
                <w:rtl/>
                <w:lang w:eastAsia="zh-CN" w:bidi="ar-EG"/>
              </w:rPr>
              <w:t xml:space="preserve">(المراجَع في بوسان، </w:t>
            </w:r>
            <w:r w:rsidRPr="00347A5E">
              <w:rPr>
                <w:rFonts w:eastAsiaTheme="minorEastAsia"/>
                <w:i/>
                <w:iCs/>
                <w:lang w:eastAsia="zh-CN" w:bidi="ar-EG"/>
              </w:rPr>
              <w:t>2014</w:t>
            </w:r>
            <w:r w:rsidRPr="00347A5E">
              <w:rPr>
                <w:rFonts w:eastAsiaTheme="minorEastAsia" w:hint="cs"/>
                <w:i/>
                <w:iCs/>
                <w:rtl/>
                <w:lang w:eastAsia="zh-CN" w:bidi="ar-EG"/>
              </w:rPr>
              <w:t>)</w:t>
            </w:r>
            <w:r w:rsidRPr="00347A5E">
              <w:rPr>
                <w:rFonts w:eastAsiaTheme="minorEastAsia" w:hint="cs"/>
                <w:i/>
                <w:iCs/>
                <w:rtl/>
                <w:lang w:eastAsia="zh-CN" w:bidi="ar-EG"/>
              </w:rPr>
              <w:t xml:space="preserve">؛ القرار </w:t>
            </w:r>
            <w:r w:rsidRPr="00347A5E">
              <w:rPr>
                <w:rFonts w:eastAsiaTheme="minorEastAsia"/>
                <w:i/>
                <w:iCs/>
                <w:lang w:eastAsia="zh-CN" w:bidi="ar-EG"/>
              </w:rPr>
              <w:t>191</w:t>
            </w:r>
            <w:r w:rsidRPr="00347A5E">
              <w:rPr>
                <w:rFonts w:eastAsiaTheme="minorEastAsia" w:hint="cs"/>
                <w:i/>
                <w:iCs/>
                <w:rtl/>
                <w:lang w:eastAsia="zh-CN" w:bidi="ar-EG"/>
              </w:rPr>
              <w:t xml:space="preserve"> </w:t>
            </w:r>
            <w:r w:rsidRPr="00347A5E">
              <w:rPr>
                <w:rFonts w:eastAsiaTheme="minorEastAsia" w:hint="cs"/>
                <w:i/>
                <w:iCs/>
                <w:rtl/>
                <w:lang w:eastAsia="zh-CN" w:bidi="ar-EG"/>
              </w:rPr>
              <w:t xml:space="preserve">(بوسان، </w:t>
            </w:r>
            <w:r w:rsidRPr="00347A5E">
              <w:rPr>
                <w:rFonts w:eastAsiaTheme="minorEastAsia"/>
                <w:i/>
                <w:iCs/>
                <w:lang w:eastAsia="zh-CN" w:bidi="ar-EG"/>
              </w:rPr>
              <w:t>2014</w:t>
            </w:r>
            <w:r w:rsidRPr="00347A5E">
              <w:rPr>
                <w:rFonts w:eastAsiaTheme="minorEastAsia" w:hint="cs"/>
                <w:i/>
                <w:iCs/>
                <w:rtl/>
                <w:lang w:eastAsia="zh-CN" w:bidi="ar-EG"/>
              </w:rPr>
              <w:t>)</w:t>
            </w:r>
            <w:r w:rsidRPr="00347A5E">
              <w:rPr>
                <w:rFonts w:eastAsiaTheme="minorEastAsia" w:hint="cs"/>
                <w:i/>
                <w:iCs/>
                <w:rtl/>
                <w:lang w:eastAsia="zh-CN" w:bidi="ar-EG"/>
              </w:rPr>
              <w:t xml:space="preserve">؛ القرار </w:t>
            </w:r>
            <w:r w:rsidRPr="00347A5E">
              <w:rPr>
                <w:rFonts w:eastAsiaTheme="minorEastAsia"/>
                <w:i/>
                <w:iCs/>
                <w:lang w:eastAsia="zh-CN" w:bidi="ar-EG"/>
              </w:rPr>
              <w:t>200</w:t>
            </w:r>
            <w:r w:rsidRPr="00347A5E">
              <w:rPr>
                <w:rFonts w:eastAsiaTheme="minorEastAsia" w:hint="cs"/>
                <w:i/>
                <w:iCs/>
                <w:rtl/>
                <w:lang w:eastAsia="zh-CN" w:bidi="ar-EG"/>
              </w:rPr>
              <w:t xml:space="preserve"> (بوسان، </w:t>
            </w:r>
            <w:r w:rsidRPr="00347A5E">
              <w:rPr>
                <w:rFonts w:eastAsiaTheme="minorEastAsia"/>
                <w:i/>
                <w:iCs/>
                <w:lang w:eastAsia="zh-CN" w:bidi="ar-EG"/>
              </w:rPr>
              <w:t>2014</w:t>
            </w:r>
            <w:r w:rsidRPr="00347A5E">
              <w:rPr>
                <w:rFonts w:eastAsiaTheme="minorEastAsia" w:hint="cs"/>
                <w:i/>
                <w:iCs/>
                <w:rtl/>
                <w:lang w:eastAsia="zh-CN" w:bidi="ar-EG"/>
              </w:rPr>
              <w:t xml:space="preserve">)؛ الوثائق </w:t>
            </w:r>
            <w:r w:rsidRPr="00347A5E">
              <w:rPr>
                <w:rFonts w:eastAsiaTheme="minorEastAsia"/>
                <w:i/>
                <w:iCs/>
                <w:lang w:eastAsia="zh-CN" w:bidi="ar-EG"/>
              </w:rPr>
              <w:t>C17/45</w:t>
            </w:r>
            <w:r w:rsidRPr="00347A5E">
              <w:rPr>
                <w:rFonts w:eastAsiaTheme="minorEastAsia" w:hint="cs"/>
                <w:i/>
                <w:iCs/>
                <w:rtl/>
                <w:lang w:eastAsia="zh-CN" w:bidi="ar-EG"/>
              </w:rPr>
              <w:t xml:space="preserve"> و</w:t>
            </w:r>
            <w:r w:rsidRPr="00347A5E">
              <w:rPr>
                <w:rFonts w:eastAsiaTheme="minorEastAsia"/>
                <w:i/>
                <w:iCs/>
                <w:lang w:eastAsia="zh-CN" w:bidi="ar-EG"/>
              </w:rPr>
              <w:t>C17/123</w:t>
            </w:r>
            <w:r w:rsidRPr="00347A5E">
              <w:rPr>
                <w:rFonts w:eastAsiaTheme="minorEastAsia" w:hint="cs"/>
                <w:i/>
                <w:iCs/>
                <w:rtl/>
                <w:lang w:eastAsia="zh-CN" w:bidi="ar-EG"/>
              </w:rPr>
              <w:t xml:space="preserve"> و</w:t>
            </w:r>
            <w:r w:rsidRPr="00347A5E">
              <w:rPr>
                <w:rFonts w:eastAsiaTheme="minorEastAsia"/>
                <w:i/>
                <w:iCs/>
                <w:lang w:eastAsia="zh-CN" w:bidi="ar-EG"/>
              </w:rPr>
              <w:t>CWG</w:t>
            </w:r>
            <w:r w:rsidRPr="00347A5E">
              <w:rPr>
                <w:rFonts w:eastAsiaTheme="minorEastAsia"/>
                <w:i/>
                <w:iCs/>
                <w:lang w:eastAsia="zh-CN" w:bidi="ar-EG"/>
              </w:rPr>
              <w:noBreakHyphen/>
              <w:t>SFP</w:t>
            </w:r>
            <w:r w:rsidRPr="00347A5E">
              <w:rPr>
                <w:rFonts w:eastAsiaTheme="minorEastAsia"/>
                <w:i/>
                <w:iCs/>
                <w:lang w:eastAsia="zh-CN" w:bidi="ar-EG"/>
              </w:rPr>
              <w:noBreakHyphen/>
              <w:t>2/6 Rev.2</w:t>
            </w:r>
            <w:r w:rsidRPr="00347A5E">
              <w:rPr>
                <w:rFonts w:eastAsiaTheme="minorEastAsia" w:hint="cs"/>
                <w:i/>
                <w:iCs/>
                <w:rtl/>
                <w:lang w:eastAsia="zh-CN" w:bidi="ar-EG"/>
              </w:rPr>
              <w:t xml:space="preserve"> و</w:t>
            </w:r>
            <w:r w:rsidRPr="00347A5E">
              <w:rPr>
                <w:rFonts w:eastAsiaTheme="minorEastAsia"/>
                <w:i/>
                <w:iCs/>
                <w:lang w:eastAsia="zh-CN" w:bidi="ar-EG"/>
              </w:rPr>
              <w:t>CWG</w:t>
            </w:r>
            <w:r w:rsidR="00347A5E">
              <w:rPr>
                <w:rFonts w:eastAsiaTheme="minorEastAsia"/>
                <w:i/>
                <w:iCs/>
                <w:lang w:eastAsia="zh-CN" w:bidi="ar-EG"/>
              </w:rPr>
              <w:noBreakHyphen/>
            </w:r>
            <w:r w:rsidRPr="00347A5E">
              <w:rPr>
                <w:rFonts w:eastAsiaTheme="minorEastAsia"/>
                <w:i/>
                <w:iCs/>
                <w:lang w:eastAsia="zh-CN" w:bidi="ar-EG"/>
              </w:rPr>
              <w:t>SFP</w:t>
            </w:r>
            <w:r w:rsidR="00347A5E">
              <w:rPr>
                <w:rFonts w:eastAsiaTheme="minorEastAsia"/>
                <w:i/>
                <w:iCs/>
                <w:lang w:eastAsia="zh-CN" w:bidi="ar-EG"/>
              </w:rPr>
              <w:noBreakHyphen/>
            </w:r>
            <w:r w:rsidRPr="00347A5E">
              <w:rPr>
                <w:rFonts w:eastAsiaTheme="minorEastAsia"/>
                <w:i/>
                <w:iCs/>
                <w:lang w:eastAsia="zh-CN" w:bidi="ar-EG"/>
              </w:rPr>
              <w:t>3/7</w:t>
            </w:r>
            <w:r w:rsidRPr="00347A5E">
              <w:rPr>
                <w:rFonts w:eastAsiaTheme="minorEastAsia" w:hint="cs"/>
                <w:i/>
                <w:iCs/>
                <w:rtl/>
                <w:lang w:eastAsia="zh-CN" w:bidi="ar-EG"/>
              </w:rPr>
              <w:t xml:space="preserve"> و</w:t>
            </w:r>
            <w:r w:rsidRPr="00347A5E">
              <w:rPr>
                <w:rFonts w:eastAsiaTheme="minorEastAsia"/>
                <w:i/>
                <w:iCs/>
                <w:lang w:eastAsia="zh-CN" w:bidi="ar-EG"/>
              </w:rPr>
              <w:t>CWG</w:t>
            </w:r>
            <w:r w:rsidR="00347A5E">
              <w:rPr>
                <w:rFonts w:eastAsiaTheme="minorEastAsia"/>
                <w:i/>
                <w:iCs/>
                <w:lang w:eastAsia="zh-CN" w:bidi="ar-EG"/>
              </w:rPr>
              <w:noBreakHyphen/>
            </w:r>
            <w:r w:rsidRPr="00347A5E">
              <w:rPr>
                <w:rFonts w:eastAsiaTheme="minorEastAsia"/>
                <w:i/>
                <w:iCs/>
                <w:lang w:eastAsia="zh-CN" w:bidi="ar-EG"/>
              </w:rPr>
              <w:t>SFP</w:t>
            </w:r>
            <w:r w:rsidR="00347A5E">
              <w:rPr>
                <w:rFonts w:eastAsiaTheme="minorEastAsia"/>
                <w:i/>
                <w:iCs/>
                <w:lang w:eastAsia="zh-CN" w:bidi="ar-EG"/>
              </w:rPr>
              <w:noBreakHyphen/>
            </w:r>
            <w:r w:rsidRPr="00347A5E">
              <w:rPr>
                <w:rFonts w:eastAsiaTheme="minorEastAsia"/>
                <w:i/>
                <w:iCs/>
                <w:lang w:eastAsia="zh-CN" w:bidi="ar-EG"/>
              </w:rPr>
              <w:t>3/5</w:t>
            </w:r>
            <w:r w:rsidRPr="00347A5E">
              <w:rPr>
                <w:rFonts w:eastAsiaTheme="minorEastAsia" w:hint="cs"/>
                <w:i/>
                <w:iCs/>
                <w:rtl/>
                <w:lang w:eastAsia="zh-CN" w:bidi="ar-EG"/>
              </w:rPr>
              <w:t>.</w:t>
            </w:r>
          </w:p>
        </w:tc>
      </w:tr>
    </w:tbl>
    <w:p w:rsidR="00347A5E" w:rsidRDefault="00347A5E" w:rsidP="00347A5E">
      <w:pPr>
        <w:rPr>
          <w:rFonts w:eastAsiaTheme="minorEastAsia" w:hint="cs"/>
          <w:rtl/>
          <w:lang w:eastAsia="zh-CN" w:bidi="ar-EG"/>
        </w:rPr>
      </w:pPr>
      <w:r>
        <w:rPr>
          <w:rFonts w:eastAsiaTheme="minorEastAsia"/>
          <w:rtl/>
          <w:lang w:eastAsia="zh-CN" w:bidi="ar-EG"/>
        </w:rPr>
        <w:br w:type="page"/>
      </w:r>
    </w:p>
    <w:p w:rsidR="006157A3" w:rsidRDefault="00347A5E" w:rsidP="00347A5E">
      <w:pPr>
        <w:pStyle w:val="Heading1"/>
        <w:rPr>
          <w:rFonts w:hint="cs"/>
          <w:rtl/>
        </w:rPr>
      </w:pPr>
      <w:r>
        <w:lastRenderedPageBreak/>
        <w:t>1</w:t>
      </w:r>
      <w:r>
        <w:rPr>
          <w:rtl/>
        </w:rPr>
        <w:tab/>
      </w:r>
      <w:r>
        <w:rPr>
          <w:rFonts w:hint="cs"/>
          <w:rtl/>
        </w:rPr>
        <w:t>معلومات أساسية</w:t>
      </w:r>
    </w:p>
    <w:p w:rsidR="00347A5E" w:rsidRDefault="00347A5E" w:rsidP="00C05002">
      <w:pPr>
        <w:rPr>
          <w:rFonts w:hint="cs"/>
          <w:rtl/>
          <w:lang w:bidi="ar-EG"/>
        </w:rPr>
      </w:pPr>
      <w:r>
        <w:rPr>
          <w:rFonts w:hint="cs"/>
          <w:rtl/>
          <w:lang w:bidi="ar-EG"/>
        </w:rPr>
        <w:t xml:space="preserve">قرر فريق </w:t>
      </w:r>
      <w:r w:rsidRPr="00347A5E">
        <w:rPr>
          <w:rFonts w:hint="cs"/>
          <w:rtl/>
          <w:lang w:bidi="ar-SY"/>
        </w:rPr>
        <w:t>العمل التابع للمجلس المعني بالخطتين والاستراتيجية والمالية</w:t>
      </w:r>
      <w:r>
        <w:rPr>
          <w:rFonts w:hint="cs"/>
          <w:rtl/>
          <w:lang w:bidi="ar-SY"/>
        </w:rPr>
        <w:t xml:space="preserve"> للفترة </w:t>
      </w:r>
      <w:r>
        <w:rPr>
          <w:lang w:bidi="ar-SY"/>
        </w:rPr>
        <w:t>2023</w:t>
      </w:r>
      <w:r>
        <w:rPr>
          <w:lang w:bidi="ar-SY"/>
        </w:rPr>
        <w:noBreakHyphen/>
        <w:t>2020</w:t>
      </w:r>
      <w:r>
        <w:rPr>
          <w:rFonts w:hint="cs"/>
          <w:rtl/>
          <w:lang w:bidi="ar-EG"/>
        </w:rPr>
        <w:t xml:space="preserve"> أن يدرج ضمن أنشطته مراجعة القرارات </w:t>
      </w:r>
      <w:r>
        <w:rPr>
          <w:lang w:bidi="ar-EG"/>
        </w:rPr>
        <w:t>71</w:t>
      </w:r>
      <w:r>
        <w:rPr>
          <w:rFonts w:hint="cs"/>
          <w:rtl/>
          <w:lang w:bidi="ar-EG"/>
        </w:rPr>
        <w:t xml:space="preserve"> و</w:t>
      </w:r>
      <w:r>
        <w:rPr>
          <w:lang w:bidi="ar-EG"/>
        </w:rPr>
        <w:t>72</w:t>
      </w:r>
      <w:r>
        <w:rPr>
          <w:rFonts w:hint="cs"/>
          <w:rtl/>
          <w:lang w:bidi="ar-EG"/>
        </w:rPr>
        <w:t xml:space="preserve"> و</w:t>
      </w:r>
      <w:r>
        <w:rPr>
          <w:lang w:bidi="ar-EG"/>
        </w:rPr>
        <w:t>151</w:t>
      </w:r>
      <w:r>
        <w:rPr>
          <w:rFonts w:hint="cs"/>
          <w:rtl/>
          <w:lang w:bidi="ar-EG"/>
        </w:rPr>
        <w:t xml:space="preserve"> و</w:t>
      </w:r>
      <w:r>
        <w:rPr>
          <w:lang w:bidi="ar-EG"/>
        </w:rPr>
        <w:t>191</w:t>
      </w:r>
      <w:r>
        <w:rPr>
          <w:rFonts w:hint="cs"/>
          <w:rtl/>
          <w:lang w:bidi="ar-EG"/>
        </w:rPr>
        <w:t xml:space="preserve"> و</w:t>
      </w:r>
      <w:r>
        <w:rPr>
          <w:lang w:bidi="ar-EG"/>
        </w:rPr>
        <w:t>200</w:t>
      </w:r>
      <w:r>
        <w:rPr>
          <w:rFonts w:hint="cs"/>
          <w:rtl/>
          <w:lang w:bidi="ar-EG"/>
        </w:rPr>
        <w:t xml:space="preserve"> بغية مواءمتها مع الخطة الاستراتيجية الجديدة (الوثيقة </w:t>
      </w:r>
      <w:r w:rsidRPr="00347A5E">
        <w:rPr>
          <w:lang w:bidi="ar-EG"/>
        </w:rPr>
        <w:t>CWG-SFP-2/2 (</w:t>
      </w:r>
      <w:r w:rsidRPr="00347A5E">
        <w:rPr>
          <w:lang w:val="ru-RU" w:bidi="ar-EG"/>
        </w:rPr>
        <w:t>С</w:t>
      </w:r>
      <w:r w:rsidRPr="00347A5E">
        <w:rPr>
          <w:lang w:bidi="ar-EG"/>
        </w:rPr>
        <w:t>17/123)</w:t>
      </w:r>
      <w:r>
        <w:rPr>
          <w:rFonts w:hint="cs"/>
          <w:rtl/>
          <w:lang w:bidi="ar-EG"/>
        </w:rPr>
        <w:t xml:space="preserve">). ويوصي الاتحاد الروسي بإدراج القرار </w:t>
      </w:r>
      <w:r>
        <w:rPr>
          <w:lang w:bidi="ar-EG"/>
        </w:rPr>
        <w:t>131</w:t>
      </w:r>
      <w:r>
        <w:rPr>
          <w:rFonts w:hint="cs"/>
          <w:rtl/>
          <w:lang w:bidi="ar-EG"/>
        </w:rPr>
        <w:t xml:space="preserve"> (المراجَع في بوسان، </w:t>
      </w:r>
      <w:r>
        <w:rPr>
          <w:lang w:bidi="ar-EG"/>
        </w:rPr>
        <w:t>2014</w:t>
      </w:r>
      <w:r>
        <w:rPr>
          <w:rFonts w:hint="cs"/>
          <w:rtl/>
          <w:lang w:bidi="ar-EG"/>
        </w:rPr>
        <w:t>) "</w:t>
      </w:r>
      <w:bookmarkStart w:id="1" w:name="_Toc408328061"/>
      <w:bookmarkStart w:id="2" w:name="_Toc414526755"/>
      <w:bookmarkStart w:id="3" w:name="_Toc415560175"/>
      <w:r w:rsidR="00C05002" w:rsidRPr="00C05002">
        <w:rPr>
          <w:rFonts w:hint="cs"/>
          <w:rtl/>
          <w:lang w:bidi="ar-EG"/>
        </w:rPr>
        <w:t xml:space="preserve">قياس </w:t>
      </w:r>
      <w:r w:rsidR="00C05002" w:rsidRPr="00C05002">
        <w:rPr>
          <w:rtl/>
          <w:lang w:bidi="ar-EG"/>
        </w:rPr>
        <w:t>تكنولوجيا المعلومات والاتصالات</w:t>
      </w:r>
      <w:r w:rsidR="00C05002">
        <w:rPr>
          <w:rFonts w:hint="cs"/>
          <w:rtl/>
          <w:lang w:bidi="ar-EG"/>
        </w:rPr>
        <w:t xml:space="preserve"> </w:t>
      </w:r>
      <w:r w:rsidR="00C05002" w:rsidRPr="00C05002">
        <w:rPr>
          <w:rtl/>
          <w:lang w:bidi="ar-SY"/>
        </w:rPr>
        <w:t xml:space="preserve">لبناء مجتمع معلومات </w:t>
      </w:r>
      <w:r w:rsidR="00C05002" w:rsidRPr="00C05002">
        <w:rPr>
          <w:rFonts w:hint="cs"/>
          <w:rtl/>
          <w:lang w:bidi="ar-SY"/>
        </w:rPr>
        <w:t>جامع و</w:t>
      </w:r>
      <w:r w:rsidR="00C05002" w:rsidRPr="00C05002">
        <w:rPr>
          <w:rtl/>
          <w:lang w:bidi="ar-SY"/>
        </w:rPr>
        <w:t>شامل للجميع</w:t>
      </w:r>
      <w:bookmarkEnd w:id="1"/>
      <w:bookmarkEnd w:id="2"/>
      <w:bookmarkEnd w:id="3"/>
      <w:r>
        <w:rPr>
          <w:rFonts w:hint="cs"/>
          <w:rtl/>
          <w:lang w:bidi="ar-EG"/>
        </w:rPr>
        <w:t xml:space="preserve">" </w:t>
      </w:r>
      <w:r w:rsidR="00C05002">
        <w:rPr>
          <w:rFonts w:hint="cs"/>
          <w:rtl/>
          <w:lang w:bidi="ar-EG"/>
        </w:rPr>
        <w:t>ضمن هذه القائمة، حيث إن عنوانه ينطوي ضمنياً بالفعل على أهمية القرار المتعلق بإبراز التقدم المحرز في تنفيذ الغايات الاستراتيجية للاتحاد. وبناءً على ذلك، يقترح الاتحاد الروسي ما يلي:</w:t>
      </w:r>
    </w:p>
    <w:p w:rsidR="00C05002" w:rsidRDefault="00C05002" w:rsidP="00C05002">
      <w:pPr>
        <w:pStyle w:val="Heading1"/>
        <w:rPr>
          <w:rtl/>
        </w:rPr>
      </w:pPr>
      <w:r>
        <w:t>2</w:t>
      </w:r>
      <w:r>
        <w:rPr>
          <w:rtl/>
        </w:rPr>
        <w:tab/>
      </w:r>
      <w:r>
        <w:rPr>
          <w:rFonts w:hint="cs"/>
          <w:rtl/>
        </w:rPr>
        <w:t>مقترحات للنظر فيها</w:t>
      </w:r>
    </w:p>
    <w:p w:rsidR="00C05002" w:rsidRDefault="00C05002" w:rsidP="00C05002">
      <w:pPr>
        <w:rPr>
          <w:rFonts w:hint="cs"/>
          <w:rtl/>
          <w:lang w:bidi="ar-EG"/>
        </w:rPr>
      </w:pPr>
      <w:r>
        <w:rPr>
          <w:lang w:bidi="ar-EG"/>
        </w:rPr>
        <w:t>1.2</w:t>
      </w:r>
      <w:r>
        <w:rPr>
          <w:rtl/>
          <w:lang w:bidi="ar-EG"/>
        </w:rPr>
        <w:tab/>
      </w:r>
      <w:r w:rsidRPr="007152EF">
        <w:rPr>
          <w:rFonts w:hint="cs"/>
          <w:i/>
          <w:iCs/>
          <w:rtl/>
          <w:lang w:bidi="ar-EG"/>
        </w:rPr>
        <w:t>نقترح</w:t>
      </w:r>
      <w:r>
        <w:rPr>
          <w:rFonts w:hint="cs"/>
          <w:rtl/>
          <w:lang w:bidi="ar-EG"/>
        </w:rPr>
        <w:t xml:space="preserve"> أن تعد الأمانة وتقدم إلى الاجتماع الثالث و/أو الرابع لفريق </w:t>
      </w:r>
      <w:r w:rsidRPr="00347A5E">
        <w:rPr>
          <w:rFonts w:hint="cs"/>
          <w:rtl/>
          <w:lang w:bidi="ar-SY"/>
        </w:rPr>
        <w:t>العمل التابع للمجلس المعني بالخطتين والاستراتيجية والمالية</w:t>
      </w:r>
      <w:r>
        <w:rPr>
          <w:rFonts w:hint="cs"/>
          <w:rtl/>
          <w:lang w:bidi="ar-SY"/>
        </w:rPr>
        <w:t xml:space="preserve"> للفترة </w:t>
      </w:r>
      <w:r>
        <w:rPr>
          <w:lang w:bidi="ar-SY"/>
        </w:rPr>
        <w:t>2023</w:t>
      </w:r>
      <w:r>
        <w:rPr>
          <w:lang w:bidi="ar-SY"/>
        </w:rPr>
        <w:noBreakHyphen/>
        <w:t>2020</w:t>
      </w:r>
      <w:r>
        <w:rPr>
          <w:rFonts w:hint="cs"/>
          <w:rtl/>
          <w:lang w:bidi="ar-SY"/>
        </w:rPr>
        <w:t xml:space="preserve"> وثيقة (وثائق) معلومات تتضمن معلومات عن الإرشادات التي نفذت بموجب القرارات </w:t>
      </w:r>
      <w:r w:rsidRPr="00C05002">
        <w:rPr>
          <w:lang w:bidi="ar-SY"/>
        </w:rPr>
        <w:t>71</w:t>
      </w:r>
      <w:r>
        <w:rPr>
          <w:rFonts w:hint="cs"/>
          <w:rtl/>
          <w:lang w:bidi="ar-SY"/>
        </w:rPr>
        <w:t xml:space="preserve"> و</w:t>
      </w:r>
      <w:r w:rsidRPr="00C05002">
        <w:rPr>
          <w:lang w:bidi="ar-SY"/>
        </w:rPr>
        <w:t>72</w:t>
      </w:r>
      <w:r>
        <w:rPr>
          <w:rFonts w:hint="cs"/>
          <w:rtl/>
          <w:lang w:bidi="ar-SY"/>
        </w:rPr>
        <w:t xml:space="preserve"> و</w:t>
      </w:r>
      <w:r w:rsidRPr="00C05002">
        <w:rPr>
          <w:lang w:bidi="ar-SY"/>
        </w:rPr>
        <w:t>131</w:t>
      </w:r>
      <w:r>
        <w:rPr>
          <w:rFonts w:hint="cs"/>
          <w:rtl/>
          <w:lang w:bidi="ar-SY"/>
        </w:rPr>
        <w:t xml:space="preserve"> و</w:t>
      </w:r>
      <w:r w:rsidRPr="00C05002">
        <w:rPr>
          <w:lang w:bidi="ar-SY"/>
        </w:rPr>
        <w:t>151</w:t>
      </w:r>
      <w:r>
        <w:rPr>
          <w:rFonts w:hint="cs"/>
          <w:rtl/>
          <w:lang w:bidi="ar-SY"/>
        </w:rPr>
        <w:t xml:space="preserve"> و</w:t>
      </w:r>
      <w:r w:rsidRPr="00C05002">
        <w:rPr>
          <w:lang w:bidi="ar-SY"/>
        </w:rPr>
        <w:t>191</w:t>
      </w:r>
      <w:r>
        <w:rPr>
          <w:rFonts w:hint="cs"/>
          <w:rtl/>
          <w:lang w:bidi="ar-SY"/>
        </w:rPr>
        <w:t xml:space="preserve"> و</w:t>
      </w:r>
      <w:r w:rsidRPr="00C05002">
        <w:rPr>
          <w:lang w:bidi="ar-SY"/>
        </w:rPr>
        <w:t>200</w:t>
      </w:r>
      <w:r>
        <w:rPr>
          <w:rFonts w:hint="cs"/>
          <w:rtl/>
          <w:lang w:bidi="ar-SY"/>
        </w:rPr>
        <w:t xml:space="preserve"> طبقاً للحاجة إلى تقييم التقدم المحرز في تنفيذ القرارات من أجل إجراء التغييرات المناسبة وتقديمها إلى مؤتمر المندوبين المفوضين لعام </w:t>
      </w:r>
      <w:r>
        <w:rPr>
          <w:lang w:bidi="ar-SY"/>
        </w:rPr>
        <w:t>2018</w:t>
      </w:r>
      <w:r>
        <w:rPr>
          <w:rFonts w:hint="cs"/>
          <w:rtl/>
          <w:lang w:bidi="ar-EG"/>
        </w:rPr>
        <w:t>.</w:t>
      </w:r>
    </w:p>
    <w:p w:rsidR="00C05002" w:rsidRPr="004573BE" w:rsidRDefault="00C05002" w:rsidP="00C05002">
      <w:pPr>
        <w:rPr>
          <w:spacing w:val="-2"/>
          <w:rtl/>
          <w:lang w:bidi="ar-EG"/>
        </w:rPr>
      </w:pPr>
      <w:r w:rsidRPr="004573BE">
        <w:rPr>
          <w:spacing w:val="-2"/>
          <w:lang w:bidi="ar-EG"/>
        </w:rPr>
        <w:t>2.2</w:t>
      </w:r>
      <w:r w:rsidRPr="004573BE">
        <w:rPr>
          <w:spacing w:val="-2"/>
          <w:rtl/>
          <w:lang w:bidi="ar-EG"/>
        </w:rPr>
        <w:tab/>
      </w:r>
      <w:r w:rsidRPr="004573BE">
        <w:rPr>
          <w:rFonts w:hint="cs"/>
          <w:spacing w:val="-2"/>
          <w:rtl/>
          <w:lang w:bidi="ar-EG"/>
        </w:rPr>
        <w:t xml:space="preserve">من منطلق إدراك أن الربط بين جميع أنواع عمليات التخطيط والخطط في الاتحاد يعد أحد عناصر الإدارة القائمة على النتائج </w:t>
      </w:r>
      <w:r w:rsidRPr="004573BE">
        <w:rPr>
          <w:spacing w:val="-2"/>
          <w:lang w:bidi="ar-EG"/>
        </w:rPr>
        <w:t>(RBM</w:t>
      </w:r>
      <w:proofErr w:type="gramStart"/>
      <w:r w:rsidRPr="004573BE">
        <w:rPr>
          <w:spacing w:val="-2"/>
          <w:lang w:bidi="ar-EG"/>
        </w:rPr>
        <w:t>)</w:t>
      </w:r>
      <w:r w:rsidRPr="004573BE">
        <w:rPr>
          <w:rFonts w:hint="cs"/>
          <w:spacing w:val="-2"/>
          <w:rtl/>
          <w:lang w:bidi="ar-EG"/>
        </w:rPr>
        <w:t>،</w:t>
      </w:r>
      <w:proofErr w:type="gramEnd"/>
      <w:r w:rsidRPr="004573BE">
        <w:rPr>
          <w:rFonts w:hint="cs"/>
          <w:spacing w:val="-2"/>
          <w:rtl/>
          <w:lang w:bidi="ar-EG"/>
        </w:rPr>
        <w:t xml:space="preserve"> </w:t>
      </w:r>
      <w:r w:rsidRPr="004573BE">
        <w:rPr>
          <w:rFonts w:hint="cs"/>
          <w:i/>
          <w:iCs/>
          <w:spacing w:val="-2"/>
          <w:rtl/>
          <w:lang w:bidi="ar-EG"/>
        </w:rPr>
        <w:t>نقترح</w:t>
      </w:r>
      <w:r w:rsidRPr="004573BE">
        <w:rPr>
          <w:rFonts w:hint="cs"/>
          <w:spacing w:val="-2"/>
          <w:rtl/>
          <w:lang w:bidi="ar-EG"/>
        </w:rPr>
        <w:t xml:space="preserve"> مناقشة السببية المتعلقة بدمج القرارين </w:t>
      </w:r>
      <w:r w:rsidRPr="004573BE">
        <w:rPr>
          <w:spacing w:val="-2"/>
          <w:lang w:bidi="ar-EG"/>
        </w:rPr>
        <w:t>151</w:t>
      </w:r>
      <w:r w:rsidRPr="004573BE">
        <w:rPr>
          <w:rFonts w:hint="cs"/>
          <w:spacing w:val="-2"/>
          <w:rtl/>
          <w:lang w:bidi="ar-EG"/>
        </w:rPr>
        <w:t xml:space="preserve"> "</w:t>
      </w:r>
      <w:bookmarkStart w:id="4" w:name="_Toc280260304"/>
      <w:bookmarkStart w:id="5" w:name="_Toc408328081"/>
      <w:bookmarkStart w:id="6" w:name="_Toc414526783"/>
      <w:bookmarkStart w:id="7" w:name="_Toc415560203"/>
      <w:r w:rsidRPr="004573BE">
        <w:rPr>
          <w:spacing w:val="-2"/>
          <w:rtl/>
          <w:lang w:bidi="ar-EG"/>
        </w:rPr>
        <w:t>تنفيذ الإدارة على أساس النتائج</w:t>
      </w:r>
      <w:r w:rsidRPr="004573BE">
        <w:rPr>
          <w:rFonts w:hint="cs"/>
          <w:spacing w:val="-2"/>
          <w:rtl/>
          <w:lang w:bidi="ar-EG"/>
        </w:rPr>
        <w:t xml:space="preserve"> في </w:t>
      </w:r>
      <w:r w:rsidRPr="004573BE">
        <w:rPr>
          <w:spacing w:val="-2"/>
          <w:rtl/>
          <w:lang w:bidi="ar-EG"/>
        </w:rPr>
        <w:t>الاتحاد الدولي للاتصالات</w:t>
      </w:r>
      <w:bookmarkEnd w:id="4"/>
      <w:bookmarkEnd w:id="5"/>
      <w:bookmarkEnd w:id="6"/>
      <w:bookmarkEnd w:id="7"/>
      <w:r w:rsidRPr="004573BE">
        <w:rPr>
          <w:rFonts w:hint="cs"/>
          <w:spacing w:val="-2"/>
          <w:rtl/>
          <w:lang w:bidi="ar-EG"/>
        </w:rPr>
        <w:t>" و</w:t>
      </w:r>
      <w:r w:rsidRPr="004573BE">
        <w:rPr>
          <w:spacing w:val="-2"/>
          <w:lang w:bidi="ar-EG"/>
        </w:rPr>
        <w:t>72</w:t>
      </w:r>
      <w:r w:rsidRPr="004573BE">
        <w:rPr>
          <w:rFonts w:hint="eastAsia"/>
          <w:spacing w:val="-2"/>
          <w:rtl/>
          <w:lang w:bidi="ar-EG"/>
        </w:rPr>
        <w:t> </w:t>
      </w:r>
      <w:r w:rsidRPr="004573BE">
        <w:rPr>
          <w:rFonts w:hint="cs"/>
          <w:spacing w:val="-2"/>
          <w:rtl/>
          <w:lang w:bidi="ar-EG"/>
        </w:rPr>
        <w:t>"</w:t>
      </w:r>
      <w:bookmarkStart w:id="8" w:name="_Toc280260263"/>
      <w:bookmarkStart w:id="9" w:name="_Toc414526703"/>
      <w:bookmarkStart w:id="10" w:name="_Toc415560123"/>
      <w:r w:rsidRPr="004573BE">
        <w:rPr>
          <w:spacing w:val="-2"/>
          <w:rtl/>
          <w:lang w:bidi="ar-EG"/>
        </w:rPr>
        <w:t>التنسيق بين الخطط الاستراتيجية والمالية والتشغيلية في الاتحاد</w:t>
      </w:r>
      <w:bookmarkEnd w:id="8"/>
      <w:bookmarkEnd w:id="9"/>
      <w:bookmarkEnd w:id="10"/>
      <w:r w:rsidRPr="004573BE">
        <w:rPr>
          <w:rFonts w:hint="cs"/>
          <w:spacing w:val="-2"/>
          <w:rtl/>
          <w:lang w:bidi="ar-EG"/>
        </w:rPr>
        <w:t>" استناداً إلى مساهمة الاتحاد الروسي الواردة في</w:t>
      </w:r>
      <w:r w:rsidRPr="004573BE">
        <w:rPr>
          <w:rFonts w:hint="eastAsia"/>
          <w:spacing w:val="-2"/>
          <w:rtl/>
          <w:lang w:bidi="ar-EG"/>
        </w:rPr>
        <w:t> </w:t>
      </w:r>
      <w:r w:rsidRPr="004573BE">
        <w:rPr>
          <w:rFonts w:hint="cs"/>
          <w:spacing w:val="-2"/>
          <w:rtl/>
          <w:lang w:bidi="ar-EG"/>
        </w:rPr>
        <w:t xml:space="preserve">الوثيقة </w:t>
      </w:r>
      <w:proofErr w:type="spellStart"/>
      <w:r w:rsidRPr="004573BE">
        <w:rPr>
          <w:rFonts w:hint="cs"/>
          <w:spacing w:val="-2"/>
          <w:rtl/>
          <w:lang w:bidi="ar-EG"/>
        </w:rPr>
        <w:t>المعنونة</w:t>
      </w:r>
      <w:proofErr w:type="spellEnd"/>
      <w:r w:rsidRPr="004573BE">
        <w:rPr>
          <w:rFonts w:hint="cs"/>
          <w:spacing w:val="-2"/>
          <w:rtl/>
          <w:lang w:bidi="ar-EG"/>
        </w:rPr>
        <w:t xml:space="preserve"> "مقترحات بشأن تغيير القرار </w:t>
      </w:r>
      <w:r w:rsidRPr="004573BE">
        <w:rPr>
          <w:spacing w:val="-2"/>
          <w:lang w:bidi="ar-EG"/>
        </w:rPr>
        <w:t>151</w:t>
      </w:r>
      <w:r w:rsidRPr="004573BE">
        <w:rPr>
          <w:rFonts w:hint="cs"/>
          <w:spacing w:val="-2"/>
          <w:rtl/>
          <w:lang w:bidi="ar-EG"/>
        </w:rPr>
        <w:t xml:space="preserve"> (المراجَع في بوسان، </w:t>
      </w:r>
      <w:r w:rsidRPr="004573BE">
        <w:rPr>
          <w:spacing w:val="-2"/>
          <w:lang w:bidi="ar-EG"/>
        </w:rPr>
        <w:t>2014</w:t>
      </w:r>
      <w:r w:rsidRPr="004573BE">
        <w:rPr>
          <w:rFonts w:hint="cs"/>
          <w:spacing w:val="-2"/>
          <w:rtl/>
          <w:lang w:bidi="ar-EG"/>
        </w:rPr>
        <w:t xml:space="preserve">) على أساس دمجه مع القرار </w:t>
      </w:r>
      <w:r w:rsidRPr="004573BE">
        <w:rPr>
          <w:spacing w:val="-2"/>
          <w:lang w:bidi="ar-EG"/>
        </w:rPr>
        <w:t>72</w:t>
      </w:r>
      <w:r w:rsidRPr="004573BE">
        <w:rPr>
          <w:rFonts w:hint="eastAsia"/>
          <w:spacing w:val="-2"/>
          <w:rtl/>
          <w:lang w:bidi="ar-EG"/>
        </w:rPr>
        <w:t> </w:t>
      </w:r>
      <w:r w:rsidRPr="004573BE">
        <w:rPr>
          <w:rFonts w:hint="cs"/>
          <w:spacing w:val="-2"/>
          <w:rtl/>
          <w:lang w:bidi="ar-EG"/>
        </w:rPr>
        <w:t xml:space="preserve">(المراجَع في بوسان، </w:t>
      </w:r>
      <w:r w:rsidRPr="004573BE">
        <w:rPr>
          <w:spacing w:val="-2"/>
          <w:lang w:bidi="ar-EG"/>
        </w:rPr>
        <w:t>2014</w:t>
      </w:r>
      <w:r w:rsidRPr="004573BE">
        <w:rPr>
          <w:rFonts w:hint="cs"/>
          <w:spacing w:val="-2"/>
          <w:rtl/>
          <w:lang w:bidi="ar-EG"/>
        </w:rPr>
        <w:t>).</w:t>
      </w:r>
    </w:p>
    <w:p w:rsidR="00C05002" w:rsidRPr="00C05002" w:rsidRDefault="004573BE" w:rsidP="00C05002">
      <w:pPr>
        <w:rPr>
          <w:rFonts w:hint="cs"/>
          <w:rtl/>
          <w:lang w:bidi="ar-EG"/>
        </w:rPr>
      </w:pPr>
      <w:r>
        <w:rPr>
          <w:lang w:bidi="ar-EG"/>
        </w:rPr>
        <w:t>3.2</w:t>
      </w:r>
      <w:r>
        <w:rPr>
          <w:rtl/>
          <w:lang w:bidi="ar-EG"/>
        </w:rPr>
        <w:tab/>
      </w:r>
      <w:r>
        <w:rPr>
          <w:rFonts w:hint="cs"/>
          <w:rtl/>
          <w:lang w:bidi="ar-EG"/>
        </w:rPr>
        <w:t xml:space="preserve">مع مراعاة أن الآلية المتعلقة بالربط بين أنواع الخطط الثلاث والتي تشير إلى أدوات وأساليب محددة للربط بين الخطط غير مقدمة في القرار </w:t>
      </w:r>
      <w:r>
        <w:rPr>
          <w:lang w:bidi="ar-EG"/>
        </w:rPr>
        <w:t>72</w:t>
      </w:r>
      <w:r>
        <w:rPr>
          <w:rFonts w:hint="cs"/>
          <w:rtl/>
          <w:lang w:bidi="ar-EG"/>
        </w:rPr>
        <w:t xml:space="preserve">، </w:t>
      </w:r>
      <w:r w:rsidRPr="00BE1A36">
        <w:rPr>
          <w:rFonts w:hint="cs"/>
          <w:i/>
          <w:iCs/>
          <w:rtl/>
          <w:lang w:bidi="ar-EG"/>
        </w:rPr>
        <w:t>نقترح</w:t>
      </w:r>
      <w:r>
        <w:rPr>
          <w:rFonts w:hint="cs"/>
          <w:rtl/>
          <w:lang w:bidi="ar-EG"/>
        </w:rPr>
        <w:t xml:space="preserve"> أن تعد الأمانة وثيقة تعرض عملية الربط بين الخطط الاستراتيجية والمالية والتشغيلية في شكل خوارزمية تبرز جميع خطوات عملية الربط، يمكن تقديمها كملحق بالقرار </w:t>
      </w:r>
      <w:r>
        <w:rPr>
          <w:lang w:bidi="ar-EG"/>
        </w:rPr>
        <w:t>151</w:t>
      </w:r>
      <w:r>
        <w:rPr>
          <w:rFonts w:hint="cs"/>
          <w:rtl/>
          <w:lang w:bidi="ar-EG"/>
        </w:rPr>
        <w:t xml:space="preserve"> المراجع.</w:t>
      </w:r>
    </w:p>
    <w:p w:rsidR="008B5B5D" w:rsidRDefault="004A2A27" w:rsidP="004A2A27">
      <w:pPr>
        <w:rPr>
          <w:rtl/>
          <w:lang w:bidi="ar-EG"/>
        </w:rPr>
      </w:pPr>
      <w:r>
        <w:rPr>
          <w:lang w:bidi="ar-EG"/>
        </w:rPr>
        <w:t>4.2</w:t>
      </w:r>
      <w:r>
        <w:rPr>
          <w:rtl/>
          <w:lang w:bidi="ar-EG"/>
        </w:rPr>
        <w:tab/>
      </w:r>
      <w:r>
        <w:rPr>
          <w:rFonts w:hint="cs"/>
          <w:rtl/>
          <w:lang w:bidi="ar-EG"/>
        </w:rPr>
        <w:t xml:space="preserve">قياس تكنولوجيا المعلومات والاتصالات من أجل بناء مجتمع معلومات متكامل وشامل للجميع هو أحد الأهداف المهمة لأنشطة الاتحاد والتي تبرز في القرار </w:t>
      </w:r>
      <w:r>
        <w:rPr>
          <w:lang w:bidi="ar-EG"/>
        </w:rPr>
        <w:t>131</w:t>
      </w:r>
      <w:r>
        <w:rPr>
          <w:rFonts w:hint="cs"/>
          <w:rtl/>
          <w:lang w:bidi="ar-EG"/>
        </w:rPr>
        <w:t xml:space="preserve"> (المراجَع في بوسان، </w:t>
      </w:r>
      <w:r>
        <w:rPr>
          <w:lang w:bidi="ar-EG"/>
        </w:rPr>
        <w:t>2014</w:t>
      </w:r>
      <w:r>
        <w:rPr>
          <w:rFonts w:hint="cs"/>
          <w:rtl/>
          <w:lang w:bidi="ar-EG"/>
        </w:rPr>
        <w:t>) "</w:t>
      </w:r>
      <w:r w:rsidRPr="004A2A27">
        <w:rPr>
          <w:rFonts w:hint="cs"/>
          <w:rtl/>
          <w:lang w:bidi="ar-EG"/>
        </w:rPr>
        <w:t xml:space="preserve">قياس </w:t>
      </w:r>
      <w:r w:rsidRPr="004A2A27">
        <w:rPr>
          <w:rtl/>
          <w:lang w:bidi="ar-EG"/>
        </w:rPr>
        <w:t>تكنولوجيا المعلومات والاتصالات</w:t>
      </w:r>
      <w:r w:rsidRPr="004A2A27">
        <w:rPr>
          <w:rFonts w:hint="cs"/>
          <w:rtl/>
          <w:lang w:bidi="ar-EG"/>
        </w:rPr>
        <w:t xml:space="preserve"> </w:t>
      </w:r>
      <w:r w:rsidRPr="004A2A27">
        <w:rPr>
          <w:rtl/>
          <w:lang w:bidi="ar-SY"/>
        </w:rPr>
        <w:t xml:space="preserve">لبناء مجتمع معلومات </w:t>
      </w:r>
      <w:r w:rsidRPr="004A2A27">
        <w:rPr>
          <w:rFonts w:hint="cs"/>
          <w:rtl/>
          <w:lang w:bidi="ar-SY"/>
        </w:rPr>
        <w:t>جامع و</w:t>
      </w:r>
      <w:r w:rsidRPr="004A2A27">
        <w:rPr>
          <w:rtl/>
          <w:lang w:bidi="ar-SY"/>
        </w:rPr>
        <w:t>شامل للجميع</w:t>
      </w:r>
      <w:r>
        <w:rPr>
          <w:rFonts w:hint="cs"/>
          <w:rtl/>
          <w:lang w:bidi="ar-EG"/>
        </w:rPr>
        <w:t xml:space="preserve">" والقرار </w:t>
      </w:r>
      <w:r>
        <w:rPr>
          <w:lang w:bidi="ar-EG"/>
        </w:rPr>
        <w:t>8 (WTDC</w:t>
      </w:r>
      <w:r>
        <w:rPr>
          <w:lang w:bidi="ar-EG"/>
        </w:rPr>
        <w:noBreakHyphen/>
        <w:t>17)</w:t>
      </w:r>
      <w:r>
        <w:rPr>
          <w:rFonts w:hint="cs"/>
          <w:rtl/>
          <w:lang w:bidi="ar-EG"/>
        </w:rPr>
        <w:t xml:space="preserve">. ويأخذ ذلك في الاعتبار </w:t>
      </w:r>
      <w:r w:rsidRPr="004A2A27">
        <w:rPr>
          <w:rFonts w:hint="cs"/>
          <w:i/>
          <w:iCs/>
          <w:rtl/>
          <w:lang w:bidi="ar-EG"/>
        </w:rPr>
        <w:t>نقترح</w:t>
      </w:r>
      <w:r>
        <w:rPr>
          <w:rFonts w:hint="cs"/>
          <w:rtl/>
          <w:lang w:bidi="ar-EG"/>
        </w:rPr>
        <w:t xml:space="preserve"> الإشارة في مراجعة القرار </w:t>
      </w:r>
      <w:r>
        <w:rPr>
          <w:lang w:bidi="ar-EG"/>
        </w:rPr>
        <w:t>131</w:t>
      </w:r>
      <w:r>
        <w:rPr>
          <w:rFonts w:hint="cs"/>
          <w:rtl/>
          <w:lang w:bidi="ar-EG"/>
        </w:rPr>
        <w:t xml:space="preserve"> (المراجَع في بوسان، </w:t>
      </w:r>
      <w:r>
        <w:rPr>
          <w:lang w:bidi="ar-EG"/>
        </w:rPr>
        <w:t>2014</w:t>
      </w:r>
      <w:r>
        <w:rPr>
          <w:rFonts w:hint="cs"/>
          <w:rtl/>
          <w:lang w:bidi="ar-EG"/>
        </w:rPr>
        <w:t xml:space="preserve">) إلى ما يلي: </w:t>
      </w:r>
      <w:r w:rsidR="00CB2136">
        <w:rPr>
          <w:rFonts w:hint="cs"/>
          <w:rtl/>
          <w:lang w:bidi="ar-EG"/>
        </w:rPr>
        <w:t>يجب ربط المؤشرات الواردة في الرقم القياسي لتنمية تكنولوجيا المعلومات والاتصالات</w:t>
      </w:r>
      <w:r w:rsidR="00527F53">
        <w:rPr>
          <w:rFonts w:hint="cs"/>
          <w:rtl/>
          <w:lang w:bidi="ar-EG"/>
        </w:rPr>
        <w:t xml:space="preserve"> </w:t>
      </w:r>
      <w:r w:rsidR="00527F53">
        <w:rPr>
          <w:lang w:bidi="ar-EG"/>
        </w:rPr>
        <w:t>(IDI)</w:t>
      </w:r>
      <w:r w:rsidR="00CB2136">
        <w:rPr>
          <w:rFonts w:hint="cs"/>
          <w:rtl/>
          <w:lang w:bidi="ar-EG"/>
        </w:rPr>
        <w:t xml:space="preserve"> بعدة أشياء من بينها المؤشرات التي تعكس الغايات الاستراتيجية للاتحاد المحددة في الخطتين الاستراتيجية والتشغيلية للاتحاد للفترة </w:t>
      </w:r>
      <w:r w:rsidR="00CB2136">
        <w:rPr>
          <w:lang w:bidi="ar-EG"/>
        </w:rPr>
        <w:t>2023</w:t>
      </w:r>
      <w:r w:rsidR="00CB2136">
        <w:rPr>
          <w:lang w:bidi="ar-EG"/>
        </w:rPr>
        <w:noBreakHyphen/>
        <w:t>2020</w:t>
      </w:r>
      <w:r w:rsidR="00CB2136">
        <w:rPr>
          <w:rFonts w:hint="cs"/>
          <w:rtl/>
          <w:lang w:bidi="ar-EG"/>
        </w:rPr>
        <w:t xml:space="preserve"> والتمكين من قياس التقدم المحرز في تنفيذها.</w:t>
      </w:r>
    </w:p>
    <w:p w:rsidR="00527F53" w:rsidRDefault="003D217F" w:rsidP="004A2A27">
      <w:pPr>
        <w:rPr>
          <w:rFonts w:hint="cs"/>
          <w:rtl/>
          <w:lang w:bidi="ar-EG"/>
        </w:rPr>
      </w:pPr>
      <w:r>
        <w:rPr>
          <w:rFonts w:hint="cs"/>
          <w:rtl/>
          <w:lang w:bidi="ar-EG"/>
        </w:rPr>
        <w:t>وسيؤدي هذا الربط إلى عدة أمور من بينها تحقيق وفورات في التكاليف لجميع أصحاب المصلحة تتعلق بجمع الإحصاءات المطلوبة (البيانات الإحصائية) وستوجه الوكالات الإحصائية لدى الدول الأعضاء في الاتحاد نحو التوجه العام.</w:t>
      </w:r>
    </w:p>
    <w:p w:rsidR="003D217F" w:rsidRDefault="003D217F" w:rsidP="003D217F">
      <w:pPr>
        <w:rPr>
          <w:rFonts w:hint="cs"/>
          <w:rtl/>
          <w:lang w:bidi="ar-EG"/>
        </w:rPr>
      </w:pPr>
      <w:r>
        <w:rPr>
          <w:lang w:bidi="ar-EG"/>
        </w:rPr>
        <w:t>5.2</w:t>
      </w:r>
      <w:r>
        <w:rPr>
          <w:rtl/>
          <w:lang w:bidi="ar-EG"/>
        </w:rPr>
        <w:tab/>
      </w:r>
      <w:r>
        <w:rPr>
          <w:rFonts w:hint="cs"/>
          <w:rtl/>
          <w:lang w:bidi="ar-EG"/>
        </w:rPr>
        <w:t xml:space="preserve">طبقاً للقرار </w:t>
      </w:r>
      <w:r>
        <w:rPr>
          <w:lang w:bidi="ar-EG"/>
        </w:rPr>
        <w:t>191</w:t>
      </w:r>
      <w:r>
        <w:rPr>
          <w:rFonts w:hint="cs"/>
          <w:rtl/>
          <w:lang w:bidi="ar-EG"/>
        </w:rPr>
        <w:t xml:space="preserve"> (بوسان، </w:t>
      </w:r>
      <w:r>
        <w:rPr>
          <w:lang w:bidi="ar-EG"/>
        </w:rPr>
        <w:t>2014</w:t>
      </w:r>
      <w:r>
        <w:rPr>
          <w:rFonts w:hint="cs"/>
          <w:rtl/>
          <w:lang w:bidi="ar-EG"/>
        </w:rPr>
        <w:t>) "</w:t>
      </w:r>
      <w:bookmarkStart w:id="11" w:name="_Toc408328131"/>
      <w:bookmarkStart w:id="12" w:name="_Toc414526851"/>
      <w:bookmarkStart w:id="13" w:name="_Toc415560271"/>
      <w:r w:rsidRPr="003D217F">
        <w:rPr>
          <w:rFonts w:hint="cs"/>
          <w:rtl/>
          <w:lang w:bidi="ar-SY"/>
        </w:rPr>
        <w:t>استراتيجية تنسيق الجهود بين قطاعات الاتحاد الثلاثة</w:t>
      </w:r>
      <w:bookmarkEnd w:id="11"/>
      <w:bookmarkEnd w:id="12"/>
      <w:bookmarkEnd w:id="13"/>
      <w:r>
        <w:rPr>
          <w:rFonts w:hint="cs"/>
          <w:rtl/>
          <w:lang w:bidi="ar-EG"/>
        </w:rPr>
        <w:t xml:space="preserve">" </w:t>
      </w:r>
      <w:r w:rsidRPr="003D217F">
        <w:rPr>
          <w:rFonts w:hint="cs"/>
          <w:i/>
          <w:iCs/>
          <w:rtl/>
          <w:lang w:bidi="ar-EG"/>
        </w:rPr>
        <w:t>نقترح</w:t>
      </w:r>
      <w:r>
        <w:rPr>
          <w:rFonts w:hint="cs"/>
          <w:rtl/>
          <w:lang w:bidi="ar-EG"/>
        </w:rPr>
        <w:t xml:space="preserve"> الإشارة إلى أن هذه الاستراتيجية هي أداة الإدارة القائمة على النتائج وأحد الأدوات </w:t>
      </w:r>
      <w:proofErr w:type="spellStart"/>
      <w:r>
        <w:rPr>
          <w:rFonts w:hint="cs"/>
          <w:rtl/>
          <w:lang w:bidi="ar-EG"/>
        </w:rPr>
        <w:t>التمكينية</w:t>
      </w:r>
      <w:proofErr w:type="spellEnd"/>
      <w:r>
        <w:rPr>
          <w:rFonts w:hint="cs"/>
          <w:rtl/>
          <w:lang w:bidi="ar-EG"/>
        </w:rPr>
        <w:t xml:space="preserve"> لتحقيق الأهداف الاستراتيجية للاتحاد، ومن ثم ينبغي إضافة إحالات إلى القرارات </w:t>
      </w:r>
      <w:r w:rsidRPr="003D217F">
        <w:rPr>
          <w:lang w:bidi="ar-EG"/>
        </w:rPr>
        <w:t>71</w:t>
      </w:r>
      <w:r>
        <w:rPr>
          <w:rFonts w:hint="cs"/>
          <w:rtl/>
          <w:lang w:bidi="ar-EG"/>
        </w:rPr>
        <w:t xml:space="preserve"> و</w:t>
      </w:r>
      <w:r w:rsidRPr="003D217F">
        <w:rPr>
          <w:lang w:bidi="ar-EG"/>
        </w:rPr>
        <w:t>131</w:t>
      </w:r>
      <w:r>
        <w:rPr>
          <w:rFonts w:hint="cs"/>
          <w:rtl/>
          <w:lang w:bidi="ar-EG"/>
        </w:rPr>
        <w:t xml:space="preserve"> و</w:t>
      </w:r>
      <w:r w:rsidRPr="003D217F">
        <w:rPr>
          <w:lang w:bidi="ar-EG"/>
        </w:rPr>
        <w:t>151</w:t>
      </w:r>
      <w:r>
        <w:rPr>
          <w:rFonts w:hint="cs"/>
          <w:rtl/>
          <w:lang w:bidi="ar-EG"/>
        </w:rPr>
        <w:t xml:space="preserve"> و</w:t>
      </w:r>
      <w:r w:rsidRPr="003D217F">
        <w:rPr>
          <w:lang w:bidi="ar-EG"/>
        </w:rPr>
        <w:t>200</w:t>
      </w:r>
      <w:r>
        <w:rPr>
          <w:rFonts w:hint="cs"/>
          <w:rtl/>
          <w:lang w:bidi="ar-EG"/>
        </w:rPr>
        <w:t xml:space="preserve"> في قسم </w:t>
      </w:r>
      <w:r>
        <w:rPr>
          <w:rFonts w:hint="cs"/>
          <w:i/>
          <w:iCs/>
          <w:rtl/>
          <w:lang w:bidi="ar-EG"/>
        </w:rPr>
        <w:t>وإذ يضع في اعتباره</w:t>
      </w:r>
      <w:r>
        <w:rPr>
          <w:rFonts w:hint="cs"/>
          <w:rtl/>
          <w:lang w:bidi="ar-EG"/>
        </w:rPr>
        <w:t xml:space="preserve">. وإضافةً إلى ذلك، يتعين تحديث قائمة الأحداث المتعلقة بتحسين التنسيق وتفادي الازدواجية في أعمال القطاعات منذ مؤتمر المندوبين المفوضين لعام </w:t>
      </w:r>
      <w:r>
        <w:rPr>
          <w:lang w:bidi="ar-EG"/>
        </w:rPr>
        <w:t>2014</w:t>
      </w:r>
      <w:r>
        <w:rPr>
          <w:rFonts w:hint="cs"/>
          <w:rtl/>
          <w:lang w:bidi="ar-EG"/>
        </w:rPr>
        <w:t>.</w:t>
      </w:r>
    </w:p>
    <w:p w:rsidR="003D217F" w:rsidRDefault="00DE6C46" w:rsidP="00DE6C46">
      <w:pPr>
        <w:rPr>
          <w:rFonts w:hint="cs"/>
          <w:rtl/>
          <w:lang w:bidi="ar-EG"/>
        </w:rPr>
      </w:pPr>
      <w:r>
        <w:rPr>
          <w:lang w:bidi="ar-EG"/>
        </w:rPr>
        <w:t>6.2</w:t>
      </w:r>
      <w:r>
        <w:rPr>
          <w:rtl/>
          <w:lang w:bidi="ar-EG"/>
        </w:rPr>
        <w:tab/>
      </w:r>
      <w:r w:rsidRPr="00DE6C46">
        <w:rPr>
          <w:rFonts w:hint="cs"/>
          <w:i/>
          <w:iCs/>
          <w:rtl/>
          <w:lang w:bidi="ar-EG"/>
        </w:rPr>
        <w:t>نقترح</w:t>
      </w:r>
      <w:r>
        <w:rPr>
          <w:rFonts w:hint="cs"/>
          <w:rtl/>
          <w:lang w:bidi="ar-EG"/>
        </w:rPr>
        <w:t xml:space="preserve"> سحب النصوص المتكررة للقرار </w:t>
      </w:r>
      <w:r>
        <w:rPr>
          <w:lang w:bidi="ar-EG"/>
        </w:rPr>
        <w:t>71</w:t>
      </w:r>
      <w:r>
        <w:rPr>
          <w:rFonts w:hint="cs"/>
          <w:rtl/>
          <w:lang w:bidi="ar-EG"/>
        </w:rPr>
        <w:t xml:space="preserve"> من القرار </w:t>
      </w:r>
      <w:r>
        <w:rPr>
          <w:lang w:bidi="ar-EG"/>
        </w:rPr>
        <w:t>200</w:t>
      </w:r>
      <w:r>
        <w:rPr>
          <w:rFonts w:hint="cs"/>
          <w:rtl/>
          <w:lang w:bidi="ar-EG"/>
        </w:rPr>
        <w:t xml:space="preserve"> (بوسان، </w:t>
      </w:r>
      <w:r>
        <w:rPr>
          <w:lang w:bidi="ar-EG"/>
        </w:rPr>
        <w:t>2014</w:t>
      </w:r>
      <w:r>
        <w:rPr>
          <w:rFonts w:hint="cs"/>
          <w:rtl/>
          <w:lang w:bidi="ar-EG"/>
        </w:rPr>
        <w:t>) "</w:t>
      </w:r>
      <w:bookmarkStart w:id="14" w:name="_Toc408328149"/>
      <w:bookmarkStart w:id="15" w:name="_Toc414526869"/>
      <w:bookmarkStart w:id="16" w:name="_Toc415560289"/>
      <w:r w:rsidRPr="00DE6C46">
        <w:rPr>
          <w:rFonts w:hint="cs"/>
          <w:rtl/>
          <w:lang w:bidi="ar-EG"/>
        </w:rPr>
        <w:t>برنامج التوصيل في </w:t>
      </w:r>
      <w:r w:rsidRPr="00DE6C46">
        <w:rPr>
          <w:lang w:val="en-GB" w:bidi="ar-EG"/>
        </w:rPr>
        <w:t>2020</w:t>
      </w:r>
      <w:r w:rsidRPr="00DE6C46">
        <w:rPr>
          <w:rFonts w:hint="cs"/>
          <w:rtl/>
          <w:lang w:bidi="ar-EG"/>
        </w:rPr>
        <w:t xml:space="preserve"> من أجل التنمية العالمية</w:t>
      </w:r>
      <w:r>
        <w:rPr>
          <w:rFonts w:hint="cs"/>
          <w:rtl/>
          <w:lang w:bidi="ar-EG"/>
        </w:rPr>
        <w:t xml:space="preserve"> </w:t>
      </w:r>
      <w:r w:rsidRPr="00DE6C46">
        <w:rPr>
          <w:rFonts w:hint="cs"/>
          <w:rtl/>
          <w:lang w:bidi="ar-EG"/>
        </w:rPr>
        <w:t>للاتصالات/تكنولوجيا المعلومات والاتصالات</w:t>
      </w:r>
      <w:bookmarkEnd w:id="14"/>
      <w:bookmarkEnd w:id="15"/>
      <w:bookmarkEnd w:id="16"/>
      <w:r>
        <w:rPr>
          <w:rFonts w:hint="cs"/>
          <w:rtl/>
          <w:lang w:bidi="ar-EG"/>
        </w:rPr>
        <w:t xml:space="preserve">" ومراعاة المتطلب الخاص بتنفيذ إرشادات قرار الجمعية العامة للأمم المتحدة المعنون "خطة التنمية المستدامة لعام </w:t>
      </w:r>
      <w:r>
        <w:rPr>
          <w:lang w:bidi="ar-EG"/>
        </w:rPr>
        <w:t>2030</w:t>
      </w:r>
      <w:r>
        <w:rPr>
          <w:rFonts w:hint="cs"/>
          <w:rtl/>
          <w:lang w:bidi="ar-EG"/>
        </w:rPr>
        <w:t>".</w:t>
      </w:r>
    </w:p>
    <w:p w:rsidR="00DE6C46" w:rsidRDefault="00DE6C46" w:rsidP="00EA3956">
      <w:pPr>
        <w:keepNext/>
        <w:keepLines/>
        <w:rPr>
          <w:rFonts w:hint="cs"/>
          <w:rtl/>
          <w:lang w:bidi="ar-EG"/>
        </w:rPr>
      </w:pPr>
      <w:r>
        <w:rPr>
          <w:lang w:bidi="ar-EG"/>
        </w:rPr>
        <w:lastRenderedPageBreak/>
        <w:t>7.2</w:t>
      </w:r>
      <w:r>
        <w:rPr>
          <w:rtl/>
          <w:lang w:bidi="ar-EG"/>
        </w:rPr>
        <w:tab/>
      </w:r>
      <w:r w:rsidRPr="00DE6C46">
        <w:rPr>
          <w:rFonts w:hint="cs"/>
          <w:i/>
          <w:iCs/>
          <w:rtl/>
          <w:lang w:bidi="ar-EG"/>
        </w:rPr>
        <w:t>نقترح</w:t>
      </w:r>
      <w:r>
        <w:rPr>
          <w:rFonts w:hint="cs"/>
          <w:rtl/>
          <w:lang w:bidi="ar-EG"/>
        </w:rPr>
        <w:t xml:space="preserve"> سحب المقاصد (أو وضعها بين أقواس على الأقل) بحلول عام </w:t>
      </w:r>
      <w:r>
        <w:rPr>
          <w:lang w:bidi="ar-EG"/>
        </w:rPr>
        <w:t>2025</w:t>
      </w:r>
      <w:r>
        <w:rPr>
          <w:rFonts w:hint="cs"/>
          <w:rtl/>
          <w:lang w:bidi="ar-EG"/>
        </w:rPr>
        <w:t xml:space="preserve"> من القسم </w:t>
      </w:r>
      <w:r>
        <w:rPr>
          <w:lang w:bidi="ar-EG"/>
        </w:rPr>
        <w:t>5.1</w:t>
      </w:r>
      <w:r>
        <w:rPr>
          <w:rFonts w:hint="cs"/>
          <w:rtl/>
          <w:lang w:bidi="ar-EG"/>
        </w:rPr>
        <w:t xml:space="preserve"> من الملحق</w:t>
      </w:r>
      <w:r>
        <w:rPr>
          <w:rFonts w:hint="eastAsia"/>
          <w:rtl/>
          <w:lang w:bidi="ar-EG"/>
        </w:rPr>
        <w:t> </w:t>
      </w:r>
      <w:r>
        <w:rPr>
          <w:lang w:bidi="ar-EG"/>
        </w:rPr>
        <w:t>1</w:t>
      </w:r>
      <w:r>
        <w:rPr>
          <w:rFonts w:hint="cs"/>
          <w:rtl/>
          <w:lang w:bidi="ar-EG"/>
        </w:rPr>
        <w:t xml:space="preserve"> (الوثيقة </w:t>
      </w:r>
      <w:r w:rsidRPr="00DE6C46">
        <w:rPr>
          <w:lang w:bidi="ar-EG"/>
        </w:rPr>
        <w:t>CWG</w:t>
      </w:r>
      <w:r w:rsidR="00884FBA">
        <w:rPr>
          <w:lang w:bidi="ar-EG"/>
        </w:rPr>
        <w:noBreakHyphen/>
      </w:r>
      <w:r w:rsidRPr="00DE6C46">
        <w:rPr>
          <w:lang w:bidi="ar-EG"/>
        </w:rPr>
        <w:t>SFP</w:t>
      </w:r>
      <w:r w:rsidR="00884FBA">
        <w:rPr>
          <w:lang w:bidi="ar-EG"/>
        </w:rPr>
        <w:noBreakHyphen/>
      </w:r>
      <w:r w:rsidRPr="00DE6C46">
        <w:rPr>
          <w:lang w:bidi="ar-EG"/>
        </w:rPr>
        <w:t>3/5</w:t>
      </w:r>
      <w:r>
        <w:rPr>
          <w:rFonts w:hint="cs"/>
          <w:rtl/>
          <w:lang w:bidi="ar-EG"/>
        </w:rPr>
        <w:t xml:space="preserve">) بمشروع القرار </w:t>
      </w:r>
      <w:r>
        <w:rPr>
          <w:lang w:bidi="ar-EG"/>
        </w:rPr>
        <w:t>71</w:t>
      </w:r>
      <w:r>
        <w:rPr>
          <w:rFonts w:hint="cs"/>
          <w:rtl/>
          <w:lang w:bidi="ar-EG"/>
        </w:rPr>
        <w:t xml:space="preserve"> (الوثيقة </w:t>
      </w:r>
      <w:r w:rsidRPr="00DE6C46">
        <w:rPr>
          <w:lang w:bidi="ar-EG"/>
        </w:rPr>
        <w:t>CWG</w:t>
      </w:r>
      <w:r w:rsidR="00884FBA">
        <w:rPr>
          <w:lang w:bidi="ar-EG"/>
        </w:rPr>
        <w:noBreakHyphen/>
      </w:r>
      <w:r w:rsidRPr="00DE6C46">
        <w:rPr>
          <w:lang w:bidi="ar-EG"/>
        </w:rPr>
        <w:t>SFP</w:t>
      </w:r>
      <w:r w:rsidR="00884FBA">
        <w:rPr>
          <w:lang w:bidi="ar-EG"/>
        </w:rPr>
        <w:noBreakHyphen/>
      </w:r>
      <w:r w:rsidRPr="00DE6C46">
        <w:rPr>
          <w:lang w:bidi="ar-EG"/>
        </w:rPr>
        <w:t>3/7</w:t>
      </w:r>
      <w:r>
        <w:rPr>
          <w:rFonts w:hint="cs"/>
          <w:rtl/>
          <w:lang w:bidi="ar-EG"/>
        </w:rPr>
        <w:t xml:space="preserve">) "الخطة الاستراتيجية للاتحاد للفترة </w:t>
      </w:r>
      <w:r>
        <w:rPr>
          <w:lang w:bidi="ar-EG"/>
        </w:rPr>
        <w:t>2023</w:t>
      </w:r>
      <w:r>
        <w:rPr>
          <w:lang w:bidi="ar-EG"/>
        </w:rPr>
        <w:noBreakHyphen/>
        <w:t>2020</w:t>
      </w:r>
      <w:r w:rsidR="00EA3956">
        <w:rPr>
          <w:rFonts w:hint="cs"/>
          <w:rtl/>
          <w:lang w:bidi="ar-EG"/>
        </w:rPr>
        <w:t>"</w:t>
      </w:r>
      <w:r>
        <w:rPr>
          <w:rFonts w:hint="cs"/>
          <w:rtl/>
          <w:lang w:bidi="ar-EG"/>
        </w:rPr>
        <w:t>.</w:t>
      </w:r>
    </w:p>
    <w:p w:rsidR="00DE6C46" w:rsidRPr="003D217F" w:rsidRDefault="008B0104" w:rsidP="00DE6C46">
      <w:pPr>
        <w:rPr>
          <w:rFonts w:hint="cs"/>
          <w:rtl/>
          <w:lang w:bidi="ar-EG"/>
        </w:rPr>
      </w:pPr>
      <w:r>
        <w:rPr>
          <w:rFonts w:hint="cs"/>
          <w:rtl/>
          <w:lang w:bidi="ar-EG"/>
        </w:rPr>
        <w:t>ويتعين إضافةً إلى ذلك إدراج جميع جداول الم</w:t>
      </w:r>
      <w:bookmarkStart w:id="17" w:name="_GoBack"/>
      <w:bookmarkEnd w:id="17"/>
      <w:r>
        <w:rPr>
          <w:rFonts w:hint="cs"/>
          <w:rtl/>
          <w:lang w:bidi="ar-EG"/>
        </w:rPr>
        <w:t xml:space="preserve">لحق </w:t>
      </w:r>
      <w:r>
        <w:rPr>
          <w:lang w:bidi="ar-EG"/>
        </w:rPr>
        <w:t>1</w:t>
      </w:r>
      <w:r>
        <w:rPr>
          <w:rFonts w:hint="cs"/>
          <w:rtl/>
          <w:lang w:bidi="ar-EG"/>
        </w:rPr>
        <w:t>.</w:t>
      </w:r>
    </w:p>
    <w:p w:rsidR="000E4FF0" w:rsidRDefault="00AB0890" w:rsidP="00AB0890">
      <w:pPr>
        <w:spacing w:before="600"/>
        <w:jc w:val="center"/>
        <w:rPr>
          <w:rtl/>
          <w:lang w:bidi="ar-EG"/>
        </w:rPr>
      </w:pPr>
      <w:r>
        <w:rPr>
          <w:rtl/>
          <w:lang w:bidi="ar-EG"/>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8A" w:rsidRDefault="00BD3C8A" w:rsidP="00E07379">
      <w:pPr>
        <w:spacing w:before="0" w:line="240" w:lineRule="auto"/>
      </w:pPr>
      <w:r>
        <w:separator/>
      </w:r>
    </w:p>
  </w:endnote>
  <w:endnote w:type="continuationSeparator" w:id="0">
    <w:p w:rsidR="00BD3C8A" w:rsidRDefault="00BD3C8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71" w:rsidRPr="00476123" w:rsidRDefault="003F1371" w:rsidP="003F1371">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Pr>
        <w:rFonts w:cs="Calibri"/>
        <w:noProof/>
        <w:lang w:val="fr-FR"/>
      </w:rPr>
      <w:t>P:\ARA\SG\CONSEIL\CWG-SFP\CWG-SFP3\000\013A.docx</w:t>
    </w:r>
    <w:r w:rsidRPr="00476123">
      <w:rPr>
        <w:rFonts w:cs="Calibri"/>
      </w:rPr>
      <w:fldChar w:fldCharType="end"/>
    </w:r>
    <w:r w:rsidRPr="00476123">
      <w:rPr>
        <w:rFonts w:cs="Calibri"/>
      </w:rPr>
      <w:t xml:space="preserve">  </w:t>
    </w:r>
    <w:r w:rsidRPr="00476123">
      <w:rPr>
        <w:rFonts w:cs="Calibri"/>
        <w:lang w:val="fr-FR"/>
      </w:rPr>
      <w:t xml:space="preserve"> (</w:t>
    </w:r>
    <w:r>
      <w:rPr>
        <w:rFonts w:cs="Calibri"/>
        <w:lang w:val="fr-FR"/>
      </w:rPr>
      <w:t>430382</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Pr>
        <w:rFonts w:cs="Calibri"/>
        <w:noProof/>
        <w:lang w:val="fr-FR"/>
      </w:rPr>
      <w:t>10.01.18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Pr>
        <w:rFonts w:cs="Calibri"/>
        <w:noProof/>
        <w:lang w:val="fr-FR"/>
      </w:rPr>
      <w:t>07.06.16</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3F1371">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3F1371">
      <w:rPr>
        <w:rFonts w:cs="Calibri"/>
        <w:noProof/>
        <w:lang w:val="fr-FR"/>
      </w:rPr>
      <w:t>P:\ARA\SG\CONSEIL\CWG-SFP\CWG-SFP3\000\013A.docx</w:t>
    </w:r>
    <w:r w:rsidRPr="00476123">
      <w:rPr>
        <w:rFonts w:cs="Calibri"/>
      </w:rPr>
      <w:fldChar w:fldCharType="end"/>
    </w:r>
    <w:r w:rsidRPr="00476123">
      <w:rPr>
        <w:rFonts w:cs="Calibri"/>
      </w:rPr>
      <w:t xml:space="preserve">  </w:t>
    </w:r>
    <w:r w:rsidRPr="00476123">
      <w:rPr>
        <w:rFonts w:cs="Calibri"/>
        <w:lang w:val="fr-FR"/>
      </w:rPr>
      <w:t xml:space="preserve"> (</w:t>
    </w:r>
    <w:r w:rsidR="003F1371">
      <w:rPr>
        <w:rFonts w:cs="Calibri"/>
        <w:lang w:val="fr-FR"/>
      </w:rPr>
      <w:t>430382</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3F1371">
      <w:rPr>
        <w:rFonts w:cs="Calibri"/>
        <w:noProof/>
        <w:lang w:val="fr-FR"/>
      </w:rPr>
      <w:t>10.01.18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3F1371">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8A" w:rsidRDefault="00BD3C8A" w:rsidP="00E07379">
      <w:pPr>
        <w:spacing w:before="0" w:line="240" w:lineRule="auto"/>
      </w:pPr>
      <w:r>
        <w:separator/>
      </w:r>
    </w:p>
  </w:footnote>
  <w:footnote w:type="continuationSeparator" w:id="0">
    <w:p w:rsidR="00BD3C8A" w:rsidRDefault="00BD3C8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EA3956"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EA3956">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8A"/>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1086"/>
    <w:rsid w:val="00102A03"/>
    <w:rsid w:val="001040A3"/>
    <w:rsid w:val="001701EA"/>
    <w:rsid w:val="0017087C"/>
    <w:rsid w:val="00173915"/>
    <w:rsid w:val="0022345D"/>
    <w:rsid w:val="00225854"/>
    <w:rsid w:val="0023283D"/>
    <w:rsid w:val="00252E0C"/>
    <w:rsid w:val="00276881"/>
    <w:rsid w:val="002916BE"/>
    <w:rsid w:val="0029692C"/>
    <w:rsid w:val="002978F4"/>
    <w:rsid w:val="002B028D"/>
    <w:rsid w:val="002B435E"/>
    <w:rsid w:val="002C4DAE"/>
    <w:rsid w:val="002D6669"/>
    <w:rsid w:val="002E6541"/>
    <w:rsid w:val="002F5560"/>
    <w:rsid w:val="0030486B"/>
    <w:rsid w:val="003231B9"/>
    <w:rsid w:val="003275AC"/>
    <w:rsid w:val="00333D29"/>
    <w:rsid w:val="003409F4"/>
    <w:rsid w:val="00347A5E"/>
    <w:rsid w:val="00357185"/>
    <w:rsid w:val="003A4BF7"/>
    <w:rsid w:val="003C106D"/>
    <w:rsid w:val="003C475F"/>
    <w:rsid w:val="003D217F"/>
    <w:rsid w:val="003E4132"/>
    <w:rsid w:val="003F1371"/>
    <w:rsid w:val="003F678F"/>
    <w:rsid w:val="0042686F"/>
    <w:rsid w:val="004367CE"/>
    <w:rsid w:val="00443869"/>
    <w:rsid w:val="004573BE"/>
    <w:rsid w:val="004712C6"/>
    <w:rsid w:val="00476123"/>
    <w:rsid w:val="00497703"/>
    <w:rsid w:val="004A2A27"/>
    <w:rsid w:val="004F0F06"/>
    <w:rsid w:val="00501E0E"/>
    <w:rsid w:val="005204D7"/>
    <w:rsid w:val="00527F53"/>
    <w:rsid w:val="00530420"/>
    <w:rsid w:val="00552BC5"/>
    <w:rsid w:val="0055516A"/>
    <w:rsid w:val="0056374C"/>
    <w:rsid w:val="0056614F"/>
    <w:rsid w:val="0057656F"/>
    <w:rsid w:val="00576731"/>
    <w:rsid w:val="0059285F"/>
    <w:rsid w:val="005A0BD7"/>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152EF"/>
    <w:rsid w:val="00720957"/>
    <w:rsid w:val="00726AEC"/>
    <w:rsid w:val="007530CA"/>
    <w:rsid w:val="00760E68"/>
    <w:rsid w:val="0079553D"/>
    <w:rsid w:val="007A6D44"/>
    <w:rsid w:val="007B01CC"/>
    <w:rsid w:val="007D4F32"/>
    <w:rsid w:val="007E7C6C"/>
    <w:rsid w:val="007F6238"/>
    <w:rsid w:val="007F646C"/>
    <w:rsid w:val="00801FCD"/>
    <w:rsid w:val="00803D7E"/>
    <w:rsid w:val="00803F08"/>
    <w:rsid w:val="008235CD"/>
    <w:rsid w:val="00823A07"/>
    <w:rsid w:val="00835FEC"/>
    <w:rsid w:val="008513CB"/>
    <w:rsid w:val="00874D9C"/>
    <w:rsid w:val="00884FBA"/>
    <w:rsid w:val="008A1810"/>
    <w:rsid w:val="008B0104"/>
    <w:rsid w:val="008B5B5D"/>
    <w:rsid w:val="00917694"/>
    <w:rsid w:val="009263CD"/>
    <w:rsid w:val="00930E6D"/>
    <w:rsid w:val="00950A5B"/>
    <w:rsid w:val="00972CA2"/>
    <w:rsid w:val="00982B28"/>
    <w:rsid w:val="00984EA5"/>
    <w:rsid w:val="00990D70"/>
    <w:rsid w:val="00992593"/>
    <w:rsid w:val="009C17E1"/>
    <w:rsid w:val="009C35ED"/>
    <w:rsid w:val="009F1C12"/>
    <w:rsid w:val="00A124CB"/>
    <w:rsid w:val="00A2167A"/>
    <w:rsid w:val="00A25A43"/>
    <w:rsid w:val="00A3295B"/>
    <w:rsid w:val="00A40EB5"/>
    <w:rsid w:val="00A42AE5"/>
    <w:rsid w:val="00A52B61"/>
    <w:rsid w:val="00A64820"/>
    <w:rsid w:val="00A71DD6"/>
    <w:rsid w:val="00A723C7"/>
    <w:rsid w:val="00A80E11"/>
    <w:rsid w:val="00A97F94"/>
    <w:rsid w:val="00AB0890"/>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3C8A"/>
    <w:rsid w:val="00BE1A36"/>
    <w:rsid w:val="00BE49D0"/>
    <w:rsid w:val="00BF2C38"/>
    <w:rsid w:val="00C05002"/>
    <w:rsid w:val="00C23331"/>
    <w:rsid w:val="00C265DA"/>
    <w:rsid w:val="00C442F2"/>
    <w:rsid w:val="00C674FE"/>
    <w:rsid w:val="00C7297D"/>
    <w:rsid w:val="00C75633"/>
    <w:rsid w:val="00C8242E"/>
    <w:rsid w:val="00C82615"/>
    <w:rsid w:val="00C867DB"/>
    <w:rsid w:val="00CA2A38"/>
    <w:rsid w:val="00CA50FF"/>
    <w:rsid w:val="00CB2136"/>
    <w:rsid w:val="00CC3CD2"/>
    <w:rsid w:val="00CC43BE"/>
    <w:rsid w:val="00CD123C"/>
    <w:rsid w:val="00CD2085"/>
    <w:rsid w:val="00CE2EE1"/>
    <w:rsid w:val="00CF3FFD"/>
    <w:rsid w:val="00CF5ED3"/>
    <w:rsid w:val="00D0494C"/>
    <w:rsid w:val="00D14BEB"/>
    <w:rsid w:val="00D21C89"/>
    <w:rsid w:val="00D22D93"/>
    <w:rsid w:val="00D45542"/>
    <w:rsid w:val="00D77D0F"/>
    <w:rsid w:val="00DA1CF0"/>
    <w:rsid w:val="00DB2271"/>
    <w:rsid w:val="00DB5659"/>
    <w:rsid w:val="00DC24B4"/>
    <w:rsid w:val="00DD7A05"/>
    <w:rsid w:val="00DE6C46"/>
    <w:rsid w:val="00DF16DC"/>
    <w:rsid w:val="00DF5361"/>
    <w:rsid w:val="00E009A1"/>
    <w:rsid w:val="00E00D15"/>
    <w:rsid w:val="00E071BE"/>
    <w:rsid w:val="00E07379"/>
    <w:rsid w:val="00E14494"/>
    <w:rsid w:val="00E17033"/>
    <w:rsid w:val="00E22744"/>
    <w:rsid w:val="00E32189"/>
    <w:rsid w:val="00E45211"/>
    <w:rsid w:val="00E70D6A"/>
    <w:rsid w:val="00E7380C"/>
    <w:rsid w:val="00E74BE7"/>
    <w:rsid w:val="00E86CC9"/>
    <w:rsid w:val="00E96624"/>
    <w:rsid w:val="00EA3956"/>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20CFFC-7B1E-4175-8E68-8A97736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A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WG-SFP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7DE7D-3762-443F-8A94-96683661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PA_CWG-SFP3.dotx</Template>
  <TotalTime>141</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22</cp:revision>
  <cp:lastPrinted>2016-06-07T13:25:00Z</cp:lastPrinted>
  <dcterms:created xsi:type="dcterms:W3CDTF">2018-01-10T08:22:00Z</dcterms:created>
  <dcterms:modified xsi:type="dcterms:W3CDTF">2018-01-10T10:47:00Z</dcterms:modified>
  <cp:category>Conference document</cp:category>
</cp:coreProperties>
</file>