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964864" w:rsidP="009F4811">
            <w:pPr>
              <w:spacing w:before="360"/>
              <w:rPr>
                <w:szCs w:val="24"/>
              </w:rPr>
            </w:pPr>
            <w:bookmarkStart w:id="0" w:name="dbluepink" w:colFirst="0" w:colLast="0"/>
            <w:bookmarkStart w:id="1" w:name="_GoBack"/>
            <w:bookmarkEnd w:id="1"/>
            <w:r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  <w:r w:rsidR="00093EEB" w:rsidRPr="00093EEB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Cs w:val="24"/>
              </w:rPr>
              <w:t>Tercera reunión – Ginebra, 15-16 de enero de 2018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408D7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408D7" w:rsidRPr="00093EEB" w:rsidRDefault="004408D7" w:rsidP="004408D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4408D7" w:rsidRPr="00636DF2" w:rsidRDefault="004408D7" w:rsidP="004408D7">
            <w:pPr>
              <w:tabs>
                <w:tab w:val="left" w:pos="35"/>
                <w:tab w:val="left" w:pos="851"/>
              </w:tabs>
              <w:spacing w:before="0"/>
              <w:rPr>
                <w:rFonts w:asciiTheme="minorHAnsi" w:hAnsiTheme="minorHAnsi"/>
                <w:b/>
                <w:bCs/>
                <w:szCs w:val="24"/>
                <w:lang w:val="ru-RU"/>
              </w:rPr>
            </w:pPr>
            <w:r w:rsidRPr="00636DF2">
              <w:rPr>
                <w:rFonts w:asciiTheme="minorHAnsi" w:hAnsiTheme="minorHAnsi"/>
                <w:b/>
                <w:bCs/>
                <w:szCs w:val="24"/>
                <w:lang w:val="en-US"/>
              </w:rPr>
              <w:t>Document</w:t>
            </w:r>
            <w:r>
              <w:rPr>
                <w:rFonts w:asciiTheme="minorHAnsi" w:hAnsiTheme="minorHAnsi"/>
                <w:b/>
                <w:bCs/>
                <w:szCs w:val="24"/>
                <w:lang w:val="en-US"/>
              </w:rPr>
              <w:t>o CWG-SFP-3/12-S</w:t>
            </w:r>
          </w:p>
        </w:tc>
      </w:tr>
      <w:tr w:rsidR="004408D7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408D7" w:rsidRPr="000B0D00" w:rsidRDefault="004408D7" w:rsidP="004408D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4408D7" w:rsidRPr="00636DF2" w:rsidRDefault="004408D7" w:rsidP="004408D7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636DF2">
              <w:rPr>
                <w:rFonts w:asciiTheme="minorHAnsi" w:hAnsiTheme="minorHAnsi"/>
                <w:b/>
                <w:bCs/>
                <w:szCs w:val="24"/>
                <w:lang w:val="en-US"/>
              </w:rPr>
              <w:t xml:space="preserve">28 </w:t>
            </w:r>
            <w:r>
              <w:rPr>
                <w:rFonts w:asciiTheme="minorHAnsi" w:hAnsiTheme="minorHAnsi"/>
                <w:b/>
                <w:bCs/>
                <w:szCs w:val="24"/>
                <w:lang w:val="en-US"/>
              </w:rPr>
              <w:t>de diciembre de</w:t>
            </w:r>
            <w:r w:rsidRPr="00636DF2">
              <w:rPr>
                <w:rFonts w:asciiTheme="minorHAnsi" w:hAnsiTheme="minorHAnsi"/>
                <w:b/>
                <w:bCs/>
                <w:szCs w:val="24"/>
                <w:lang w:val="en-US"/>
              </w:rPr>
              <w:t xml:space="preserve"> </w:t>
            </w:r>
            <w:r w:rsidRPr="00636DF2">
              <w:rPr>
                <w:rFonts w:asciiTheme="minorHAnsi" w:hAnsiTheme="minorHAnsi"/>
                <w:b/>
                <w:bCs/>
                <w:szCs w:val="24"/>
                <w:lang w:val="ru-RU"/>
              </w:rPr>
              <w:t>2017 </w:t>
            </w:r>
          </w:p>
        </w:tc>
      </w:tr>
      <w:tr w:rsidR="004408D7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408D7" w:rsidRPr="000B0D00" w:rsidRDefault="004408D7" w:rsidP="004408D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4408D7" w:rsidRPr="00636DF2" w:rsidRDefault="004408D7" w:rsidP="004408D7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636DF2">
              <w:rPr>
                <w:rFonts w:asciiTheme="minorHAnsi" w:hAnsiTheme="minorHAnsi"/>
                <w:b/>
                <w:bCs/>
                <w:szCs w:val="24"/>
                <w:lang w:val="en-US"/>
              </w:rPr>
              <w:t>Original</w:t>
            </w:r>
            <w:r w:rsidRPr="00636DF2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: </w:t>
            </w:r>
            <w:r w:rsidR="006E3D57">
              <w:rPr>
                <w:rFonts w:asciiTheme="minorHAnsi" w:hAnsiTheme="minorHAnsi"/>
                <w:b/>
                <w:bCs/>
                <w:szCs w:val="24"/>
                <w:lang w:val="en-US"/>
              </w:rPr>
              <w:t>r</w:t>
            </w:r>
            <w:r w:rsidRPr="00636DF2">
              <w:rPr>
                <w:rFonts w:asciiTheme="minorHAnsi" w:hAnsiTheme="minorHAnsi"/>
                <w:b/>
                <w:bCs/>
                <w:szCs w:val="24"/>
                <w:lang w:val="en-US"/>
              </w:rPr>
              <w:t>us</w:t>
            </w:r>
            <w:r>
              <w:rPr>
                <w:rFonts w:asciiTheme="minorHAnsi" w:hAnsiTheme="minorHAnsi"/>
                <w:b/>
                <w:bCs/>
                <w:szCs w:val="24"/>
                <w:lang w:val="en-US"/>
              </w:rPr>
              <w:t>o</w:t>
            </w:r>
            <w:r w:rsidRPr="00636DF2">
              <w:rPr>
                <w:rFonts w:asciiTheme="minorHAnsi" w:hAnsiTheme="minorHAnsi"/>
                <w:b/>
                <w:bCs/>
                <w:szCs w:val="24"/>
                <w:lang w:val="en-US"/>
              </w:rPr>
              <w:t>/</w:t>
            </w:r>
            <w:r>
              <w:rPr>
                <w:rFonts w:asciiTheme="minorHAnsi" w:hAnsiTheme="minorHAnsi"/>
                <w:b/>
                <w:bCs/>
                <w:szCs w:val="24"/>
                <w:lang w:val="en-US"/>
              </w:rPr>
              <w:t>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4408D7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rPr>
                <w:lang w:val="en-US"/>
              </w:rPr>
              <w:t xml:space="preserve">Federación de </w:t>
            </w:r>
            <w:r w:rsidRPr="00636DF2">
              <w:rPr>
                <w:lang w:val="en-US"/>
              </w:rPr>
              <w:t>Rusia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4408D7" w:rsidRPr="005656DF" w:rsidRDefault="004408D7" w:rsidP="004408D7">
            <w:pPr>
              <w:pStyle w:val="Title1"/>
            </w:pPr>
            <w:bookmarkStart w:id="8" w:name="dtitle1" w:colFirst="0" w:colLast="0"/>
            <w:bookmarkEnd w:id="7"/>
            <w:r w:rsidRPr="005656DF">
              <w:t>contribución de la federación de rusia</w:t>
            </w:r>
          </w:p>
          <w:p w:rsidR="00093EEB" w:rsidRPr="000B0D00" w:rsidRDefault="004408D7" w:rsidP="00B43765">
            <w:pPr>
              <w:pStyle w:val="Title1"/>
            </w:pPr>
            <w:r w:rsidRPr="005656DF">
              <w:t>propuestas</w:t>
            </w:r>
            <w:r w:rsidR="00B43765">
              <w:t xml:space="preserve"> sobre el proyecto de anexo 3, "</w:t>
            </w:r>
            <w:r w:rsidRPr="005656DF">
              <w:t>glosario de términos</w:t>
            </w:r>
            <w:r w:rsidR="00B43765">
              <w:t>"</w:t>
            </w:r>
            <w:r w:rsidRPr="005656DF">
              <w:t>, a la resoluci</w:t>
            </w:r>
            <w:r>
              <w:t>ón</w:t>
            </w:r>
            <w:r w:rsidRPr="005656DF">
              <w:t> 71 (rev. </w:t>
            </w:r>
            <w:r w:rsidRPr="00B43765">
              <w:t>dubái, 2018)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4408D7">
            <w:pPr>
              <w:rPr>
                <w:lang w:val="es-ES"/>
              </w:rPr>
            </w:pPr>
            <w:r w:rsidRPr="00C2397B">
              <w:rPr>
                <w:rFonts w:asciiTheme="minorHAnsi" w:hAnsiTheme="minorHAnsi"/>
                <w:szCs w:val="24"/>
              </w:rPr>
              <w:t>En el documento se propone aclarar la estructura y el contenido del Glosario de términos (Anexo 3 al proyecto de Resolución 71).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4408D7">
            <w:pPr>
              <w:rPr>
                <w:lang w:val="es-ES"/>
              </w:rPr>
            </w:pPr>
            <w:r w:rsidRPr="004A3DE9">
              <w:rPr>
                <w:rFonts w:asciiTheme="minorHAnsi" w:hAnsiTheme="minorHAnsi"/>
                <w:szCs w:val="24"/>
              </w:rPr>
              <w:t>Se invita al GTC-PEF a considerar las siguientes propuestas habida cuenta de los resultados de las consultas sostenidas durante la elaboración del proyecto de Anexo 3 a la Resolución 71 con miras a su presentaci</w:t>
            </w:r>
            <w:r>
              <w:rPr>
                <w:rFonts w:asciiTheme="minorHAnsi" w:hAnsiTheme="minorHAnsi"/>
                <w:szCs w:val="24"/>
              </w:rPr>
              <w:t>ón a la cuarta reunión del GTC-PEF y a la reunión de 2018 del Consejo</w:t>
            </w:r>
            <w:r w:rsidRPr="004A3DE9">
              <w:rPr>
                <w:rFonts w:asciiTheme="minorHAnsi" w:hAnsiTheme="minorHAnsi"/>
                <w:bCs/>
                <w:szCs w:val="24"/>
              </w:rPr>
              <w:t>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4408D7" w:rsidP="004408D7">
            <w:pPr>
              <w:spacing w:after="120"/>
              <w:rPr>
                <w:i/>
                <w:iCs/>
                <w:lang w:val="es-ES"/>
              </w:rPr>
            </w:pP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>Documentos</w:t>
            </w:r>
            <w:r w:rsidRPr="004408D7">
              <w:rPr>
                <w:rFonts w:asciiTheme="minorHAnsi" w:hAnsiTheme="minorHAnsi"/>
                <w:i/>
                <w:szCs w:val="24"/>
                <w:lang w:val="es-ES"/>
              </w:rPr>
              <w:t xml:space="preserve">: 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 xml:space="preserve">Resolución 1384 del Consejo-17; </w:t>
            </w:r>
            <w:r w:rsidRPr="004408D7">
              <w:rPr>
                <w:rFonts w:asciiTheme="minorHAnsi" w:hAnsiTheme="minorHAnsi"/>
                <w:i/>
                <w:szCs w:val="24"/>
                <w:lang w:val="es-ES"/>
              </w:rPr>
              <w:t xml:space="preserve">Resolución 71 (Rev. Busán, 2014); 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>Resolución 72 (Rev. Busán, 2014); Resolución 151 (Rev. Busán, 2014); Resolución 191 (Busán, 2014);</w:t>
            </w:r>
            <w:r w:rsidRPr="004408D7">
              <w:rPr>
                <w:rFonts w:asciiTheme="minorHAnsi" w:hAnsiTheme="minorHAnsi"/>
                <w:i/>
                <w:szCs w:val="24"/>
                <w:lang w:val="es-ES"/>
              </w:rPr>
              <w:t xml:space="preserve"> 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 xml:space="preserve">Resolución 200 (Busán, 2014); Doc.C17/35; </w:t>
            </w:r>
            <w:r w:rsidRPr="004408D7">
              <w:rPr>
                <w:rFonts w:asciiTheme="minorHAnsi" w:hAnsiTheme="minorHAnsi"/>
                <w:i/>
                <w:szCs w:val="24"/>
                <w:lang w:val="es-ES"/>
              </w:rPr>
              <w:t>Doc.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>C17/123; C17/127; Doc.CWG-SFP-2/5</w:t>
            </w:r>
            <w:r w:rsidRPr="004408D7">
              <w:rPr>
                <w:rFonts w:asciiTheme="minorHAnsi" w:hAnsiTheme="minorHAnsi"/>
                <w:i/>
                <w:szCs w:val="24"/>
                <w:lang w:val="es-ES"/>
              </w:rPr>
              <w:t xml:space="preserve"> </w:t>
            </w:r>
            <w:r w:rsidR="006E2C9E">
              <w:rPr>
                <w:rFonts w:asciiTheme="minorHAnsi" w:hAnsiTheme="minorHAnsi"/>
                <w:i/>
                <w:szCs w:val="24"/>
                <w:lang w:val="es-ES"/>
              </w:rPr>
              <w:t>(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>Rev.1</w:t>
            </w:r>
            <w:r w:rsidR="006E2C9E">
              <w:rPr>
                <w:rFonts w:asciiTheme="minorHAnsi" w:hAnsiTheme="minorHAnsi"/>
                <w:i/>
                <w:iCs/>
                <w:szCs w:val="24"/>
                <w:lang w:val="es-ES"/>
              </w:rPr>
              <w:t>)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 xml:space="preserve">; Doc.CWG-SFP-2/6 </w:t>
            </w:r>
            <w:r w:rsidR="006E2C9E">
              <w:rPr>
                <w:rFonts w:asciiTheme="minorHAnsi" w:hAnsiTheme="minorHAnsi"/>
                <w:i/>
                <w:iCs/>
                <w:szCs w:val="24"/>
                <w:lang w:val="es-ES"/>
              </w:rPr>
              <w:t>(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>Rev.2</w:t>
            </w:r>
            <w:r w:rsidR="006E2C9E">
              <w:rPr>
                <w:rFonts w:asciiTheme="minorHAnsi" w:hAnsiTheme="minorHAnsi"/>
                <w:i/>
                <w:iCs/>
                <w:szCs w:val="24"/>
                <w:lang w:val="es-ES"/>
              </w:rPr>
              <w:t>)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 xml:space="preserve">; </w:t>
            </w:r>
            <w:r w:rsidRPr="004408D7">
              <w:rPr>
                <w:rFonts w:asciiTheme="minorHAnsi" w:hAnsiTheme="minorHAnsi"/>
                <w:i/>
                <w:szCs w:val="24"/>
                <w:lang w:val="es-ES"/>
              </w:rPr>
              <w:t>Doc.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 xml:space="preserve">CWG-SFP-3/7; </w:t>
            </w:r>
            <w:r w:rsidRPr="004408D7">
              <w:rPr>
                <w:rFonts w:asciiTheme="minorHAnsi" w:hAnsiTheme="minorHAnsi"/>
                <w:i/>
                <w:szCs w:val="24"/>
                <w:lang w:val="es-ES"/>
              </w:rPr>
              <w:t>Doc.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 xml:space="preserve">CWG-SFP-3/5; </w:t>
            </w:r>
            <w:r w:rsidRPr="004408D7">
              <w:rPr>
                <w:rFonts w:asciiTheme="minorHAnsi" w:hAnsiTheme="minorHAnsi"/>
                <w:i/>
                <w:szCs w:val="24"/>
                <w:lang w:val="es-ES"/>
              </w:rPr>
              <w:t>Doc.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 xml:space="preserve">CWG-SFP-3/6; </w:t>
            </w:r>
            <w:r w:rsidRPr="004408D7">
              <w:rPr>
                <w:rFonts w:asciiTheme="minorHAnsi" w:hAnsiTheme="minorHAnsi"/>
                <w:i/>
                <w:szCs w:val="24"/>
                <w:lang w:val="es-ES"/>
              </w:rPr>
              <w:t>Doc.</w:t>
            </w:r>
            <w:r w:rsidRPr="004408D7">
              <w:rPr>
                <w:rFonts w:asciiTheme="minorHAnsi" w:hAnsiTheme="minorHAnsi"/>
                <w:i/>
                <w:iCs/>
                <w:szCs w:val="24"/>
                <w:lang w:val="es-ES"/>
              </w:rPr>
              <w:t>CWG-SFP-3/4.</w:t>
            </w:r>
          </w:p>
        </w:tc>
      </w:tr>
    </w:tbl>
    <w:p w:rsidR="004408D7" w:rsidRPr="004A3DE9" w:rsidRDefault="004408D7" w:rsidP="004408D7">
      <w:pPr>
        <w:pStyle w:val="Heading1"/>
        <w:spacing w:before="0"/>
        <w:ind w:left="0" w:firstLine="680"/>
        <w:jc w:val="both"/>
        <w:rPr>
          <w:rFonts w:asciiTheme="minorHAnsi" w:hAnsiTheme="minorHAnsi"/>
          <w:sz w:val="24"/>
          <w:szCs w:val="24"/>
        </w:rPr>
      </w:pPr>
    </w:p>
    <w:p w:rsidR="004408D7" w:rsidRPr="00F506F1" w:rsidRDefault="00F506F1" w:rsidP="00F506F1">
      <w:pPr>
        <w:pStyle w:val="Heading1"/>
      </w:pPr>
      <w:r>
        <w:t>1</w:t>
      </w:r>
      <w:r>
        <w:tab/>
      </w:r>
      <w:r w:rsidR="004408D7" w:rsidRPr="00F506F1">
        <w:t>Introducción</w:t>
      </w:r>
    </w:p>
    <w:p w:rsidR="004408D7" w:rsidRPr="009D71E9" w:rsidRDefault="004408D7" w:rsidP="00F506F1">
      <w:r w:rsidRPr="009D71E9">
        <w:t>De conformidad con el Documento C17/123 (cláusula 6.2) del Consejo, al revisar la estructura y el contenido del Plan Estratégico de la UIT para 2020–2023 (Resolución 71 (Rev. Busán, 2014)) se reveló la necesidad de coordinar el texto del Anexo 3, "Glosario de términos " (Documento CWG-SFP-3/4) (</w:t>
      </w:r>
      <w:r>
        <w:t>en adelante, el Glosario) con la Resolución 71 actualizada, teniendo en cuenta los nuevos términos utilizados en los Documentos</w:t>
      </w:r>
      <w:r w:rsidRPr="009D71E9">
        <w:t xml:space="preserve"> CWG-SFP-3/7, CWG-SFP-3/5, CWG-SFP-3/6, </w:t>
      </w:r>
      <w:r>
        <w:t>que podrán emplearse al preparar el proyecto de Resolución</w:t>
      </w:r>
      <w:r w:rsidRPr="009D71E9">
        <w:t xml:space="preserve"> 71 (Rev. Dub</w:t>
      </w:r>
      <w:r>
        <w:t>á</w:t>
      </w:r>
      <w:r w:rsidRPr="009D71E9">
        <w:t>i, 2018)</w:t>
      </w:r>
      <w:r>
        <w:t xml:space="preserve"> revisada</w:t>
      </w:r>
      <w:r w:rsidRPr="009D71E9">
        <w:t xml:space="preserve">. </w:t>
      </w:r>
    </w:p>
    <w:p w:rsidR="004408D7" w:rsidRPr="009D71E9" w:rsidRDefault="004408D7" w:rsidP="00F506F1">
      <w:r w:rsidRPr="009D71E9">
        <w:lastRenderedPageBreak/>
        <w:t>En comparación con la Resolución 71 (Rev. Busán, 2014) y sus Anexos, el texto de los Documentos CWG-SFP-3/7, CWG-SFP-3/5, CWG-SFP-3/6 se ha mejorado notablemente (mayor brevedad y menor duplicaci</w:t>
      </w:r>
      <w:r>
        <w:t xml:space="preserve">ón con otros documentos de la UIT). </w:t>
      </w:r>
      <w:r w:rsidRPr="009D71E9">
        <w:t>Además, para excluir las posibles ambigüedades en la interpretación de disposiciones importantes del proyecto de Resoluci</w:t>
      </w:r>
      <w:r>
        <w:t xml:space="preserve">ón 71 y sus Anexos, la Federación de Rusia ha preparado una serie de propuestas, que se presentan en el Documento </w:t>
      </w:r>
      <w:r w:rsidRPr="009D71E9">
        <w:t>CWG-SFP-3/4</w:t>
      </w:r>
      <w:r>
        <w:t>, con el fin de ahondar las consultas públicas sobre las definiciones de los principales términos cuya utilización se propone para preparar el proyecto de Plan Estratégico de la UIT para</w:t>
      </w:r>
      <w:r w:rsidRPr="009D71E9">
        <w:t xml:space="preserve"> 2020-2023.</w:t>
      </w:r>
    </w:p>
    <w:p w:rsidR="004408D7" w:rsidRPr="00636DF2" w:rsidRDefault="00F506F1" w:rsidP="00F506F1">
      <w:pPr>
        <w:pStyle w:val="Heading1"/>
      </w:pPr>
      <w:r w:rsidRPr="00F506F1">
        <w:t>2</w:t>
      </w:r>
      <w:r w:rsidRPr="00F506F1">
        <w:tab/>
      </w:r>
      <w:r w:rsidR="004408D7" w:rsidRPr="00F506F1">
        <w:t>Propuestas</w:t>
      </w:r>
    </w:p>
    <w:p w:rsidR="004408D7" w:rsidRPr="00924D90" w:rsidRDefault="00F506F1" w:rsidP="00F506F1">
      <w:r>
        <w:t>2.1</w:t>
      </w:r>
      <w:r>
        <w:tab/>
      </w:r>
      <w:r w:rsidR="004408D7" w:rsidRPr="00924D90">
        <w:t xml:space="preserve">Se propone añadir al Glosario todos los nuevos términos indicados (o que puedan aparecer con posterioridad) en el proyecto de Resolución 71 y sus Anexos, pues son importantes para poder entender correctamente el texto de la </w:t>
      </w:r>
      <w:r w:rsidR="004408D7">
        <w:t>futura Resolución</w:t>
      </w:r>
      <w:r w:rsidR="004408D7" w:rsidRPr="00924D90">
        <w:t xml:space="preserve"> 71 </w:t>
      </w:r>
      <w:r w:rsidR="004408D7">
        <w:t>y, por consiguiente, es necesario que se interpreten clara y razonablemente</w:t>
      </w:r>
      <w:r w:rsidR="004408D7" w:rsidRPr="00924D90">
        <w:t>.</w:t>
      </w:r>
    </w:p>
    <w:p w:rsidR="004408D7" w:rsidRPr="00924D90" w:rsidRDefault="00F506F1" w:rsidP="00F506F1">
      <w:r>
        <w:t>2.2</w:t>
      </w:r>
      <w:r>
        <w:tab/>
      </w:r>
      <w:r w:rsidR="004408D7" w:rsidRPr="00924D90">
        <w:t>Se propone que el Glosario en inglés conserve el orden alfabético. Al traducirse los términos del inglés a los demás idiomas oficiales de la UIT ese orden quedar</w:t>
      </w:r>
      <w:r w:rsidR="004408D7">
        <w:t>á modificado, por lo que se propone indicar entre paréntesis los términos en inglés correspondientes</w:t>
      </w:r>
      <w:r w:rsidR="004408D7" w:rsidRPr="00924D90">
        <w:t>.</w:t>
      </w:r>
    </w:p>
    <w:p w:rsidR="004408D7" w:rsidRPr="00924D90" w:rsidRDefault="00F506F1" w:rsidP="00F506F1">
      <w:r>
        <w:t>2.3</w:t>
      </w:r>
      <w:r>
        <w:tab/>
      </w:r>
      <w:r w:rsidR="004408D7" w:rsidRPr="00924D90">
        <w:t>Se propone no hacer añadidos a los mismos términos procedentes del futuro texto de la Resolución 71 y sus Anexos, si procede. En caso contrario, resultará difícil estudiar la Resolución 71 en otros idiomas oficiales de la Unión cuyos t</w:t>
      </w:r>
      <w:r w:rsidR="004408D7">
        <w:t>érminos no se correspondan exactamente con los ingleses</w:t>
      </w:r>
      <w:r w:rsidR="004408D7" w:rsidRPr="00924D90">
        <w:t xml:space="preserve">. </w:t>
      </w:r>
    </w:p>
    <w:p w:rsidR="004408D7" w:rsidRPr="00C33768" w:rsidRDefault="004408D7" w:rsidP="00F506F1">
      <w:r w:rsidRPr="00924D90">
        <w:t xml:space="preserve">A fin de obtener una comprensión clara del contenido de los Documentos CWG-SFP-3/7, CWG-SFP-3/5, CWG-SFP-3/6 se propone establecer diferencias precisas entre términos como </w:t>
      </w:r>
      <w:r w:rsidRPr="00924D90">
        <w:rPr>
          <w:i/>
        </w:rPr>
        <w:t xml:space="preserve">miembros, Miembros de la UIT, partes interesadas, otras partes interesadas, principales partes interesadas, todas las partes interesadas, partes interesadas pertinentes, miembros y partes interesadas, miembros y otras partes interesadas, socios, cualquier socio, otros socios pertinentes, otros </w:t>
      </w:r>
      <w:r>
        <w:rPr>
          <w:i/>
        </w:rPr>
        <w:t xml:space="preserve">actores, </w:t>
      </w:r>
      <w:r w:rsidRPr="00924D90">
        <w:t xml:space="preserve">etc. </w:t>
      </w:r>
      <w:r>
        <w:t xml:space="preserve">e introducir las definiciones correspondientes en el Glosario. </w:t>
      </w:r>
      <w:r w:rsidRPr="00C33768">
        <w:t>Convendría conservar la coherencia terminológica entre los Sectores y la Secretar</w:t>
      </w:r>
      <w:r>
        <w:t>ía General en los tres documentos</w:t>
      </w:r>
      <w:r w:rsidRPr="00C33768">
        <w:t>.</w:t>
      </w:r>
    </w:p>
    <w:p w:rsidR="004408D7" w:rsidRPr="00C33768" w:rsidRDefault="00F506F1" w:rsidP="00F506F1">
      <w:r>
        <w:t>2.4</w:t>
      </w:r>
      <w:r>
        <w:tab/>
      </w:r>
      <w:r w:rsidR="004408D7" w:rsidRPr="00C33768">
        <w:t xml:space="preserve">Además, </w:t>
      </w:r>
      <w:r w:rsidR="004408D7">
        <w:t xml:space="preserve">en </w:t>
      </w:r>
      <w:r w:rsidR="004408D7" w:rsidRPr="00C33768">
        <w:t xml:space="preserve">los textos editados de los Documentos CWG-SFP-3/7, CWG-SFP-3/5, CWG-SFP-3/6 </w:t>
      </w:r>
      <w:r w:rsidR="004408D7">
        <w:t>las referencias</w:t>
      </w:r>
      <w:r w:rsidR="004408D7" w:rsidRPr="00C33768">
        <w:t xml:space="preserve"> a los demás documentos mencionados, incluidos los términos, abreviaturas, nombres de los eventos y programas, etc. </w:t>
      </w:r>
      <w:r w:rsidR="004408D7">
        <w:t>utilizados en esos documentos, deberán seguir incluyéndose en forma de hiperenlaces, sin necesidad de incluir las definiciones correspondientes en el Glosario de términos</w:t>
      </w:r>
      <w:r w:rsidR="004408D7" w:rsidRPr="00C33768">
        <w:t xml:space="preserve"> (CWG-SFP-3/4).</w:t>
      </w:r>
    </w:p>
    <w:p w:rsidR="004408D7" w:rsidRPr="00C33768" w:rsidRDefault="00F506F1" w:rsidP="00F506F1">
      <w:r>
        <w:t>2.5</w:t>
      </w:r>
      <w:r>
        <w:tab/>
      </w:r>
      <w:r w:rsidR="004408D7" w:rsidRPr="00C33768">
        <w:t>Se propone que en los trabajos sobre la terminología de la Resolución 71 y sus Anexos se consulte con el Comité de Coordinación de la Terminología de la UIT (CCT UIT) (Resoluci</w:t>
      </w:r>
      <w:r w:rsidR="004408D7">
        <w:t>ón</w:t>
      </w:r>
      <w:r w:rsidR="004408D7" w:rsidRPr="00C33768">
        <w:t xml:space="preserve"> 1386, Co</w:t>
      </w:r>
      <w:r w:rsidR="004408D7">
        <w:t>nsejo</w:t>
      </w:r>
      <w:r w:rsidR="004408D7" w:rsidRPr="00C33768">
        <w:t xml:space="preserve"> 2017) </w:t>
      </w:r>
      <w:r w:rsidR="004408D7">
        <w:t>y que los términos acordados se introduzcan en la base de datos de Términos y Definiciones de la UIT en línea</w:t>
      </w:r>
      <w:r w:rsidR="004408D7" w:rsidRPr="00C33768">
        <w:t>.</w:t>
      </w:r>
    </w:p>
    <w:p w:rsidR="00964864" w:rsidRDefault="00964864" w:rsidP="00F506F1"/>
    <w:p w:rsidR="00964864" w:rsidRDefault="00964864" w:rsidP="00964864">
      <w:pPr>
        <w:jc w:val="center"/>
      </w:pPr>
      <w:r>
        <w:t>______________</w:t>
      </w:r>
    </w:p>
    <w:p w:rsidR="00093EEB" w:rsidRPr="000B0D00" w:rsidRDefault="00093EEB" w:rsidP="00964864">
      <w:pPr>
        <w:spacing w:before="240" w:line="276" w:lineRule="auto"/>
        <w:jc w:val="center"/>
      </w:pPr>
    </w:p>
    <w:sectPr w:rsidR="00093EEB" w:rsidRPr="000B0D00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D7" w:rsidRDefault="004408D7">
      <w:r>
        <w:separator/>
      </w:r>
    </w:p>
  </w:endnote>
  <w:endnote w:type="continuationSeparator" w:id="0">
    <w:p w:rsidR="004408D7" w:rsidRDefault="004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5F3BCB" w:rsidP="00134718">
    <w:pPr>
      <w:pStyle w:val="Footer"/>
      <w:rPr>
        <w:lang w:val="en-US"/>
      </w:rPr>
    </w:pPr>
    <w:fldSimple w:instr=" FILENAME \p \* MERGEFORMAT ">
      <w:r w:rsidR="00134718" w:rsidRPr="00134718">
        <w:rPr>
          <w:lang w:val="en-US"/>
        </w:rPr>
        <w:t>P</w:t>
      </w:r>
      <w:r w:rsidR="00134718">
        <w:t>:\ESP\SG\CONSEIL\CWG-SFP\CWG-SFP3\000\012S.docx</w:t>
      </w:r>
    </w:fldSimple>
    <w:r w:rsidR="00134718">
      <w:rPr>
        <w:lang w:val="en-US"/>
      </w:rPr>
      <w:t xml:space="preserve"> (430381)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4408D7" w:rsidRDefault="00760F1C" w:rsidP="004408D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D7" w:rsidRDefault="004408D7">
      <w:r>
        <w:t>____________________</w:t>
      </w:r>
    </w:p>
  </w:footnote>
  <w:footnote w:type="continuationSeparator" w:id="0">
    <w:p w:rsidR="004408D7" w:rsidRDefault="004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6C6A8F">
      <w:rPr>
        <w:noProof/>
      </w:rPr>
      <w:t>2</w:t>
    </w:r>
    <w:r>
      <w:rPr>
        <w:noProof/>
      </w:rPr>
      <w:fldChar w:fldCharType="end"/>
    </w:r>
  </w:p>
  <w:p w:rsidR="00760F1C" w:rsidRDefault="00760F1C" w:rsidP="009F4811">
    <w:pPr>
      <w:pStyle w:val="Header"/>
    </w:pPr>
    <w:r>
      <w:t>C</w:t>
    </w:r>
    <w:r w:rsidR="007F350B">
      <w:t>1</w:t>
    </w:r>
    <w:r w:rsidR="009F4811">
      <w:t>8</w:t>
    </w:r>
    <w:r>
      <w:t>/#-S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697C"/>
    <w:multiLevelType w:val="multilevel"/>
    <w:tmpl w:val="26F02E44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5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0" w:hanging="2160"/>
      </w:pPr>
      <w:rPr>
        <w:rFonts w:hint="default"/>
      </w:rPr>
    </w:lvl>
  </w:abstractNum>
  <w:abstractNum w:abstractNumId="1" w15:restartNumberingAfterBreak="0">
    <w:nsid w:val="2B22002E"/>
    <w:multiLevelType w:val="multilevel"/>
    <w:tmpl w:val="49B03E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D7"/>
    <w:rsid w:val="00093EEB"/>
    <w:rsid w:val="000B0D00"/>
    <w:rsid w:val="000B7C15"/>
    <w:rsid w:val="000D1D0F"/>
    <w:rsid w:val="000F5290"/>
    <w:rsid w:val="0010165C"/>
    <w:rsid w:val="00134718"/>
    <w:rsid w:val="00146BFB"/>
    <w:rsid w:val="001F14A2"/>
    <w:rsid w:val="002801AA"/>
    <w:rsid w:val="002C4676"/>
    <w:rsid w:val="002C70B0"/>
    <w:rsid w:val="002F3CC4"/>
    <w:rsid w:val="004408D7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C6A8F"/>
    <w:rsid w:val="006D4761"/>
    <w:rsid w:val="006E2C9E"/>
    <w:rsid w:val="006E3D57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64864"/>
    <w:rsid w:val="009F4811"/>
    <w:rsid w:val="00AA390C"/>
    <w:rsid w:val="00B0200A"/>
    <w:rsid w:val="00B43765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506F1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C0D1E9F-AC1D-4062-B69E-F1C7FB99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4408D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Heading1Char">
    <w:name w:val="Heading 1 Char"/>
    <w:basedOn w:val="DefaultParagraphFont"/>
    <w:link w:val="Heading1"/>
    <w:rsid w:val="004408D7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6</TotalTime>
  <Pages>2</Pages>
  <Words>704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4759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Ayala Martinez, Beatriz</dc:creator>
  <cp:keywords>C2018, C18</cp:keywords>
  <dc:description/>
  <cp:lastModifiedBy>Ayala Martinez, Beatriz</cp:lastModifiedBy>
  <cp:revision>8</cp:revision>
  <cp:lastPrinted>2006-03-24T09:51:00Z</cp:lastPrinted>
  <dcterms:created xsi:type="dcterms:W3CDTF">2018-01-12T09:34:00Z</dcterms:created>
  <dcterms:modified xsi:type="dcterms:W3CDTF">2018-01-12T09:48:00Z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