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4F1649">
        <w:trPr>
          <w:cantSplit/>
        </w:trPr>
        <w:tc>
          <w:tcPr>
            <w:tcW w:w="6912" w:type="dxa"/>
          </w:tcPr>
          <w:p w:rsidR="00520F36" w:rsidRPr="004F1649" w:rsidRDefault="00D76368" w:rsidP="006505FA">
            <w:pPr>
              <w:spacing w:before="360"/>
            </w:pPr>
            <w:r w:rsidRPr="004F1649">
              <w:rPr>
                <w:b/>
                <w:bCs/>
                <w:sz w:val="30"/>
                <w:szCs w:val="30"/>
              </w:rPr>
              <w:t>Groupe de travail du Conseil</w:t>
            </w:r>
            <w:r w:rsidRPr="004F1649">
              <w:rPr>
                <w:b/>
                <w:bCs/>
                <w:color w:val="000000"/>
                <w:sz w:val="30"/>
                <w:szCs w:val="30"/>
              </w:rPr>
              <w:t xml:space="preserve"> chargé d</w:t>
            </w:r>
            <w:r w:rsidR="00197210" w:rsidRPr="004F1649">
              <w:rPr>
                <w:b/>
                <w:bCs/>
                <w:color w:val="000000"/>
                <w:sz w:val="30"/>
                <w:szCs w:val="30"/>
              </w:rPr>
              <w:t>'</w:t>
            </w:r>
            <w:r w:rsidRPr="004F1649">
              <w:rPr>
                <w:b/>
                <w:bCs/>
                <w:color w:val="000000"/>
                <w:sz w:val="30"/>
                <w:szCs w:val="30"/>
              </w:rPr>
              <w:t xml:space="preserve">élaborer </w:t>
            </w:r>
            <w:r w:rsidRPr="004F1649">
              <w:rPr>
                <w:b/>
                <w:bCs/>
                <w:color w:val="000000"/>
                <w:sz w:val="30"/>
                <w:szCs w:val="30"/>
              </w:rPr>
              <w:br/>
              <w:t>le Plan stratégique et le Plan financier pour la période 2020-2023</w:t>
            </w:r>
          </w:p>
        </w:tc>
        <w:tc>
          <w:tcPr>
            <w:tcW w:w="3261" w:type="dxa"/>
          </w:tcPr>
          <w:p w:rsidR="00520F36" w:rsidRPr="004F1649" w:rsidRDefault="00520F36" w:rsidP="006505FA">
            <w:pPr>
              <w:spacing w:before="0"/>
              <w:jc w:val="right"/>
            </w:pPr>
            <w:bookmarkStart w:id="0" w:name="ditulogo"/>
            <w:bookmarkEnd w:id="0"/>
            <w:r w:rsidRPr="004F1649">
              <w:rPr>
                <w:rFonts w:cstheme="minorHAnsi"/>
                <w:b/>
                <w:bCs/>
                <w:noProof/>
                <w:lang w:val="fr-CH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4F1649" w:rsidTr="003F6C69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4F1649" w:rsidRDefault="006224B9" w:rsidP="006505FA">
            <w:pPr>
              <w:spacing w:before="60" w:after="60"/>
              <w:rPr>
                <w:b/>
                <w:bCs/>
                <w:szCs w:val="24"/>
              </w:rPr>
            </w:pPr>
            <w:r w:rsidRPr="004F1649">
              <w:rPr>
                <w:b/>
                <w:bCs/>
                <w:szCs w:val="24"/>
              </w:rPr>
              <w:t>Troisième</w:t>
            </w:r>
            <w:r w:rsidR="00D76368" w:rsidRPr="004F1649">
              <w:rPr>
                <w:b/>
                <w:bCs/>
                <w:szCs w:val="24"/>
              </w:rPr>
              <w:t xml:space="preserve"> réunion – Genève, </w:t>
            </w:r>
            <w:r w:rsidR="00B22860" w:rsidRPr="004F1649">
              <w:rPr>
                <w:b/>
                <w:bCs/>
                <w:szCs w:val="24"/>
              </w:rPr>
              <w:t>15-16 janvier 2018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4F1649" w:rsidRDefault="00520F36" w:rsidP="006505FA">
            <w:pPr>
              <w:spacing w:before="0"/>
              <w:rPr>
                <w:b/>
                <w:bCs/>
              </w:rPr>
            </w:pPr>
          </w:p>
        </w:tc>
      </w:tr>
      <w:tr w:rsidR="00520F36" w:rsidRPr="004F1649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4F1649" w:rsidRDefault="00520F36" w:rsidP="006505FA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4F1649" w:rsidRDefault="00520F36" w:rsidP="006505FA">
            <w:pPr>
              <w:spacing w:before="0"/>
              <w:rPr>
                <w:b/>
                <w:bCs/>
              </w:rPr>
            </w:pPr>
          </w:p>
        </w:tc>
      </w:tr>
      <w:tr w:rsidR="00520F36" w:rsidRPr="004F1649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4F1649" w:rsidRDefault="00520F36" w:rsidP="006505FA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520F36" w:rsidRPr="004F1649" w:rsidRDefault="00520F36" w:rsidP="00E9562C">
            <w:pPr>
              <w:spacing w:before="0"/>
              <w:rPr>
                <w:b/>
                <w:bCs/>
              </w:rPr>
            </w:pPr>
            <w:r w:rsidRPr="004F1649">
              <w:rPr>
                <w:b/>
                <w:bCs/>
              </w:rPr>
              <w:t xml:space="preserve">Document </w:t>
            </w:r>
            <w:r w:rsidR="006224B9" w:rsidRPr="004F1649">
              <w:rPr>
                <w:b/>
                <w:bCs/>
              </w:rPr>
              <w:t>CWG-SFP-3</w:t>
            </w:r>
            <w:r w:rsidR="00D76368" w:rsidRPr="004F1649">
              <w:rPr>
                <w:b/>
                <w:bCs/>
              </w:rPr>
              <w:t>/</w:t>
            </w:r>
            <w:r w:rsidR="00E9732F" w:rsidRPr="004F1649">
              <w:rPr>
                <w:b/>
                <w:bCs/>
              </w:rPr>
              <w:t>1</w:t>
            </w:r>
            <w:r w:rsidR="00E9562C">
              <w:rPr>
                <w:b/>
                <w:bCs/>
              </w:rPr>
              <w:t>2</w:t>
            </w:r>
            <w:r w:rsidRPr="004F1649">
              <w:rPr>
                <w:b/>
                <w:bCs/>
              </w:rPr>
              <w:t>-F</w:t>
            </w:r>
          </w:p>
        </w:tc>
      </w:tr>
      <w:tr w:rsidR="00520F36" w:rsidRPr="004F1649">
        <w:trPr>
          <w:cantSplit/>
          <w:trHeight w:val="20"/>
        </w:trPr>
        <w:tc>
          <w:tcPr>
            <w:tcW w:w="6912" w:type="dxa"/>
            <w:vMerge/>
          </w:tcPr>
          <w:p w:rsidR="00520F36" w:rsidRPr="004F1649" w:rsidRDefault="00520F36" w:rsidP="006505FA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520F36" w:rsidRPr="004F1649" w:rsidRDefault="00E9732F" w:rsidP="006505FA">
            <w:pPr>
              <w:spacing w:before="0"/>
              <w:rPr>
                <w:b/>
                <w:bCs/>
              </w:rPr>
            </w:pPr>
            <w:r w:rsidRPr="004F1649">
              <w:rPr>
                <w:b/>
                <w:bCs/>
              </w:rPr>
              <w:t>28</w:t>
            </w:r>
            <w:r w:rsidR="006224B9" w:rsidRPr="004F1649">
              <w:rPr>
                <w:b/>
                <w:bCs/>
              </w:rPr>
              <w:t xml:space="preserve"> décembre</w:t>
            </w:r>
            <w:r w:rsidR="00520F36" w:rsidRPr="004F1649">
              <w:rPr>
                <w:b/>
                <w:bCs/>
              </w:rPr>
              <w:t xml:space="preserve"> 2017</w:t>
            </w:r>
          </w:p>
        </w:tc>
      </w:tr>
      <w:tr w:rsidR="00520F36" w:rsidRPr="004F1649">
        <w:trPr>
          <w:cantSplit/>
          <w:trHeight w:val="20"/>
        </w:trPr>
        <w:tc>
          <w:tcPr>
            <w:tcW w:w="6912" w:type="dxa"/>
            <w:vMerge/>
          </w:tcPr>
          <w:p w:rsidR="00520F36" w:rsidRPr="004F1649" w:rsidRDefault="00520F36" w:rsidP="006505FA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520F36" w:rsidRPr="004F1649" w:rsidRDefault="00520F36" w:rsidP="006505FA">
            <w:pPr>
              <w:spacing w:before="0"/>
              <w:rPr>
                <w:b/>
                <w:bCs/>
              </w:rPr>
            </w:pPr>
            <w:r w:rsidRPr="004F1649">
              <w:rPr>
                <w:b/>
                <w:bCs/>
              </w:rPr>
              <w:t xml:space="preserve">Original: </w:t>
            </w:r>
            <w:r w:rsidR="006412ED">
              <w:rPr>
                <w:b/>
                <w:bCs/>
              </w:rPr>
              <w:t>anglais</w:t>
            </w:r>
            <w:r w:rsidR="006B2FE0">
              <w:rPr>
                <w:b/>
                <w:bCs/>
              </w:rPr>
              <w:t>/russe</w:t>
            </w:r>
          </w:p>
        </w:tc>
      </w:tr>
      <w:tr w:rsidR="00520F36" w:rsidRPr="004F1649">
        <w:trPr>
          <w:cantSplit/>
        </w:trPr>
        <w:tc>
          <w:tcPr>
            <w:tcW w:w="10173" w:type="dxa"/>
            <w:gridSpan w:val="2"/>
          </w:tcPr>
          <w:p w:rsidR="00520F36" w:rsidRPr="004F1649" w:rsidRDefault="00E9732F" w:rsidP="006505FA">
            <w:pPr>
              <w:pStyle w:val="Source"/>
              <w:spacing w:before="360"/>
              <w:rPr>
                <w:szCs w:val="28"/>
              </w:rPr>
            </w:pPr>
            <w:bookmarkStart w:id="5" w:name="dsource" w:colFirst="0" w:colLast="0"/>
            <w:bookmarkEnd w:id="4"/>
            <w:r w:rsidRPr="004F1649">
              <w:rPr>
                <w:szCs w:val="28"/>
              </w:rPr>
              <w:t>Fédération de Russie</w:t>
            </w:r>
          </w:p>
        </w:tc>
      </w:tr>
      <w:tr w:rsidR="00520F36" w:rsidRPr="004F1649">
        <w:trPr>
          <w:cantSplit/>
        </w:trPr>
        <w:tc>
          <w:tcPr>
            <w:tcW w:w="10173" w:type="dxa"/>
            <w:gridSpan w:val="2"/>
          </w:tcPr>
          <w:p w:rsidR="006224B9" w:rsidRPr="004F1649" w:rsidRDefault="00E9732F" w:rsidP="006505FA">
            <w:pPr>
              <w:pStyle w:val="Title1"/>
            </w:pPr>
            <w:bookmarkStart w:id="6" w:name="dtitle1" w:colFirst="0" w:colLast="0"/>
            <w:bookmarkEnd w:id="5"/>
            <w:r w:rsidRPr="004F1649">
              <w:rPr>
                <w:bCs/>
                <w:szCs w:val="32"/>
              </w:rPr>
              <w:t>Contribution de la fédération de russie</w:t>
            </w:r>
          </w:p>
        </w:tc>
      </w:tr>
      <w:tr w:rsidR="00E9732F" w:rsidRPr="004F1649">
        <w:trPr>
          <w:cantSplit/>
        </w:trPr>
        <w:tc>
          <w:tcPr>
            <w:tcW w:w="10173" w:type="dxa"/>
            <w:gridSpan w:val="2"/>
          </w:tcPr>
          <w:p w:rsidR="00E9732F" w:rsidRPr="004F1649" w:rsidRDefault="00E9732F">
            <w:pPr>
              <w:pStyle w:val="Title1"/>
              <w:pPrChange w:id="7" w:author="Deturche-Nazer, Anne-Marie" w:date="2018-01-08T18:09:00Z">
                <w:pPr>
                  <w:pStyle w:val="Title1"/>
                  <w:framePr w:hSpace="180" w:wrap="around" w:hAnchor="margin" w:y="-690"/>
                  <w:spacing w:line="480" w:lineRule="auto"/>
                </w:pPr>
              </w:pPrChange>
            </w:pPr>
            <w:r w:rsidRPr="004F1649">
              <w:t>propos</w:t>
            </w:r>
            <w:r w:rsidR="003B6DDD" w:rsidRPr="004F1649">
              <w:t xml:space="preserve">itions </w:t>
            </w:r>
            <w:r w:rsidR="006505FA" w:rsidRPr="00D83ADB">
              <w:t xml:space="preserve">concernant le projet d'annexe 3 "glossaire de termes" </w:t>
            </w:r>
            <w:r w:rsidR="006505FA" w:rsidRPr="00D83ADB">
              <w:br/>
            </w:r>
            <w:r w:rsidR="006505FA">
              <w:t xml:space="preserve">de la résolution 71 (Rév. </w:t>
            </w:r>
            <w:r w:rsidR="006505FA" w:rsidRPr="00D83ADB">
              <w:t>Dubaï, 2018)</w:t>
            </w:r>
          </w:p>
        </w:tc>
      </w:tr>
      <w:bookmarkEnd w:id="6"/>
    </w:tbl>
    <w:p w:rsidR="006505FA" w:rsidRDefault="006505FA" w:rsidP="006505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240"/>
        <w:jc w:val="both"/>
        <w:rPr>
          <w:rFonts w:asciiTheme="minorHAnsi" w:hAnsiTheme="minorHAnsi"/>
          <w:szCs w:val="24"/>
        </w:rPr>
      </w:pP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505FA" w:rsidRPr="00D83ADB" w:rsidTr="00B72890">
        <w:trPr>
          <w:trHeight w:val="3372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5FA" w:rsidRPr="00D83ADB" w:rsidRDefault="006505FA" w:rsidP="006505FA">
            <w:pPr>
              <w:pStyle w:val="Headingb"/>
            </w:pPr>
            <w:r w:rsidRPr="00D83ADB">
              <w:t>Résumé</w:t>
            </w:r>
          </w:p>
          <w:p w:rsidR="006505FA" w:rsidRPr="00D83ADB" w:rsidRDefault="006505FA" w:rsidP="00E9562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On trouvera d</w:t>
            </w:r>
            <w:r w:rsidRPr="00D83ADB">
              <w:rPr>
                <w:rFonts w:asciiTheme="minorHAnsi" w:hAnsiTheme="minorHAnsi"/>
                <w:szCs w:val="24"/>
              </w:rPr>
              <w:t>ans le présent document</w:t>
            </w:r>
            <w:r>
              <w:rPr>
                <w:rFonts w:asciiTheme="minorHAnsi" w:hAnsiTheme="minorHAnsi"/>
                <w:szCs w:val="24"/>
              </w:rPr>
              <w:t xml:space="preserve"> des propositions de clarification de</w:t>
            </w:r>
            <w:r w:rsidRPr="00D83ADB">
              <w:rPr>
                <w:rFonts w:asciiTheme="minorHAnsi" w:hAnsiTheme="minorHAnsi"/>
                <w:szCs w:val="24"/>
              </w:rPr>
              <w:t xml:space="preserve"> la structure et </w:t>
            </w:r>
            <w:r>
              <w:rPr>
                <w:rFonts w:asciiTheme="minorHAnsi" w:hAnsiTheme="minorHAnsi"/>
                <w:szCs w:val="24"/>
              </w:rPr>
              <w:t xml:space="preserve">du </w:t>
            </w:r>
            <w:r w:rsidRPr="00D83ADB">
              <w:rPr>
                <w:rFonts w:asciiTheme="minorHAnsi" w:hAnsiTheme="minorHAnsi"/>
                <w:szCs w:val="24"/>
              </w:rPr>
              <w:t>contenu du Glossaire de termes (Annexe 3 du projet de Résolution 71).</w:t>
            </w:r>
          </w:p>
          <w:p w:rsidR="006505FA" w:rsidRPr="00D83ADB" w:rsidRDefault="006505FA" w:rsidP="006505FA">
            <w:pPr>
              <w:pStyle w:val="Headingb"/>
            </w:pPr>
            <w:r w:rsidRPr="00D83ADB">
              <w:t>Suite à donner</w:t>
            </w:r>
          </w:p>
          <w:p w:rsidR="006505FA" w:rsidRPr="00D83ADB" w:rsidRDefault="006505FA" w:rsidP="00E9562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asciiTheme="minorHAnsi" w:hAnsiTheme="minorHAnsi"/>
                <w:szCs w:val="24"/>
              </w:rPr>
            </w:pPr>
            <w:r w:rsidRPr="00D83ADB">
              <w:rPr>
                <w:rFonts w:asciiTheme="minorHAnsi" w:hAnsiTheme="minorHAnsi"/>
                <w:szCs w:val="24"/>
              </w:rPr>
              <w:t>Le GTC-SFP est invité à examiner les propositions reproduites ci-dessous et à tenir compte des résultats des consultations lors de l'élaboration du projet d'Annexe 3 de la Résolution 71</w:t>
            </w:r>
            <w:r>
              <w:rPr>
                <w:rFonts w:asciiTheme="minorHAnsi" w:hAnsiTheme="minorHAnsi"/>
                <w:szCs w:val="24"/>
              </w:rPr>
              <w:t>, pour soumission</w:t>
            </w:r>
            <w:r w:rsidRPr="00D83ADB">
              <w:rPr>
                <w:rFonts w:asciiTheme="minorHAnsi" w:hAnsiTheme="minorHAnsi"/>
                <w:szCs w:val="24"/>
              </w:rPr>
              <w:t xml:space="preserve"> à la quatrième réunion du GTC-SFP et au Conseil à sa session de 2018</w:t>
            </w:r>
            <w:r w:rsidRPr="00D83ADB">
              <w:rPr>
                <w:rFonts w:asciiTheme="minorHAnsi" w:hAnsiTheme="minorHAnsi"/>
                <w:bCs/>
                <w:szCs w:val="24"/>
              </w:rPr>
              <w:t>.</w:t>
            </w:r>
          </w:p>
          <w:p w:rsidR="006505FA" w:rsidRPr="00D83ADB" w:rsidRDefault="006505FA" w:rsidP="00B728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caps/>
                <w:szCs w:val="24"/>
              </w:rPr>
            </w:pPr>
            <w:r w:rsidRPr="00D83ADB">
              <w:rPr>
                <w:rFonts w:asciiTheme="minorHAnsi" w:hAnsiTheme="minorHAnsi"/>
                <w:caps/>
                <w:szCs w:val="24"/>
              </w:rPr>
              <w:t>____________</w:t>
            </w:r>
          </w:p>
          <w:p w:rsidR="006505FA" w:rsidRPr="00D83ADB" w:rsidRDefault="006505FA" w:rsidP="006505FA">
            <w:pPr>
              <w:pStyle w:val="Headingb"/>
            </w:pPr>
            <w:r w:rsidRPr="00D83ADB">
              <w:t>Références</w:t>
            </w:r>
          </w:p>
          <w:p w:rsidR="006505FA" w:rsidRPr="00D83ADB" w:rsidRDefault="006505FA" w:rsidP="00E9562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jc w:val="both"/>
              <w:rPr>
                <w:rFonts w:asciiTheme="minorHAnsi" w:hAnsiTheme="minorHAnsi"/>
                <w:i/>
                <w:iCs/>
                <w:szCs w:val="24"/>
              </w:rPr>
            </w:pPr>
            <w:r w:rsidRPr="00D83ADB">
              <w:rPr>
                <w:rFonts w:asciiTheme="minorHAnsi" w:hAnsiTheme="minorHAnsi"/>
                <w:i/>
                <w:iCs/>
                <w:szCs w:val="24"/>
              </w:rPr>
              <w:t>Documents</w:t>
            </w:r>
            <w:r w:rsidRPr="00D83ADB">
              <w:rPr>
                <w:rFonts w:asciiTheme="minorHAnsi" w:hAnsiTheme="minorHAnsi"/>
                <w:i/>
                <w:szCs w:val="24"/>
              </w:rPr>
              <w:t xml:space="preserve">: 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 xml:space="preserve">Résolution 1384 du Conseil à sa session de 2017; </w:t>
            </w:r>
            <w:r w:rsidRPr="00D83ADB">
              <w:rPr>
                <w:rFonts w:asciiTheme="minorHAnsi" w:hAnsiTheme="minorHAnsi"/>
                <w:i/>
                <w:szCs w:val="24"/>
              </w:rPr>
              <w:t>Résolution 71 (Ré</w:t>
            </w:r>
            <w:r>
              <w:rPr>
                <w:rFonts w:asciiTheme="minorHAnsi" w:hAnsiTheme="minorHAnsi"/>
                <w:i/>
                <w:szCs w:val="24"/>
              </w:rPr>
              <w:t>v. </w:t>
            </w:r>
            <w:r w:rsidRPr="00D83ADB">
              <w:rPr>
                <w:rFonts w:asciiTheme="minorHAnsi" w:hAnsiTheme="minorHAnsi"/>
                <w:i/>
                <w:szCs w:val="24"/>
              </w:rPr>
              <w:t xml:space="preserve">Busan, 2014); 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>Résolution 72 (Rév. Busan, 2014); Résolution 151 (Ré</w:t>
            </w:r>
            <w:r>
              <w:rPr>
                <w:rFonts w:asciiTheme="minorHAnsi" w:hAnsiTheme="minorHAnsi"/>
                <w:i/>
                <w:iCs/>
                <w:szCs w:val="24"/>
              </w:rPr>
              <w:t>v. Busan, 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>2014); Résolution 191 (Busan, 2014);</w:t>
            </w:r>
            <w:r w:rsidRPr="00D83ADB">
              <w:rPr>
                <w:rFonts w:asciiTheme="minorHAnsi" w:hAnsiTheme="minorHAnsi"/>
                <w:i/>
                <w:szCs w:val="24"/>
              </w:rPr>
              <w:t xml:space="preserve"> 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>Résolution 200 (Busan, 2014)</w:t>
            </w:r>
            <w:r>
              <w:rPr>
                <w:rFonts w:asciiTheme="minorHAnsi" w:hAnsiTheme="minorHAnsi"/>
                <w:i/>
                <w:iCs/>
                <w:szCs w:val="24"/>
              </w:rPr>
              <w:t xml:space="preserve"> de la Conférence de 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 xml:space="preserve">plénipotentiaires; Doc. C17/35; </w:t>
            </w:r>
            <w:r w:rsidRPr="00D83ADB">
              <w:rPr>
                <w:rFonts w:asciiTheme="minorHAnsi" w:hAnsiTheme="minorHAnsi"/>
                <w:i/>
                <w:szCs w:val="24"/>
              </w:rPr>
              <w:t>Doc.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 xml:space="preserve"> C17/123; Doc. C17/127; Doc.</w:t>
            </w:r>
            <w:r>
              <w:rPr>
                <w:rFonts w:asciiTheme="minorHAnsi" w:hAnsiTheme="minorHAnsi"/>
                <w:i/>
                <w:iCs/>
                <w:szCs w:val="24"/>
              </w:rPr>
              <w:t> 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>CWG-SFP-2/5</w:t>
            </w:r>
            <w:r w:rsidRPr="00D83ADB">
              <w:rPr>
                <w:rFonts w:asciiTheme="minorHAnsi" w:hAnsiTheme="minorHAnsi"/>
                <w:i/>
                <w:szCs w:val="24"/>
              </w:rPr>
              <w:t>(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 xml:space="preserve">Rév.1); Doc. CWG-SFP-2/6(Rév.2); </w:t>
            </w:r>
            <w:r w:rsidRPr="00D83ADB">
              <w:rPr>
                <w:rFonts w:asciiTheme="minorHAnsi" w:hAnsiTheme="minorHAnsi"/>
                <w:i/>
                <w:szCs w:val="24"/>
              </w:rPr>
              <w:t xml:space="preserve">Doc. 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 xml:space="preserve">CWG-SFP-3/7; </w:t>
            </w:r>
            <w:r w:rsidRPr="00D83ADB">
              <w:rPr>
                <w:rFonts w:asciiTheme="minorHAnsi" w:hAnsiTheme="minorHAnsi"/>
                <w:i/>
                <w:szCs w:val="24"/>
              </w:rPr>
              <w:t>Doc.</w:t>
            </w:r>
            <w:r>
              <w:rPr>
                <w:rFonts w:asciiTheme="minorHAnsi" w:hAnsiTheme="minorHAnsi"/>
                <w:i/>
                <w:szCs w:val="24"/>
              </w:rPr>
              <w:t> </w:t>
            </w:r>
            <w:r>
              <w:rPr>
                <w:rFonts w:asciiTheme="minorHAnsi" w:hAnsiTheme="minorHAnsi"/>
                <w:i/>
                <w:iCs/>
                <w:szCs w:val="24"/>
              </w:rPr>
              <w:t>CWG</w:t>
            </w:r>
            <w:r>
              <w:rPr>
                <w:rFonts w:asciiTheme="minorHAnsi" w:hAnsiTheme="minorHAnsi"/>
                <w:i/>
                <w:iCs/>
                <w:szCs w:val="24"/>
              </w:rPr>
              <w:noBreakHyphen/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 xml:space="preserve">SFP-3/5; </w:t>
            </w:r>
            <w:r w:rsidRPr="00D83ADB">
              <w:rPr>
                <w:rFonts w:asciiTheme="minorHAnsi" w:hAnsiTheme="minorHAnsi"/>
                <w:i/>
                <w:szCs w:val="24"/>
              </w:rPr>
              <w:t>Doc.</w:t>
            </w:r>
            <w:r>
              <w:rPr>
                <w:rFonts w:asciiTheme="minorHAnsi" w:hAnsiTheme="minorHAnsi"/>
                <w:i/>
                <w:szCs w:val="24"/>
              </w:rPr>
              <w:t> 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 xml:space="preserve">CWG-SFP-3/6; </w:t>
            </w:r>
            <w:r w:rsidRPr="00D83ADB">
              <w:rPr>
                <w:rFonts w:asciiTheme="minorHAnsi" w:hAnsiTheme="minorHAnsi"/>
                <w:i/>
                <w:szCs w:val="24"/>
              </w:rPr>
              <w:t xml:space="preserve">Doc. </w:t>
            </w:r>
            <w:r w:rsidRPr="00D83ADB">
              <w:rPr>
                <w:rFonts w:asciiTheme="minorHAnsi" w:hAnsiTheme="minorHAnsi"/>
                <w:i/>
                <w:iCs/>
                <w:szCs w:val="24"/>
              </w:rPr>
              <w:t>CWG-SFP-3/4</w:t>
            </w:r>
            <w:r w:rsidR="00E9562C">
              <w:rPr>
                <w:rFonts w:asciiTheme="minorHAnsi" w:hAnsiTheme="minorHAnsi"/>
                <w:i/>
                <w:iCs/>
                <w:szCs w:val="24"/>
              </w:rPr>
              <w:t>.</w:t>
            </w:r>
          </w:p>
        </w:tc>
      </w:tr>
    </w:tbl>
    <w:p w:rsidR="006505FA" w:rsidRPr="006505FA" w:rsidRDefault="006505FA" w:rsidP="006505FA">
      <w:pPr>
        <w:pStyle w:val="Heading1"/>
      </w:pPr>
      <w:r w:rsidRPr="006505FA">
        <w:t>1</w:t>
      </w:r>
      <w:r w:rsidRPr="006505FA">
        <w:tab/>
        <w:t>Introduction</w:t>
      </w:r>
    </w:p>
    <w:p w:rsidR="006505FA" w:rsidRPr="00D83ADB" w:rsidRDefault="006505FA" w:rsidP="006505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rPr>
          <w:rFonts w:asciiTheme="minorHAnsi" w:hAnsiTheme="minorHAnsi"/>
          <w:szCs w:val="24"/>
        </w:rPr>
      </w:pPr>
      <w:r w:rsidRPr="00D83ADB">
        <w:rPr>
          <w:rFonts w:asciiTheme="minorHAnsi" w:hAnsiTheme="minorHAnsi"/>
          <w:szCs w:val="24"/>
        </w:rPr>
        <w:t xml:space="preserve">Conformément au Document C17/123 du Conseil (§ 6.2), </w:t>
      </w:r>
      <w:r w:rsidRPr="00D83ADB">
        <w:rPr>
          <w:color w:val="000000"/>
        </w:rPr>
        <w:t>la structure et le contenu du Plan stratégique de l'UIT</w:t>
      </w:r>
      <w:r w:rsidRPr="00D83ADB">
        <w:rPr>
          <w:rFonts w:asciiTheme="minorHAnsi" w:hAnsiTheme="minorHAnsi"/>
          <w:szCs w:val="24"/>
        </w:rPr>
        <w:t xml:space="preserve"> pour la période 2020-2023 (Résolution 71 (Rév. Busan, 2014)</w:t>
      </w:r>
      <w:r w:rsidRPr="00D83ADB">
        <w:rPr>
          <w:color w:val="000000"/>
        </w:rPr>
        <w:t xml:space="preserve"> de la Conférence de plénipotentiaires)</w:t>
      </w:r>
      <w:r w:rsidRPr="00D83ADB">
        <w:rPr>
          <w:rFonts w:asciiTheme="minorHAnsi" w:hAnsiTheme="minorHAnsi"/>
          <w:szCs w:val="24"/>
        </w:rPr>
        <w:t xml:space="preserve"> sont modifiés, </w:t>
      </w:r>
      <w:r>
        <w:rPr>
          <w:rFonts w:asciiTheme="minorHAnsi" w:hAnsiTheme="minorHAnsi"/>
          <w:szCs w:val="24"/>
        </w:rPr>
        <w:t xml:space="preserve">de sorte </w:t>
      </w:r>
      <w:r w:rsidRPr="00D83ADB">
        <w:rPr>
          <w:rFonts w:asciiTheme="minorHAnsi" w:hAnsiTheme="minorHAnsi"/>
          <w:szCs w:val="24"/>
        </w:rPr>
        <w:t xml:space="preserve">qu'il est nécessaire de coordonner le texte de l'Annexe 3 "Glossaire de termes" (Doc. CWG-SFP-3/4) (ci-après "le Glossaire") </w:t>
      </w:r>
      <w:r>
        <w:rPr>
          <w:rFonts w:asciiTheme="minorHAnsi" w:hAnsiTheme="minorHAnsi"/>
          <w:szCs w:val="24"/>
        </w:rPr>
        <w:t>avec la version mise </w:t>
      </w:r>
      <w:r w:rsidRPr="00D83ADB">
        <w:rPr>
          <w:rFonts w:asciiTheme="minorHAnsi" w:hAnsiTheme="minorHAnsi"/>
          <w:szCs w:val="24"/>
        </w:rPr>
        <w:t>à jour de la Résolution 71, compte tenu des nouveaux termes figurant dans les D</w:t>
      </w:r>
      <w:r>
        <w:rPr>
          <w:rFonts w:asciiTheme="minorHAnsi" w:hAnsiTheme="minorHAnsi"/>
          <w:szCs w:val="24"/>
        </w:rPr>
        <w:t>ocuments </w:t>
      </w:r>
      <w:r w:rsidRPr="00D83ADB">
        <w:rPr>
          <w:rFonts w:asciiTheme="minorHAnsi" w:hAnsiTheme="minorHAnsi"/>
          <w:szCs w:val="24"/>
        </w:rPr>
        <w:t>CWG-SFP-3/7, CWG-SFP-3/5</w:t>
      </w:r>
      <w:r>
        <w:rPr>
          <w:rFonts w:asciiTheme="minorHAnsi" w:hAnsiTheme="minorHAnsi"/>
          <w:szCs w:val="24"/>
        </w:rPr>
        <w:t xml:space="preserve"> et</w:t>
      </w:r>
      <w:r w:rsidRPr="00D83ADB">
        <w:rPr>
          <w:rFonts w:asciiTheme="minorHAnsi" w:hAnsiTheme="minorHAnsi"/>
          <w:szCs w:val="24"/>
        </w:rPr>
        <w:t xml:space="preserve"> CWG-SFP-3/6, qui sont susceptibles d'être ut</w:t>
      </w:r>
      <w:r>
        <w:rPr>
          <w:rFonts w:asciiTheme="minorHAnsi" w:hAnsiTheme="minorHAnsi"/>
          <w:szCs w:val="24"/>
        </w:rPr>
        <w:t>ilisés dans </w:t>
      </w:r>
      <w:r w:rsidRPr="00D83ADB">
        <w:rPr>
          <w:rFonts w:asciiTheme="minorHAnsi" w:hAnsiTheme="minorHAnsi"/>
          <w:szCs w:val="24"/>
        </w:rPr>
        <w:t xml:space="preserve">le projet de Résolution 71 (Rév. </w:t>
      </w:r>
      <w:r>
        <w:rPr>
          <w:rFonts w:asciiTheme="minorHAnsi" w:hAnsiTheme="minorHAnsi"/>
          <w:szCs w:val="24"/>
        </w:rPr>
        <w:t>Dubaï</w:t>
      </w:r>
      <w:r w:rsidRPr="00D83ADB">
        <w:rPr>
          <w:rFonts w:asciiTheme="minorHAnsi" w:hAnsiTheme="minorHAnsi"/>
          <w:szCs w:val="24"/>
        </w:rPr>
        <w:t>, 201</w:t>
      </w:r>
      <w:r>
        <w:rPr>
          <w:rFonts w:asciiTheme="minorHAnsi" w:hAnsiTheme="minorHAnsi"/>
          <w:szCs w:val="24"/>
        </w:rPr>
        <w:t>8</w:t>
      </w:r>
      <w:r w:rsidRPr="00D83ADB">
        <w:rPr>
          <w:rFonts w:asciiTheme="minorHAnsi" w:hAnsiTheme="minorHAnsi"/>
          <w:szCs w:val="24"/>
        </w:rPr>
        <w:t xml:space="preserve">). </w:t>
      </w:r>
    </w:p>
    <w:p w:rsidR="006505FA" w:rsidRDefault="006505FA" w:rsidP="006505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Cs w:val="24"/>
        </w:rPr>
      </w:pPr>
      <w:r>
        <w:rPr>
          <w:rFonts w:asciiTheme="minorHAnsi" w:eastAsiaTheme="minorHAnsi" w:hAnsiTheme="minorHAnsi" w:cstheme="minorBidi"/>
          <w:szCs w:val="24"/>
        </w:rPr>
        <w:br w:type="page"/>
      </w:r>
    </w:p>
    <w:p w:rsidR="006505FA" w:rsidRPr="00D83ADB" w:rsidRDefault="006505FA" w:rsidP="006505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Cs w:val="24"/>
        </w:rPr>
      </w:pPr>
      <w:r w:rsidRPr="00D83ADB">
        <w:rPr>
          <w:rFonts w:asciiTheme="minorHAnsi" w:eastAsiaTheme="minorHAnsi" w:hAnsiTheme="minorHAnsi" w:cstheme="minorBidi"/>
          <w:szCs w:val="24"/>
        </w:rPr>
        <w:lastRenderedPageBreak/>
        <w:t>Les textes figurant dans les Documents CWG-SFP-3/7, CWG-SFP-3/5</w:t>
      </w:r>
      <w:r>
        <w:rPr>
          <w:rFonts w:asciiTheme="minorHAnsi" w:eastAsiaTheme="minorHAnsi" w:hAnsiTheme="minorHAnsi" w:cstheme="minorBidi"/>
          <w:szCs w:val="24"/>
        </w:rPr>
        <w:t xml:space="preserve"> et</w:t>
      </w:r>
      <w:r w:rsidRPr="00D83ADB">
        <w:rPr>
          <w:rFonts w:asciiTheme="minorHAnsi" w:eastAsiaTheme="minorHAnsi" w:hAnsiTheme="minorHAnsi" w:cstheme="minorBidi"/>
          <w:szCs w:val="24"/>
        </w:rPr>
        <w:t xml:space="preserve"> CWG-SFP-3/6 ont été considérablement améliorés (davantage de concision, moins de redondances avec d'autres documents de l'UIT) par rapport à ceux qui figurent dans la Résolution 71 (Rév. Busan</w:t>
      </w:r>
      <w:r>
        <w:rPr>
          <w:rFonts w:asciiTheme="minorHAnsi" w:eastAsiaTheme="minorHAnsi" w:hAnsiTheme="minorHAnsi" w:cstheme="minorBidi"/>
          <w:szCs w:val="24"/>
        </w:rPr>
        <w:t>,</w:t>
      </w:r>
      <w:r w:rsidRPr="00D83ADB">
        <w:rPr>
          <w:rFonts w:asciiTheme="minorHAnsi" w:eastAsiaTheme="minorHAnsi" w:hAnsiTheme="minorHAnsi" w:cstheme="minorBidi"/>
          <w:szCs w:val="24"/>
        </w:rPr>
        <w:t xml:space="preserve"> 2014) et ses Annexes. </w:t>
      </w:r>
      <w:r>
        <w:rPr>
          <w:rFonts w:asciiTheme="minorHAnsi" w:eastAsiaTheme="minorHAnsi" w:hAnsiTheme="minorHAnsi" w:cstheme="minorBidi"/>
          <w:szCs w:val="24"/>
        </w:rPr>
        <w:t>Cela étant</w:t>
      </w:r>
      <w:r w:rsidRPr="00D83ADB">
        <w:rPr>
          <w:rFonts w:asciiTheme="minorHAnsi" w:eastAsiaTheme="minorHAnsi" w:hAnsiTheme="minorHAnsi" w:cstheme="minorBidi"/>
          <w:szCs w:val="24"/>
        </w:rPr>
        <w:t xml:space="preserve">, pour </w:t>
      </w:r>
      <w:r>
        <w:rPr>
          <w:rFonts w:asciiTheme="minorHAnsi" w:eastAsiaTheme="minorHAnsi" w:hAnsiTheme="minorHAnsi" w:cstheme="minorBidi"/>
          <w:szCs w:val="24"/>
        </w:rPr>
        <w:t xml:space="preserve">lever </w:t>
      </w:r>
      <w:r w:rsidRPr="00D83ADB">
        <w:rPr>
          <w:rFonts w:asciiTheme="minorHAnsi" w:eastAsiaTheme="minorHAnsi" w:hAnsiTheme="minorHAnsi" w:cstheme="minorBidi"/>
          <w:szCs w:val="24"/>
        </w:rPr>
        <w:t>toute ambiguïté dans l'interprétation de</w:t>
      </w:r>
      <w:r>
        <w:rPr>
          <w:rFonts w:asciiTheme="minorHAnsi" w:eastAsiaTheme="minorHAnsi" w:hAnsiTheme="minorHAnsi" w:cstheme="minorBidi"/>
          <w:szCs w:val="24"/>
        </w:rPr>
        <w:t>s</w:t>
      </w:r>
      <w:r w:rsidRPr="00D83ADB">
        <w:rPr>
          <w:rFonts w:asciiTheme="minorHAnsi" w:eastAsiaTheme="minorHAnsi" w:hAnsiTheme="minorHAnsi" w:cstheme="minorBidi"/>
          <w:szCs w:val="24"/>
        </w:rPr>
        <w:t xml:space="preserve"> dispositions importantes du projet de Résolution 71 et de ses Annexes, la Fédération de Russie a élaboré une série de propositions concernant le Doc</w:t>
      </w:r>
      <w:r>
        <w:rPr>
          <w:rFonts w:asciiTheme="minorHAnsi" w:eastAsiaTheme="minorHAnsi" w:hAnsiTheme="minorHAnsi" w:cstheme="minorBidi"/>
          <w:szCs w:val="24"/>
        </w:rPr>
        <w:t>ument</w:t>
      </w:r>
      <w:r w:rsidRPr="00D83ADB">
        <w:rPr>
          <w:rFonts w:asciiTheme="minorHAnsi" w:eastAsiaTheme="minorHAnsi" w:hAnsiTheme="minorHAnsi" w:cstheme="minorBidi"/>
          <w:szCs w:val="24"/>
        </w:rPr>
        <w:t xml:space="preserve"> CWG-SFP-3/4 en vue de mener d'autres consultations publiques sur les définitions des principaux termes qu'il est proposé d'utiliser dans le projet de Plan stratégique de l'UIT pour la période 2020-2023.</w:t>
      </w:r>
    </w:p>
    <w:p w:rsidR="006505FA" w:rsidRPr="006505FA" w:rsidRDefault="006505FA" w:rsidP="006505FA">
      <w:pPr>
        <w:pStyle w:val="Heading1"/>
        <w:rPr>
          <w:rFonts w:eastAsiaTheme="minorHAnsi"/>
        </w:rPr>
      </w:pPr>
      <w:r>
        <w:rPr>
          <w:rFonts w:eastAsiaTheme="minorHAnsi"/>
        </w:rPr>
        <w:t>2</w:t>
      </w:r>
      <w:r>
        <w:rPr>
          <w:rFonts w:eastAsiaTheme="minorHAnsi"/>
        </w:rPr>
        <w:tab/>
      </w:r>
      <w:r w:rsidRPr="006505FA">
        <w:rPr>
          <w:rFonts w:eastAsiaTheme="minorHAnsi"/>
        </w:rPr>
        <w:t>Propositions</w:t>
      </w:r>
    </w:p>
    <w:p w:rsidR="006505FA" w:rsidRPr="00D83ADB" w:rsidRDefault="006505FA" w:rsidP="006505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Cs w:val="24"/>
        </w:rPr>
      </w:pPr>
      <w:r w:rsidRPr="00D83ADB">
        <w:rPr>
          <w:rFonts w:asciiTheme="minorHAnsi" w:eastAsiaTheme="minorHAnsi" w:hAnsiTheme="minorHAnsi" w:cstheme="minorBidi"/>
          <w:szCs w:val="24"/>
        </w:rPr>
        <w:t>2.1</w:t>
      </w:r>
      <w:r w:rsidRPr="00D83ADB">
        <w:rPr>
          <w:rFonts w:asciiTheme="minorHAnsi" w:eastAsiaTheme="minorHAnsi" w:hAnsiTheme="minorHAnsi" w:cstheme="minorBidi"/>
          <w:szCs w:val="24"/>
        </w:rPr>
        <w:tab/>
        <w:t xml:space="preserve">Il est proposé d'ajouter dans le Glossaire tous les nouveaux termes qui </w:t>
      </w:r>
      <w:r>
        <w:rPr>
          <w:rFonts w:asciiTheme="minorHAnsi" w:eastAsiaTheme="minorHAnsi" w:hAnsiTheme="minorHAnsi" w:cstheme="minorBidi"/>
          <w:szCs w:val="24"/>
        </w:rPr>
        <w:t xml:space="preserve">figurent </w:t>
      </w:r>
      <w:r w:rsidRPr="00D83ADB">
        <w:rPr>
          <w:rFonts w:asciiTheme="minorHAnsi" w:eastAsiaTheme="minorHAnsi" w:hAnsiTheme="minorHAnsi" w:cstheme="minorBidi"/>
          <w:szCs w:val="24"/>
        </w:rPr>
        <w:t xml:space="preserve">(ou </w:t>
      </w:r>
      <w:r>
        <w:rPr>
          <w:rFonts w:asciiTheme="minorHAnsi" w:eastAsiaTheme="minorHAnsi" w:hAnsiTheme="minorHAnsi" w:cstheme="minorBidi"/>
          <w:szCs w:val="24"/>
        </w:rPr>
        <w:t xml:space="preserve">sont susceptibles de figurer </w:t>
      </w:r>
      <w:r w:rsidRPr="00D83ADB">
        <w:rPr>
          <w:rFonts w:asciiTheme="minorHAnsi" w:eastAsiaTheme="minorHAnsi" w:hAnsiTheme="minorHAnsi" w:cstheme="minorBidi"/>
          <w:szCs w:val="24"/>
        </w:rPr>
        <w:t xml:space="preserve">ultérieurement) dans le projet de Résolution 71 et ses Annexes, </w:t>
      </w:r>
      <w:r>
        <w:rPr>
          <w:rFonts w:asciiTheme="minorHAnsi" w:eastAsiaTheme="minorHAnsi" w:hAnsiTheme="minorHAnsi" w:cstheme="minorBidi"/>
          <w:szCs w:val="24"/>
        </w:rPr>
        <w:t xml:space="preserve">dans la mesure où </w:t>
      </w:r>
      <w:r w:rsidRPr="00D83ADB">
        <w:rPr>
          <w:rFonts w:asciiTheme="minorHAnsi" w:eastAsiaTheme="minorHAnsi" w:hAnsiTheme="minorHAnsi" w:cstheme="minorBidi"/>
          <w:szCs w:val="24"/>
        </w:rPr>
        <w:t>ils sont importants pour la compréhension correcte du texte de la future Résolution 71 et doivent donc être interprétés raisonnablement et clairement.</w:t>
      </w:r>
    </w:p>
    <w:p w:rsidR="006505FA" w:rsidRPr="00D83ADB" w:rsidRDefault="006505FA" w:rsidP="006505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Cs w:val="24"/>
        </w:rPr>
      </w:pPr>
      <w:r w:rsidRPr="00D83ADB">
        <w:rPr>
          <w:rFonts w:asciiTheme="minorHAnsi" w:eastAsiaTheme="minorHAnsi" w:hAnsiTheme="minorHAnsi" w:cstheme="minorBidi"/>
          <w:szCs w:val="24"/>
        </w:rPr>
        <w:t>2.2</w:t>
      </w:r>
      <w:r w:rsidRPr="00D83ADB">
        <w:rPr>
          <w:rFonts w:asciiTheme="minorHAnsi" w:eastAsiaTheme="minorHAnsi" w:hAnsiTheme="minorHAnsi" w:cstheme="minorBidi"/>
          <w:szCs w:val="24"/>
        </w:rPr>
        <w:tab/>
        <w:t>Il est proposé de conserver l'ordre alphabétique des termes anglais dans le Glossaire. Après traduction de</w:t>
      </w:r>
      <w:r>
        <w:rPr>
          <w:rFonts w:asciiTheme="minorHAnsi" w:eastAsiaTheme="minorHAnsi" w:hAnsiTheme="minorHAnsi" w:cstheme="minorBidi"/>
          <w:szCs w:val="24"/>
        </w:rPr>
        <w:t xml:space="preserve"> ce</w:t>
      </w:r>
      <w:r w:rsidRPr="00D83ADB">
        <w:rPr>
          <w:rFonts w:asciiTheme="minorHAnsi" w:eastAsiaTheme="minorHAnsi" w:hAnsiTheme="minorHAnsi" w:cstheme="minorBidi"/>
          <w:szCs w:val="24"/>
        </w:rPr>
        <w:t>s termes dans les autres langues officielles de l'UIT, l'ordre alphabétique serait modifié; il est donc proposé de faire figurer les termes anglais correspondants entre parenthèses.</w:t>
      </w:r>
    </w:p>
    <w:p w:rsidR="006505FA" w:rsidRPr="00D83ADB" w:rsidRDefault="006505FA" w:rsidP="006505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4"/>
        </w:rPr>
      </w:pPr>
      <w:r w:rsidRPr="00D83ADB">
        <w:rPr>
          <w:rFonts w:asciiTheme="minorHAnsi" w:eastAsiaTheme="minorHAnsi" w:hAnsiTheme="minorHAnsi" w:cstheme="minorBidi"/>
          <w:szCs w:val="24"/>
        </w:rPr>
        <w:t>2.3</w:t>
      </w:r>
      <w:r w:rsidRPr="00D83ADB">
        <w:rPr>
          <w:rFonts w:asciiTheme="minorHAnsi" w:eastAsiaTheme="minorHAnsi" w:hAnsiTheme="minorHAnsi" w:cstheme="minorBidi"/>
          <w:szCs w:val="24"/>
        </w:rPr>
        <w:tab/>
        <w:t xml:space="preserve">Il est proposé d'exclure différents ajouts </w:t>
      </w:r>
      <w:r>
        <w:rPr>
          <w:rFonts w:asciiTheme="minorHAnsi" w:eastAsiaTheme="minorHAnsi" w:hAnsiTheme="minorHAnsi" w:cstheme="minorBidi"/>
          <w:szCs w:val="24"/>
        </w:rPr>
        <w:t xml:space="preserve">pour les </w:t>
      </w:r>
      <w:r w:rsidRPr="00D83ADB">
        <w:rPr>
          <w:rFonts w:asciiTheme="minorHAnsi" w:eastAsiaTheme="minorHAnsi" w:hAnsiTheme="minorHAnsi" w:cstheme="minorBidi"/>
          <w:szCs w:val="24"/>
        </w:rPr>
        <w:t>mêmes termes dans le texte futur de la Résolution 71 et de ses Annexes, s'il y a lieu. Dans le cas contraire, il serait difficile d'étudier le</w:t>
      </w:r>
      <w:r>
        <w:rPr>
          <w:rFonts w:asciiTheme="minorHAnsi" w:eastAsiaTheme="minorHAnsi" w:hAnsiTheme="minorHAnsi" w:cstheme="minorBidi"/>
          <w:szCs w:val="24"/>
        </w:rPr>
        <w:t>s</w:t>
      </w:r>
      <w:r w:rsidRPr="00D83ADB">
        <w:rPr>
          <w:rFonts w:asciiTheme="minorHAnsi" w:eastAsiaTheme="minorHAnsi" w:hAnsiTheme="minorHAnsi" w:cstheme="minorBidi"/>
          <w:szCs w:val="24"/>
        </w:rPr>
        <w:t xml:space="preserve"> </w:t>
      </w:r>
      <w:r>
        <w:rPr>
          <w:rFonts w:asciiTheme="minorHAnsi" w:eastAsiaTheme="minorHAnsi" w:hAnsiTheme="minorHAnsi" w:cstheme="minorBidi"/>
          <w:szCs w:val="24"/>
        </w:rPr>
        <w:t xml:space="preserve">versions </w:t>
      </w:r>
      <w:r w:rsidRPr="00D83ADB">
        <w:rPr>
          <w:rFonts w:asciiTheme="minorHAnsi" w:eastAsiaTheme="minorHAnsi" w:hAnsiTheme="minorHAnsi" w:cstheme="minorBidi"/>
          <w:szCs w:val="24"/>
        </w:rPr>
        <w:t xml:space="preserve">de la Résolution 71 dans les autres langues officielles de l'Union </w:t>
      </w:r>
      <w:r>
        <w:rPr>
          <w:rFonts w:asciiTheme="minorHAnsi" w:eastAsiaTheme="minorHAnsi" w:hAnsiTheme="minorHAnsi" w:cstheme="minorBidi"/>
          <w:szCs w:val="24"/>
        </w:rPr>
        <w:t xml:space="preserve">pour lesquelles </w:t>
      </w:r>
      <w:r w:rsidRPr="00D83ADB">
        <w:rPr>
          <w:rFonts w:asciiTheme="minorHAnsi" w:eastAsiaTheme="minorHAnsi" w:hAnsiTheme="minorHAnsi" w:cstheme="minorBidi"/>
          <w:szCs w:val="24"/>
        </w:rPr>
        <w:t xml:space="preserve">les termes </w:t>
      </w:r>
      <w:r>
        <w:rPr>
          <w:rFonts w:asciiTheme="minorHAnsi" w:eastAsiaTheme="minorHAnsi" w:hAnsiTheme="minorHAnsi" w:cstheme="minorBidi"/>
          <w:szCs w:val="24"/>
        </w:rPr>
        <w:t xml:space="preserve">pourraient </w:t>
      </w:r>
      <w:r w:rsidRPr="00D83ADB">
        <w:rPr>
          <w:rFonts w:asciiTheme="minorHAnsi" w:eastAsiaTheme="minorHAnsi" w:hAnsiTheme="minorHAnsi" w:cstheme="minorBidi"/>
          <w:szCs w:val="24"/>
        </w:rPr>
        <w:t xml:space="preserve">ne </w:t>
      </w:r>
      <w:r>
        <w:rPr>
          <w:rFonts w:asciiTheme="minorHAnsi" w:eastAsiaTheme="minorHAnsi" w:hAnsiTheme="minorHAnsi" w:cstheme="minorBidi"/>
          <w:szCs w:val="24"/>
        </w:rPr>
        <w:t xml:space="preserve">pas correspondre précisément </w:t>
      </w:r>
      <w:r w:rsidRPr="00D83ADB">
        <w:rPr>
          <w:rFonts w:asciiTheme="minorHAnsi" w:eastAsiaTheme="minorHAnsi" w:hAnsiTheme="minorHAnsi" w:cstheme="minorBidi"/>
          <w:szCs w:val="24"/>
        </w:rPr>
        <w:t xml:space="preserve">aux termes anglais. </w:t>
      </w:r>
    </w:p>
    <w:p w:rsidR="006505FA" w:rsidRPr="00D83ADB" w:rsidRDefault="006505FA" w:rsidP="006505F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/>
          <w:szCs w:val="24"/>
        </w:rPr>
      </w:pPr>
      <w:r w:rsidRPr="00D83ADB">
        <w:rPr>
          <w:rFonts w:asciiTheme="minorHAnsi" w:hAnsiTheme="minorHAnsi"/>
          <w:szCs w:val="24"/>
        </w:rPr>
        <w:t>Pour une bonne compréhension du contenu des Documents CWG-SFP-3/7, CWG-SFP-3/5</w:t>
      </w:r>
      <w:r>
        <w:rPr>
          <w:rFonts w:asciiTheme="minorHAnsi" w:hAnsiTheme="minorHAnsi"/>
          <w:szCs w:val="24"/>
        </w:rPr>
        <w:t xml:space="preserve"> et CWG</w:t>
      </w:r>
      <w:r>
        <w:rPr>
          <w:rFonts w:asciiTheme="minorHAnsi" w:hAnsiTheme="minorHAnsi"/>
          <w:szCs w:val="24"/>
        </w:rPr>
        <w:noBreakHyphen/>
      </w:r>
      <w:r w:rsidRPr="00D83ADB">
        <w:rPr>
          <w:rFonts w:asciiTheme="minorHAnsi" w:hAnsiTheme="minorHAnsi"/>
          <w:szCs w:val="24"/>
        </w:rPr>
        <w:t xml:space="preserve">SFP-3/6, il est proposé de bien faire la distinction entre des termes tels que: </w:t>
      </w:r>
      <w:r w:rsidRPr="00D83ADB">
        <w:rPr>
          <w:rFonts w:asciiTheme="minorHAnsi" w:hAnsiTheme="minorHAnsi"/>
          <w:i/>
          <w:szCs w:val="24"/>
        </w:rPr>
        <w:t>membres</w:t>
      </w:r>
      <w:r w:rsidRPr="00D83ADB">
        <w:rPr>
          <w:rFonts w:asciiTheme="minorHAnsi" w:hAnsiTheme="minorHAnsi"/>
          <w:szCs w:val="24"/>
        </w:rPr>
        <w:t>,</w:t>
      </w:r>
      <w:r w:rsidRPr="00D83ADB">
        <w:rPr>
          <w:rFonts w:asciiTheme="minorHAnsi" w:eastAsiaTheme="minorHAnsi" w:hAnsiTheme="minorHAnsi" w:cstheme="minorBidi"/>
          <w:szCs w:val="24"/>
        </w:rPr>
        <w:t xml:space="preserve"> </w:t>
      </w:r>
      <w:r w:rsidRPr="00D83ADB">
        <w:rPr>
          <w:rFonts w:asciiTheme="minorHAnsi" w:eastAsiaTheme="minorHAnsi" w:hAnsiTheme="minorHAnsi" w:cstheme="minorBidi"/>
          <w:i/>
          <w:iCs/>
          <w:szCs w:val="24"/>
        </w:rPr>
        <w:t>membres de l'UIT</w:t>
      </w:r>
      <w:r w:rsidRPr="00D83ADB">
        <w:rPr>
          <w:rFonts w:asciiTheme="minorHAnsi" w:eastAsiaTheme="minorHAnsi" w:hAnsiTheme="minorHAnsi" w:cstheme="minorBidi"/>
          <w:szCs w:val="24"/>
        </w:rPr>
        <w:t xml:space="preserve">, </w:t>
      </w:r>
      <w:r w:rsidRPr="00D83ADB">
        <w:rPr>
          <w:rFonts w:asciiTheme="minorHAnsi" w:hAnsiTheme="minorHAnsi"/>
          <w:i/>
          <w:szCs w:val="24"/>
        </w:rPr>
        <w:t>parties prenantes</w:t>
      </w:r>
      <w:r w:rsidRPr="00D83ADB">
        <w:rPr>
          <w:rFonts w:asciiTheme="minorHAnsi" w:hAnsiTheme="minorHAnsi"/>
          <w:szCs w:val="24"/>
        </w:rPr>
        <w:t xml:space="preserve">, </w:t>
      </w:r>
      <w:r w:rsidRPr="00D83ADB">
        <w:rPr>
          <w:rFonts w:asciiTheme="minorHAnsi" w:hAnsiTheme="minorHAnsi"/>
          <w:i/>
          <w:szCs w:val="24"/>
        </w:rPr>
        <w:t>autres parties prenantes</w:t>
      </w:r>
      <w:r w:rsidRPr="00D83ADB">
        <w:rPr>
          <w:rFonts w:asciiTheme="minorHAnsi" w:hAnsiTheme="minorHAnsi"/>
          <w:szCs w:val="24"/>
        </w:rPr>
        <w:t xml:space="preserve">, </w:t>
      </w:r>
      <w:r w:rsidRPr="00D83ADB">
        <w:rPr>
          <w:rFonts w:asciiTheme="minorHAnsi" w:hAnsiTheme="minorHAnsi"/>
          <w:i/>
          <w:iCs/>
          <w:szCs w:val="24"/>
        </w:rPr>
        <w:t>principales parties prenantes</w:t>
      </w:r>
      <w:r w:rsidRPr="00D83ADB">
        <w:rPr>
          <w:rFonts w:asciiTheme="minorHAnsi" w:hAnsiTheme="minorHAnsi"/>
          <w:szCs w:val="24"/>
        </w:rPr>
        <w:t xml:space="preserve">, </w:t>
      </w:r>
      <w:r w:rsidRPr="00D83ADB">
        <w:rPr>
          <w:rFonts w:asciiTheme="minorHAnsi" w:hAnsiTheme="minorHAnsi"/>
          <w:i/>
          <w:szCs w:val="24"/>
        </w:rPr>
        <w:t>toutes les parties prenantes; parties prenantes concernées; membres et parties prenantes,</w:t>
      </w:r>
      <w:r w:rsidRPr="00D83ADB">
        <w:rPr>
          <w:rFonts w:asciiTheme="minorHAnsi" w:hAnsiTheme="minorHAnsi"/>
          <w:szCs w:val="24"/>
        </w:rPr>
        <w:t xml:space="preserve"> </w:t>
      </w:r>
      <w:r w:rsidRPr="00D83ADB">
        <w:rPr>
          <w:rFonts w:asciiTheme="minorHAnsi" w:hAnsiTheme="minorHAnsi"/>
          <w:i/>
          <w:szCs w:val="24"/>
        </w:rPr>
        <w:t>membres et autres parties prenantes; partenaires, tout partenaire, autres partenaires concernés; autres acteurs</w:t>
      </w:r>
      <w:r w:rsidRPr="00D83ADB">
        <w:rPr>
          <w:rFonts w:asciiTheme="minorHAnsi" w:hAnsiTheme="minorHAnsi"/>
          <w:szCs w:val="24"/>
        </w:rPr>
        <w:t>, etc.</w:t>
      </w:r>
      <w:r>
        <w:rPr>
          <w:rFonts w:asciiTheme="minorHAnsi" w:hAnsiTheme="minorHAnsi"/>
          <w:szCs w:val="24"/>
        </w:rPr>
        <w:t>,</w:t>
      </w:r>
      <w:r w:rsidRPr="00D83ADB">
        <w:rPr>
          <w:rFonts w:asciiTheme="minorHAnsi" w:hAnsiTheme="minorHAnsi"/>
          <w:szCs w:val="24"/>
        </w:rPr>
        <w:t xml:space="preserve"> et de faire figurer les définitions correspondantes dans le Glossaire. Il est souhaitable d'assurer la cohérence terminologique pour les trois Secteurs et le Secrétariat général dans les trois documents.</w:t>
      </w:r>
    </w:p>
    <w:p w:rsidR="006505FA" w:rsidRPr="00D83ADB" w:rsidRDefault="006505FA" w:rsidP="006505F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Bidi"/>
          <w:szCs w:val="24"/>
        </w:rPr>
      </w:pPr>
      <w:r w:rsidRPr="00D83ADB">
        <w:rPr>
          <w:rFonts w:asciiTheme="minorHAnsi" w:eastAsiaTheme="minorHAnsi" w:hAnsiTheme="minorHAnsi" w:cstheme="minorBidi"/>
          <w:szCs w:val="24"/>
        </w:rPr>
        <w:t>2.4</w:t>
      </w:r>
      <w:r w:rsidRPr="00D83ADB">
        <w:rPr>
          <w:rFonts w:asciiTheme="minorHAnsi" w:eastAsiaTheme="minorHAnsi" w:hAnsiTheme="minorHAnsi" w:cstheme="minorBidi"/>
          <w:szCs w:val="24"/>
        </w:rPr>
        <w:tab/>
        <w:t>En outre, les textes édités des Documents CWG-SFP-3/7, CWG-SFP-3/5 et CWG-SFP-3/6 devraient continuer de faire référence aux autres</w:t>
      </w:r>
      <w:bookmarkStart w:id="8" w:name="_GoBack"/>
      <w:bookmarkEnd w:id="8"/>
      <w:r w:rsidRPr="00D83ADB">
        <w:rPr>
          <w:rFonts w:asciiTheme="minorHAnsi" w:eastAsiaTheme="minorHAnsi" w:hAnsiTheme="minorHAnsi" w:cstheme="minorBidi"/>
          <w:szCs w:val="24"/>
        </w:rPr>
        <w:t xml:space="preserve"> documents qui y sont mentionnés concernant notamment l'usage des termes, abréviations, n</w:t>
      </w:r>
      <w:r>
        <w:rPr>
          <w:rFonts w:asciiTheme="minorHAnsi" w:eastAsiaTheme="minorHAnsi" w:hAnsiTheme="minorHAnsi" w:cstheme="minorBidi"/>
          <w:szCs w:val="24"/>
        </w:rPr>
        <w:t>oms des événements et de</w:t>
      </w:r>
      <w:r w:rsidRPr="00D83ADB">
        <w:rPr>
          <w:rFonts w:asciiTheme="minorHAnsi" w:eastAsiaTheme="minorHAnsi" w:hAnsiTheme="minorHAnsi" w:cstheme="minorBidi"/>
          <w:szCs w:val="24"/>
        </w:rPr>
        <w:t>s</w:t>
      </w:r>
      <w:r>
        <w:rPr>
          <w:rFonts w:asciiTheme="minorHAnsi" w:eastAsiaTheme="minorHAnsi" w:hAnsiTheme="minorHAnsi" w:cstheme="minorBidi"/>
          <w:szCs w:val="24"/>
        </w:rPr>
        <w:t xml:space="preserve"> </w:t>
      </w:r>
      <w:r w:rsidRPr="00D83ADB">
        <w:rPr>
          <w:rFonts w:asciiTheme="minorHAnsi" w:eastAsiaTheme="minorHAnsi" w:hAnsiTheme="minorHAnsi" w:cstheme="minorBidi"/>
          <w:szCs w:val="24"/>
        </w:rPr>
        <w:t xml:space="preserve">programmes, etc., sous la forme d'hyperliens, sans </w:t>
      </w:r>
      <w:r>
        <w:rPr>
          <w:rFonts w:asciiTheme="minorHAnsi" w:eastAsiaTheme="minorHAnsi" w:hAnsiTheme="minorHAnsi" w:cstheme="minorBidi"/>
          <w:szCs w:val="24"/>
        </w:rPr>
        <w:t xml:space="preserve">que </w:t>
      </w:r>
      <w:r w:rsidRPr="00D83ADB">
        <w:rPr>
          <w:rFonts w:asciiTheme="minorHAnsi" w:eastAsiaTheme="minorHAnsi" w:hAnsiTheme="minorHAnsi" w:cstheme="minorBidi"/>
          <w:szCs w:val="24"/>
        </w:rPr>
        <w:t xml:space="preserve">les définitions correspondantes </w:t>
      </w:r>
      <w:r>
        <w:rPr>
          <w:rFonts w:asciiTheme="minorHAnsi" w:eastAsiaTheme="minorHAnsi" w:hAnsiTheme="minorHAnsi" w:cstheme="minorBidi"/>
          <w:szCs w:val="24"/>
        </w:rPr>
        <w:t xml:space="preserve">ne soient incluses </w:t>
      </w:r>
      <w:r w:rsidRPr="00D83ADB">
        <w:rPr>
          <w:rFonts w:asciiTheme="minorHAnsi" w:eastAsiaTheme="minorHAnsi" w:hAnsiTheme="minorHAnsi" w:cstheme="minorBidi"/>
          <w:szCs w:val="24"/>
        </w:rPr>
        <w:t>dans le Glossaire de termes (CWG-SFP-3/4).</w:t>
      </w:r>
    </w:p>
    <w:p w:rsidR="006505FA" w:rsidRDefault="006505FA" w:rsidP="006505FA">
      <w:pPr>
        <w:rPr>
          <w:rFonts w:asciiTheme="minorHAnsi" w:eastAsiaTheme="minorHAnsi" w:hAnsiTheme="minorHAnsi" w:cstheme="minorBidi"/>
          <w:szCs w:val="24"/>
        </w:rPr>
      </w:pPr>
      <w:r w:rsidRPr="00D83ADB">
        <w:rPr>
          <w:rFonts w:asciiTheme="minorHAnsi" w:eastAsiaTheme="minorHAnsi" w:hAnsiTheme="minorHAnsi" w:cstheme="minorBidi"/>
          <w:szCs w:val="24"/>
        </w:rPr>
        <w:t>2.5</w:t>
      </w:r>
      <w:r w:rsidRPr="00D83ADB">
        <w:rPr>
          <w:rFonts w:asciiTheme="minorHAnsi" w:eastAsiaTheme="minorHAnsi" w:hAnsiTheme="minorHAnsi" w:cstheme="minorBidi"/>
          <w:szCs w:val="24"/>
        </w:rPr>
        <w:tab/>
        <w:t xml:space="preserve">Il est proposé que, dans le cadre des travaux terminologiques relatifs à la Résolution 71 et ses </w:t>
      </w:r>
      <w:r>
        <w:rPr>
          <w:rFonts w:asciiTheme="minorHAnsi" w:eastAsiaTheme="minorHAnsi" w:hAnsiTheme="minorHAnsi" w:cstheme="minorBidi"/>
          <w:szCs w:val="24"/>
        </w:rPr>
        <w:t>A</w:t>
      </w:r>
      <w:r w:rsidRPr="00D83ADB">
        <w:rPr>
          <w:rFonts w:asciiTheme="minorHAnsi" w:eastAsiaTheme="minorHAnsi" w:hAnsiTheme="minorHAnsi" w:cstheme="minorBidi"/>
          <w:szCs w:val="24"/>
        </w:rPr>
        <w:t>nnexes, il soit fait appel au Comité de coordination de l'UIT pour la terminologie (CCT de l'UIT) (Résolution 1386, Conseil à sa session de 2017) pour mener des consultations, et que les termes approuvés soient insérés dans la base de données en ligne des termes et définitions de l'UIT.</w:t>
      </w:r>
    </w:p>
    <w:p w:rsidR="006505FA" w:rsidRDefault="006505FA" w:rsidP="006505FA"/>
    <w:p w:rsidR="000002C9" w:rsidRPr="004F1649" w:rsidRDefault="00F54F23" w:rsidP="006505FA">
      <w:pPr>
        <w:jc w:val="center"/>
      </w:pPr>
      <w:r w:rsidRPr="004F1649">
        <w:t>______________</w:t>
      </w:r>
    </w:p>
    <w:sectPr w:rsidR="000002C9" w:rsidRPr="004F1649" w:rsidSect="006A697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69" w:rsidRDefault="003F6C69">
      <w:r>
        <w:separator/>
      </w:r>
    </w:p>
  </w:endnote>
  <w:endnote w:type="continuationSeparator" w:id="0">
    <w:p w:rsidR="003F6C69" w:rsidRDefault="003F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69" w:rsidRPr="001B2D93" w:rsidRDefault="003F6C69">
    <w:pPr>
      <w:pStyle w:val="Footer"/>
      <w:rPr>
        <w:lang w:val="en-US"/>
      </w:rPr>
    </w:pPr>
    <w:r>
      <w:fldChar w:fldCharType="begin"/>
    </w:r>
    <w:r w:rsidRPr="001B2D93">
      <w:rPr>
        <w:lang w:val="en-US"/>
      </w:rPr>
      <w:instrText xml:space="preserve"> FILENAME \p \* MERGEFORMAT </w:instrText>
    </w:r>
    <w:r>
      <w:fldChar w:fldCharType="separate"/>
    </w:r>
    <w:r w:rsidR="006B2FE0">
      <w:rPr>
        <w:lang w:val="en-US"/>
      </w:rPr>
      <w:t>P:\FRA\SG\CONSEIL\CWG-SFP\CWG-SFP3\000\014F.docx</w:t>
    </w:r>
    <w:r>
      <w:fldChar w:fldCharType="end"/>
    </w:r>
    <w:r w:rsidRPr="001B2D9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E0098">
      <w:t>09.01.18</w:t>
    </w:r>
    <w:r>
      <w:fldChar w:fldCharType="end"/>
    </w:r>
    <w:r w:rsidRPr="001B2D9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2FE0">
      <w:t>09.01.18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69" w:rsidRPr="00B22860" w:rsidRDefault="003F6C69" w:rsidP="008843AC">
    <w:pPr>
      <w:pStyle w:val="Footer"/>
    </w:pPr>
    <w:r>
      <w:fldChar w:fldCharType="begin"/>
    </w:r>
    <w:r w:rsidRPr="00B22860">
      <w:instrText xml:space="preserve"> FILENAME \p \* MERGEFORMAT </w:instrText>
    </w:r>
    <w:r>
      <w:fldChar w:fldCharType="separate"/>
    </w:r>
    <w:r w:rsidR="006505FA">
      <w:t>P:\FRA\SG\CONSEIL\CWG-SFP\CWG-SFP3\000\012F.docx</w:t>
    </w:r>
    <w:r>
      <w:fldChar w:fldCharType="end"/>
    </w:r>
    <w:r w:rsidR="006505FA">
      <w:t xml:space="preserve"> (430381</w:t>
    </w:r>
    <w:r w:rsidRPr="00B22860">
      <w:t xml:space="preserve">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69" w:rsidRDefault="003F6C6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69" w:rsidRDefault="003F6C69">
      <w:r>
        <w:t>____________________</w:t>
      </w:r>
    </w:p>
  </w:footnote>
  <w:footnote w:type="continuationSeparator" w:id="0">
    <w:p w:rsidR="003F6C69" w:rsidRDefault="003F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69" w:rsidRDefault="003F6C69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3F6C69" w:rsidRDefault="003F6C69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69" w:rsidRDefault="003F6C69" w:rsidP="00515660">
    <w:pPr>
      <w:pStyle w:val="Header"/>
    </w:pPr>
    <w:r>
      <w:fldChar w:fldCharType="begin"/>
    </w:r>
    <w:r>
      <w:instrText>PAGE</w:instrText>
    </w:r>
    <w:r>
      <w:fldChar w:fldCharType="separate"/>
    </w:r>
    <w:r w:rsidR="006E009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02E"/>
    <w:multiLevelType w:val="multilevel"/>
    <w:tmpl w:val="49B03E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urche-Nazer, Anne-Marie">
    <w15:presenceInfo w15:providerId="AD" w15:userId="S-1-5-21-8740799-900759487-1415713722-3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FAFA86C-9FE2-4AFA-9E9E-6F44F3B74F59}"/>
    <w:docVar w:name="dgnword-eventsink" w:val="301578352"/>
  </w:docVars>
  <w:rsids>
    <w:rsidRoot w:val="0044407D"/>
    <w:rsid w:val="000002C9"/>
    <w:rsid w:val="000312FE"/>
    <w:rsid w:val="00033613"/>
    <w:rsid w:val="0004594B"/>
    <w:rsid w:val="0006001F"/>
    <w:rsid w:val="00083EF6"/>
    <w:rsid w:val="000D0D0A"/>
    <w:rsid w:val="000E2765"/>
    <w:rsid w:val="000F24F4"/>
    <w:rsid w:val="00103163"/>
    <w:rsid w:val="001101EF"/>
    <w:rsid w:val="00115D93"/>
    <w:rsid w:val="001179D8"/>
    <w:rsid w:val="001247A8"/>
    <w:rsid w:val="001378C0"/>
    <w:rsid w:val="0016160B"/>
    <w:rsid w:val="0018694A"/>
    <w:rsid w:val="00197210"/>
    <w:rsid w:val="001A304D"/>
    <w:rsid w:val="001A3287"/>
    <w:rsid w:val="001A6508"/>
    <w:rsid w:val="001B2D93"/>
    <w:rsid w:val="001D0B38"/>
    <w:rsid w:val="001D25EB"/>
    <w:rsid w:val="001D4C31"/>
    <w:rsid w:val="001E4A6B"/>
    <w:rsid w:val="001E4D21"/>
    <w:rsid w:val="001F16C6"/>
    <w:rsid w:val="00207CD1"/>
    <w:rsid w:val="00210C19"/>
    <w:rsid w:val="002118C8"/>
    <w:rsid w:val="002477A2"/>
    <w:rsid w:val="00263A51"/>
    <w:rsid w:val="00264E11"/>
    <w:rsid w:val="00267E02"/>
    <w:rsid w:val="002A0776"/>
    <w:rsid w:val="002A5D44"/>
    <w:rsid w:val="002E0BC4"/>
    <w:rsid w:val="002F1B76"/>
    <w:rsid w:val="00326E63"/>
    <w:rsid w:val="00355FF5"/>
    <w:rsid w:val="003561B4"/>
    <w:rsid w:val="00361350"/>
    <w:rsid w:val="003624EF"/>
    <w:rsid w:val="003B24ED"/>
    <w:rsid w:val="003B6DDD"/>
    <w:rsid w:val="003B7F06"/>
    <w:rsid w:val="003F2FC0"/>
    <w:rsid w:val="003F6C69"/>
    <w:rsid w:val="004038CB"/>
    <w:rsid w:val="0040546F"/>
    <w:rsid w:val="00415A40"/>
    <w:rsid w:val="0042404A"/>
    <w:rsid w:val="0044407D"/>
    <w:rsid w:val="0044618F"/>
    <w:rsid w:val="00456BC6"/>
    <w:rsid w:val="0046769A"/>
    <w:rsid w:val="00475FB3"/>
    <w:rsid w:val="004C2397"/>
    <w:rsid w:val="004C37A9"/>
    <w:rsid w:val="004E57A1"/>
    <w:rsid w:val="004F1649"/>
    <w:rsid w:val="004F259E"/>
    <w:rsid w:val="00510EBE"/>
    <w:rsid w:val="00511F1D"/>
    <w:rsid w:val="00515660"/>
    <w:rsid w:val="00520F36"/>
    <w:rsid w:val="0052114A"/>
    <w:rsid w:val="00530133"/>
    <w:rsid w:val="00540615"/>
    <w:rsid w:val="00540A6D"/>
    <w:rsid w:val="00571EEA"/>
    <w:rsid w:val="00575417"/>
    <w:rsid w:val="005768E1"/>
    <w:rsid w:val="005772DE"/>
    <w:rsid w:val="005C3890"/>
    <w:rsid w:val="005C56EF"/>
    <w:rsid w:val="005F7BFE"/>
    <w:rsid w:val="00600017"/>
    <w:rsid w:val="006224B9"/>
    <w:rsid w:val="006235CA"/>
    <w:rsid w:val="006412ED"/>
    <w:rsid w:val="00644CF6"/>
    <w:rsid w:val="006505FA"/>
    <w:rsid w:val="006550D0"/>
    <w:rsid w:val="006643AB"/>
    <w:rsid w:val="00664E1D"/>
    <w:rsid w:val="006A697F"/>
    <w:rsid w:val="006B2FE0"/>
    <w:rsid w:val="006E0098"/>
    <w:rsid w:val="00702290"/>
    <w:rsid w:val="00720F7A"/>
    <w:rsid w:val="00721016"/>
    <w:rsid w:val="007210CD"/>
    <w:rsid w:val="007256B5"/>
    <w:rsid w:val="00732045"/>
    <w:rsid w:val="007369DB"/>
    <w:rsid w:val="0074521D"/>
    <w:rsid w:val="007475BB"/>
    <w:rsid w:val="00756E95"/>
    <w:rsid w:val="00772F59"/>
    <w:rsid w:val="00792E35"/>
    <w:rsid w:val="00794EBC"/>
    <w:rsid w:val="007956C2"/>
    <w:rsid w:val="007A187E"/>
    <w:rsid w:val="007C03D2"/>
    <w:rsid w:val="007C72C2"/>
    <w:rsid w:val="007D4436"/>
    <w:rsid w:val="007F257A"/>
    <w:rsid w:val="007F3665"/>
    <w:rsid w:val="007F3BCB"/>
    <w:rsid w:val="00800037"/>
    <w:rsid w:val="00806D0B"/>
    <w:rsid w:val="008152E0"/>
    <w:rsid w:val="00861D73"/>
    <w:rsid w:val="008765EC"/>
    <w:rsid w:val="008843AC"/>
    <w:rsid w:val="008A081E"/>
    <w:rsid w:val="008A4E87"/>
    <w:rsid w:val="008C5036"/>
    <w:rsid w:val="008D76E6"/>
    <w:rsid w:val="008F5231"/>
    <w:rsid w:val="0092392D"/>
    <w:rsid w:val="0093234A"/>
    <w:rsid w:val="0098754B"/>
    <w:rsid w:val="009C307F"/>
    <w:rsid w:val="009F642D"/>
    <w:rsid w:val="00A2113E"/>
    <w:rsid w:val="00A23A51"/>
    <w:rsid w:val="00A24607"/>
    <w:rsid w:val="00A25CD3"/>
    <w:rsid w:val="00A45030"/>
    <w:rsid w:val="00A802D1"/>
    <w:rsid w:val="00A82767"/>
    <w:rsid w:val="00AA332F"/>
    <w:rsid w:val="00AA7BBB"/>
    <w:rsid w:val="00AB1450"/>
    <w:rsid w:val="00AB1E94"/>
    <w:rsid w:val="00AB64A8"/>
    <w:rsid w:val="00AC0266"/>
    <w:rsid w:val="00AD24EC"/>
    <w:rsid w:val="00AE57BE"/>
    <w:rsid w:val="00B17ECB"/>
    <w:rsid w:val="00B22860"/>
    <w:rsid w:val="00B2517F"/>
    <w:rsid w:val="00B27BBD"/>
    <w:rsid w:val="00B309F9"/>
    <w:rsid w:val="00B32B60"/>
    <w:rsid w:val="00B55872"/>
    <w:rsid w:val="00B61619"/>
    <w:rsid w:val="00B72DC6"/>
    <w:rsid w:val="00BA3817"/>
    <w:rsid w:val="00BB26A6"/>
    <w:rsid w:val="00BB4545"/>
    <w:rsid w:val="00BB65E9"/>
    <w:rsid w:val="00BD5873"/>
    <w:rsid w:val="00C04BE3"/>
    <w:rsid w:val="00C140C6"/>
    <w:rsid w:val="00C25D29"/>
    <w:rsid w:val="00C27A7C"/>
    <w:rsid w:val="00C84918"/>
    <w:rsid w:val="00CA08ED"/>
    <w:rsid w:val="00CA308C"/>
    <w:rsid w:val="00CA3B1B"/>
    <w:rsid w:val="00CF183B"/>
    <w:rsid w:val="00D10208"/>
    <w:rsid w:val="00D168DD"/>
    <w:rsid w:val="00D30024"/>
    <w:rsid w:val="00D375CD"/>
    <w:rsid w:val="00D474C0"/>
    <w:rsid w:val="00D54AA6"/>
    <w:rsid w:val="00D553A2"/>
    <w:rsid w:val="00D610E4"/>
    <w:rsid w:val="00D70651"/>
    <w:rsid w:val="00D73C53"/>
    <w:rsid w:val="00D76368"/>
    <w:rsid w:val="00D774D3"/>
    <w:rsid w:val="00D81F55"/>
    <w:rsid w:val="00D820F4"/>
    <w:rsid w:val="00D85F09"/>
    <w:rsid w:val="00D8732D"/>
    <w:rsid w:val="00D904E8"/>
    <w:rsid w:val="00D93E2C"/>
    <w:rsid w:val="00DA0137"/>
    <w:rsid w:val="00DA08C3"/>
    <w:rsid w:val="00DB5A3E"/>
    <w:rsid w:val="00DC22AA"/>
    <w:rsid w:val="00DC5576"/>
    <w:rsid w:val="00DD5A89"/>
    <w:rsid w:val="00DF74DD"/>
    <w:rsid w:val="00E10843"/>
    <w:rsid w:val="00E25AD0"/>
    <w:rsid w:val="00E61DBD"/>
    <w:rsid w:val="00E62A1C"/>
    <w:rsid w:val="00E62E89"/>
    <w:rsid w:val="00E817A0"/>
    <w:rsid w:val="00E9562C"/>
    <w:rsid w:val="00E9732F"/>
    <w:rsid w:val="00EB6350"/>
    <w:rsid w:val="00EC5E54"/>
    <w:rsid w:val="00EF5BE1"/>
    <w:rsid w:val="00F06495"/>
    <w:rsid w:val="00F144C5"/>
    <w:rsid w:val="00F15B57"/>
    <w:rsid w:val="00F427DB"/>
    <w:rsid w:val="00F54F23"/>
    <w:rsid w:val="00F632D7"/>
    <w:rsid w:val="00F74CF7"/>
    <w:rsid w:val="00F773CB"/>
    <w:rsid w:val="00F9644D"/>
    <w:rsid w:val="00FA2BE1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4EFCA2D6-9B68-4B24-A1A3-4E1D6C9D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NoTitle">
    <w:name w:val="Annex_No&amp;Title"/>
    <w:basedOn w:val="AnnexNo"/>
    <w:qFormat/>
    <w:rsid w:val="00D76368"/>
    <w:pPr>
      <w:keepNext/>
      <w:keepLines/>
      <w:tabs>
        <w:tab w:val="clear" w:pos="567"/>
        <w:tab w:val="left" w:pos="851"/>
      </w:tabs>
      <w:spacing w:before="480" w:after="80"/>
    </w:pPr>
    <w:rPr>
      <w:rFonts w:eastAsia="Batang" w:cs="Times New Roman Bold"/>
      <w:b/>
      <w:caps w:val="0"/>
      <w:color w:val="4A442A"/>
      <w:sz w:val="34"/>
      <w:lang w:val="en-GB"/>
    </w:rPr>
  </w:style>
  <w:style w:type="table" w:styleId="LightList-Accent1">
    <w:name w:val="Light List Accent 1"/>
    <w:basedOn w:val="TableNormal"/>
    <w:uiPriority w:val="61"/>
    <w:rsid w:val="00D76368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semiHidden/>
    <w:rsid w:val="008C5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503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8C5036"/>
    <w:rPr>
      <w:rFonts w:asciiTheme="minorHAnsi" w:eastAsia="SimSun" w:hAnsiTheme="minorHAnsi"/>
    </w:rPr>
  </w:style>
  <w:style w:type="paragraph" w:styleId="ListParagraph">
    <w:name w:val="List Paragraph"/>
    <w:basedOn w:val="Normal"/>
    <w:uiPriority w:val="34"/>
    <w:qFormat/>
    <w:rsid w:val="0019721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  <w:style w:type="character" w:customStyle="1" w:styleId="CallChar">
    <w:name w:val="Call Char"/>
    <w:basedOn w:val="DefaultParagraphFont"/>
    <w:link w:val="Call"/>
    <w:locked/>
    <w:rsid w:val="00F54F23"/>
    <w:rPr>
      <w:rFonts w:ascii="Calibri" w:hAnsi="Calibri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4BDB-4F18-406A-B2A0-24253892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40</TotalTime>
  <Pages>2</Pages>
  <Words>761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5145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Royer, Veronique</dc:creator>
  <cp:keywords>C2010, C10</cp:keywords>
  <dc:description>Document C17/-F  Pour: _x000d_Date du document: janvier 2017_x000d_Enregistré par ITU51009317 à 15:30:24 le 06/04/2017</dc:description>
  <cp:lastModifiedBy>Royer, Veronique</cp:lastModifiedBy>
  <cp:revision>4</cp:revision>
  <cp:lastPrinted>2018-01-09T13:59:00Z</cp:lastPrinted>
  <dcterms:created xsi:type="dcterms:W3CDTF">2018-01-09T15:07:00Z</dcterms:created>
  <dcterms:modified xsi:type="dcterms:W3CDTF">2018-01-10T06:46:00Z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