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7E3CAD" w:rsidRPr="00A31F59" w:rsidRDefault="007E3CAD" w:rsidP="007E3CAD">
            <w:pPr>
              <w:rPr>
                <w:b/>
                <w:bCs/>
                <w:sz w:val="26"/>
                <w:szCs w:val="26"/>
              </w:rPr>
            </w:pPr>
            <w:bookmarkStart w:id="0" w:name="dbluepink" w:colFirst="0" w:colLast="0"/>
            <w:r w:rsidRPr="00A31F59">
              <w:rPr>
                <w:b/>
                <w:bCs/>
                <w:sz w:val="30"/>
                <w:szCs w:val="30"/>
              </w:rPr>
              <w:t>Grupo de Trabajo del Consejo sobre los Planes Estratégico y Financiero de la Unión para 2020-2023</w:t>
            </w:r>
          </w:p>
          <w:p w:rsidR="00093EEB" w:rsidRPr="000B0D00" w:rsidRDefault="007E3CAD" w:rsidP="008604B2">
            <w:pPr>
              <w:rPr>
                <w:szCs w:val="24"/>
              </w:rPr>
            </w:pPr>
            <w:r>
              <w:rPr>
                <w:b/>
                <w:bCs/>
                <w:szCs w:val="24"/>
              </w:rPr>
              <w:t>Tercera</w:t>
            </w:r>
            <w:r w:rsidRPr="00A31F59">
              <w:rPr>
                <w:b/>
                <w:bCs/>
                <w:szCs w:val="24"/>
              </w:rPr>
              <w:t xml:space="preserve"> reunión – Ginebra, </w:t>
            </w:r>
            <w:r>
              <w:rPr>
                <w:b/>
                <w:bCs/>
                <w:szCs w:val="24"/>
              </w:rPr>
              <w:t>15</w:t>
            </w:r>
            <w:r w:rsidRPr="00A31F59">
              <w:rPr>
                <w:b/>
                <w:bCs/>
                <w:szCs w:val="24"/>
              </w:rPr>
              <w:t>-1</w:t>
            </w:r>
            <w:r>
              <w:rPr>
                <w:b/>
                <w:bCs/>
                <w:szCs w:val="24"/>
              </w:rPr>
              <w:t>6</w:t>
            </w:r>
            <w:r w:rsidRPr="00A31F59">
              <w:rPr>
                <w:b/>
                <w:bCs/>
                <w:szCs w:val="24"/>
              </w:rPr>
              <w:t xml:space="preserve"> de </w:t>
            </w:r>
            <w:r>
              <w:rPr>
                <w:b/>
                <w:bCs/>
                <w:szCs w:val="24"/>
              </w:rPr>
              <w:t>enero de</w:t>
            </w:r>
            <w:r w:rsidRPr="00A31F59">
              <w:rPr>
                <w:b/>
                <w:bCs/>
                <w:szCs w:val="24"/>
              </w:rPr>
              <w:t xml:space="preserve"> 201</w:t>
            </w:r>
            <w:r w:rsidR="008604B2">
              <w:rPr>
                <w:b/>
                <w:bCs/>
                <w:szCs w:val="24"/>
              </w:rPr>
              <w:t>8</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093EEB" w:rsidP="00805CA6">
            <w:pPr>
              <w:spacing w:before="0"/>
              <w:rPr>
                <w:b/>
                <w:bCs/>
                <w:szCs w:val="24"/>
              </w:rPr>
            </w:pPr>
            <w:r>
              <w:rPr>
                <w:b/>
                <w:bCs/>
                <w:szCs w:val="24"/>
              </w:rPr>
              <w:t xml:space="preserve">Documento </w:t>
            </w:r>
            <w:r w:rsidR="007E3CAD" w:rsidRPr="007E3CAD">
              <w:rPr>
                <w:b/>
                <w:bCs/>
                <w:szCs w:val="24"/>
              </w:rPr>
              <w:t>CWG-SFP-3/</w:t>
            </w:r>
            <w:r w:rsidR="00805CA6">
              <w:rPr>
                <w:b/>
                <w:bCs/>
                <w:szCs w:val="24"/>
              </w:rPr>
              <w:t>6</w:t>
            </w:r>
            <w:r w:rsidR="007E3CAD" w:rsidRPr="007E3CAD">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93EEB" w:rsidRDefault="00805CA6" w:rsidP="009F4811">
            <w:pPr>
              <w:spacing w:before="0"/>
              <w:rPr>
                <w:b/>
                <w:bCs/>
                <w:szCs w:val="24"/>
              </w:rPr>
            </w:pPr>
            <w:r>
              <w:rPr>
                <w:b/>
                <w:bCs/>
                <w:szCs w:val="24"/>
              </w:rPr>
              <w:t>8</w:t>
            </w:r>
            <w:r w:rsidR="007E3CAD" w:rsidRPr="007E3CAD">
              <w:rPr>
                <w:b/>
                <w:bCs/>
                <w:szCs w:val="24"/>
              </w:rPr>
              <w:t xml:space="preserve"> de diciembre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093EEB">
            <w:pPr>
              <w:spacing w:before="0"/>
              <w:rPr>
                <w:b/>
                <w:bCs/>
                <w:szCs w:val="24"/>
              </w:rPr>
            </w:pPr>
            <w:r>
              <w:rPr>
                <w:b/>
                <w:bCs/>
                <w:szCs w:val="24"/>
              </w:rPr>
              <w:t>Original: inglés</w:t>
            </w:r>
          </w:p>
        </w:tc>
      </w:tr>
    </w:tbl>
    <w:bookmarkEnd w:id="0"/>
    <w:bookmarkEnd w:id="5"/>
    <w:p w:rsidR="00805CA6" w:rsidRPr="00805CA6" w:rsidRDefault="00805CA6" w:rsidP="00805CA6">
      <w:pPr>
        <w:pStyle w:val="AnnexNo"/>
        <w:rPr>
          <w:lang w:val="es-ES"/>
        </w:rPr>
      </w:pPr>
      <w:r w:rsidRPr="00805CA6">
        <w:rPr>
          <w:lang w:val="es-ES"/>
        </w:rPr>
        <w:t>ANEXO 2 a la Resolución 71 – Análisis de situación</w:t>
      </w:r>
    </w:p>
    <w:p w:rsidR="00805CA6" w:rsidRPr="00805CA6" w:rsidRDefault="00805CA6" w:rsidP="00805CA6">
      <w:pPr>
        <w:pStyle w:val="Heading1"/>
        <w:rPr>
          <w:lang w:val="es-ES"/>
        </w:rPr>
      </w:pPr>
      <w:r>
        <w:rPr>
          <w:lang w:val="es-ES"/>
        </w:rPr>
        <w:t>5</w:t>
      </w:r>
      <w:r w:rsidRPr="00805CA6">
        <w:rPr>
          <w:lang w:val="es-ES"/>
        </w:rPr>
        <w:tab/>
        <w:t>Antecedentes: Organismos de dirección/cometido de los Sectores</w:t>
      </w:r>
    </w:p>
    <w:p w:rsidR="00805CA6" w:rsidRPr="00805CA6" w:rsidRDefault="00805CA6" w:rsidP="00805CA6">
      <w:pPr>
        <w:rPr>
          <w:lang w:val="es-ES"/>
        </w:rPr>
      </w:pPr>
      <w:r w:rsidRPr="00805CA6">
        <w:rPr>
          <w:lang w:val="es-ES"/>
        </w:rPr>
        <w:t>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w:t>
      </w:r>
      <w:r w:rsidR="00235869">
        <w:rPr>
          <w:lang w:val="es-ES"/>
        </w:rPr>
        <w:t>;</w:t>
      </w:r>
      <w:r w:rsidRPr="00805CA6">
        <w:rPr>
          <w:lang w:val="es-ES"/>
        </w:rPr>
        <w:t xml:space="preserve">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rsidR="00805CA6" w:rsidRPr="00805CA6" w:rsidRDefault="00805CA6" w:rsidP="00805CA6">
      <w:pPr>
        <w:pStyle w:val="Heading1"/>
        <w:rPr>
          <w:lang w:val="es-ES"/>
        </w:rPr>
      </w:pPr>
      <w:r>
        <w:rPr>
          <w:lang w:val="es-ES"/>
        </w:rPr>
        <w:t>6</w:t>
      </w:r>
      <w:r w:rsidRPr="00805CA6">
        <w:rPr>
          <w:lang w:val="es-ES"/>
        </w:rPr>
        <w:tab/>
        <w:t>Análisis de situación</w:t>
      </w:r>
    </w:p>
    <w:p w:rsidR="00805CA6" w:rsidRPr="00805CA6" w:rsidRDefault="00805CA6" w:rsidP="00805CA6">
      <w:pPr>
        <w:pStyle w:val="Heading2"/>
        <w:rPr>
          <w:lang w:val="es-ES"/>
        </w:rPr>
      </w:pPr>
      <w:r>
        <w:rPr>
          <w:lang w:val="es-ES"/>
        </w:rPr>
        <w:t>6.a</w:t>
      </w:r>
      <w:r w:rsidRPr="00805CA6">
        <w:rPr>
          <w:lang w:val="es-ES"/>
        </w:rPr>
        <w:tab/>
        <w:t>Análisis de situación estratégico</w:t>
      </w:r>
    </w:p>
    <w:p w:rsidR="00805CA6" w:rsidRPr="00805CA6" w:rsidRDefault="00805CA6" w:rsidP="00805CA6">
      <w:pPr>
        <w:pStyle w:val="Headingb"/>
        <w:rPr>
          <w:lang w:val="es-ES"/>
        </w:rPr>
      </w:pPr>
      <w:r w:rsidRPr="00805CA6">
        <w:rPr>
          <w:lang w:val="es-ES"/>
        </w:rPr>
        <w:t>La UIT es parte del sistema de las Naciones Unidas</w:t>
      </w:r>
    </w:p>
    <w:p w:rsidR="00805CA6" w:rsidRPr="00805CA6" w:rsidRDefault="00805CA6" w:rsidP="00805CA6">
      <w:pPr>
        <w:rPr>
          <w:lang w:val="es-ES"/>
        </w:rPr>
      </w:pPr>
      <w:r w:rsidRPr="00805CA6">
        <w:rPr>
          <w:lang w:val="es-ES"/>
        </w:rPr>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805CA6" w:rsidRPr="00805CA6" w:rsidRDefault="00805CA6" w:rsidP="00805CA6">
      <w:pPr>
        <w:pStyle w:val="Headingb"/>
        <w:rPr>
          <w:lang w:val="es-ES"/>
        </w:rPr>
      </w:pPr>
      <w:r w:rsidRPr="00805CA6">
        <w:rPr>
          <w:lang w:val="es-ES"/>
        </w:rPr>
        <w:t>Lecciones aprendidas del Plan Estratégico de la UIT para 2016-2019</w:t>
      </w:r>
    </w:p>
    <w:p w:rsidR="00805CA6" w:rsidRPr="00805CA6" w:rsidRDefault="00805CA6" w:rsidP="005E5BB5">
      <w:pPr>
        <w:rPr>
          <w:lang w:val="es-ES"/>
        </w:rPr>
      </w:pPr>
      <w:r w:rsidRPr="00805CA6">
        <w:rPr>
          <w:lang w:val="es-ES"/>
        </w:rPr>
        <w:t>El Plan Estratégico de la Unión para 2016-2019, adoptado por los Estados Miembros de la UIT en la Conferencia de Plenipotenciarios en 2014, se convirtió en la base para la adopción de la Agenda Conectar 2020 para el desarrollo de las Telecomunicaciones/TIC y en él se establecieron objetivos, metas y una visión compartidos que los Estados Miembros se mostraron resueltos a alcanzar para 2020, en colaboración con todas las partes interesadas en el ecosistema TIC. En el Plan Estratégico de la UIT para 20</w:t>
      </w:r>
      <w:r w:rsidR="005E5BB5">
        <w:rPr>
          <w:lang w:val="es-ES"/>
        </w:rPr>
        <w:t>1</w:t>
      </w:r>
      <w:r w:rsidRPr="00805CA6">
        <w:rPr>
          <w:lang w:val="es-ES"/>
        </w:rPr>
        <w:t xml:space="preserve">6-2019 se describió la labor de la Unión en la aplicación de </w:t>
      </w:r>
      <w:r w:rsidR="005E5BB5">
        <w:rPr>
          <w:lang w:val="es-ES"/>
        </w:rPr>
        <w:t>cuatro</w:t>
      </w:r>
      <w:r w:rsidRPr="00805CA6">
        <w:rPr>
          <w:lang w:val="es-ES"/>
        </w:rPr>
        <w:t xml:space="preserve"> metas estratégicas: crecimiento, integración, sostenibilidad e innovación y asociación.</w:t>
      </w:r>
    </w:p>
    <w:p w:rsidR="00805CA6" w:rsidRPr="00805CA6" w:rsidRDefault="00805CA6" w:rsidP="00805CA6">
      <w:pPr>
        <w:rPr>
          <w:lang w:val="es-ES"/>
        </w:rPr>
      </w:pPr>
      <w:r w:rsidRPr="00805CA6">
        <w:rPr>
          <w:lang w:val="es-ES"/>
        </w:rPr>
        <w:t>Uno de los objetivos fue que las metas establecidas se reforzasen entre sí; al crecer el acceso a las TIC, los miembros de la UIT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es preciso gestionar. Al innovar y promover la asociación, el ecosistema de TIC en transformación podría garantizar su adaptación a la rápida evolución del entorno tecnológico, económico y social.</w:t>
      </w:r>
    </w:p>
    <w:p w:rsidR="00805CA6" w:rsidRPr="00805CA6" w:rsidRDefault="00805CA6" w:rsidP="00805CA6">
      <w:pPr>
        <w:rPr>
          <w:lang w:val="es-ES"/>
        </w:rPr>
      </w:pPr>
      <w:r w:rsidRPr="00805CA6">
        <w:rPr>
          <w:lang w:val="es-ES"/>
        </w:rPr>
        <w:t xml:space="preserve">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(PMA). También se progresa debidamente hacia el cumplimiento en 2020 de los Objetivos 2.2.A y 2.2.B, por los que se aspira a que el 50% de las personas en los países en desarrollo, y el 20% en los PMA, estén conectadas. Así mismo se espera que se cumplan los objetivos de conectividad en los hogares para el año 2020: el Objetivo 1.1, por el que se aspira alcanzar una tasa del 55% de los hogares conectados en el mundo y, en el marco de la </w:t>
      </w:r>
      <w:r w:rsidR="00D57182" w:rsidRPr="00805CA6">
        <w:rPr>
          <w:lang w:val="es-ES"/>
        </w:rPr>
        <w:t xml:space="preserve">Meta </w:t>
      </w:r>
      <w:r w:rsidRPr="00805CA6">
        <w:rPr>
          <w:lang w:val="es-ES"/>
        </w:rPr>
        <w:t>2, el objetivo del 50% y el 15% de hogares conectados en países en desarrollo (2.1.A) y en PMA (2.1.B).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805CA6" w:rsidRPr="00805CA6" w:rsidRDefault="00805CA6" w:rsidP="00140B65">
      <w:pPr>
        <w:rPr>
          <w:lang w:val="es-ES"/>
        </w:rPr>
      </w:pPr>
      <w:r w:rsidRPr="00805CA6">
        <w:rPr>
          <w:lang w:val="es-ES"/>
        </w:rPr>
        <w:t>En el Plan Estratégico de la UIT para 2016-2019 también se presentan mejoras importantes internas para la organización, reforzando el concepto de "</w:t>
      </w:r>
      <w:r w:rsidR="00140B65">
        <w:rPr>
          <w:lang w:val="es-ES"/>
        </w:rPr>
        <w:t>f</w:t>
      </w:r>
      <w:r w:rsidRPr="00805CA6">
        <w:rPr>
          <w:lang w:val="es-ES"/>
        </w:rPr>
        <w:t>uncionar como una sola UIT".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805CA6" w:rsidRPr="00805CA6" w:rsidRDefault="00805CA6" w:rsidP="00D57182">
      <w:pPr>
        <w:rPr>
          <w:lang w:val="es-ES"/>
        </w:rPr>
      </w:pPr>
      <w:r w:rsidRPr="00805CA6">
        <w:rPr>
          <w:lang w:val="es-ES"/>
        </w:rPr>
        <w:t>En el plan se introdujo una gestión reforzada basada en resultados para la organización y un vínculo más claro entre el Plan Estratégico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00D57182" w:rsidRPr="00805CA6">
        <w:rPr>
          <w:vertAlign w:val="superscript"/>
          <w:lang w:val="es-ES"/>
        </w:rPr>
        <w:footnoteReference w:id="1"/>
      </w:r>
      <w:r w:rsidRPr="00805CA6">
        <w:rPr>
          <w:lang w:val="es-ES"/>
        </w:rPr>
        <w:t>.</w:t>
      </w:r>
    </w:p>
    <w:p w:rsidR="00805CA6" w:rsidRPr="00805CA6" w:rsidRDefault="00805CA6" w:rsidP="00805CA6">
      <w:pPr>
        <w:pStyle w:val="Headingb"/>
        <w:rPr>
          <w:lang w:val="es-ES"/>
        </w:rPr>
      </w:pPr>
      <w:r w:rsidRPr="00805CA6">
        <w:rPr>
          <w:lang w:val="es-ES"/>
        </w:rPr>
        <w:t>Avances desde la Conferencia de Plenipotenciarios de la UIT de 2014</w:t>
      </w:r>
    </w:p>
    <w:p w:rsidR="00805CA6" w:rsidRPr="00805CA6" w:rsidRDefault="00805CA6" w:rsidP="00805CA6">
      <w:pPr>
        <w:rPr>
          <w:lang w:val="es-ES"/>
        </w:rPr>
      </w:pPr>
      <w:r w:rsidRPr="00805CA6">
        <w:rPr>
          <w:lang w:val="es-ES"/>
        </w:rPr>
        <w:t>En esta sección se presentan algunos de los avances fundamentales desde la adopción del anterior Plan Estratégico de la Conferencia de Pleni</w:t>
      </w:r>
      <w:r w:rsidR="00235869">
        <w:rPr>
          <w:lang w:val="es-ES"/>
        </w:rPr>
        <w:t>potenciarios de la UIT en Busán</w:t>
      </w:r>
      <w:r w:rsidRPr="00805CA6">
        <w:rPr>
          <w:lang w:val="es-ES"/>
        </w:rPr>
        <w:t xml:space="preserve"> </w:t>
      </w:r>
      <w:r w:rsidR="00235869">
        <w:rPr>
          <w:lang w:val="es-ES"/>
        </w:rPr>
        <w:t>(</w:t>
      </w:r>
      <w:r w:rsidRPr="00805CA6">
        <w:rPr>
          <w:lang w:val="es-ES"/>
        </w:rPr>
        <w:t>Corea</w:t>
      </w:r>
      <w:r w:rsidR="00235869">
        <w:rPr>
          <w:lang w:val="es-ES"/>
        </w:rPr>
        <w:t>)</w:t>
      </w:r>
      <w:r w:rsidRPr="00805CA6">
        <w:rPr>
          <w:lang w:val="es-ES"/>
        </w:rPr>
        <w:t>, celebrada en octubre de 2014, para su estudio en la elaboración del nuevo Plan Estratégico para 2020-2023.</w:t>
      </w:r>
    </w:p>
    <w:p w:rsidR="00805CA6" w:rsidRPr="00805CA6" w:rsidRDefault="00805CA6" w:rsidP="00805CA6">
      <w:pPr>
        <w:rPr>
          <w:lang w:val="es-ES"/>
        </w:rPr>
      </w:pPr>
      <w:r w:rsidRPr="00805CA6">
        <w:rPr>
          <w:lang w:val="es-ES"/>
        </w:rPr>
        <w:t>En septiembre de 2015, todos los Estados Miembros de las Naciones Unidas acordaron la Resolución A/RES/70/1 de la AGNU "Transformar nuestro mundo: la Agenda 2030 para el Desarrollo Sostenible" por la que todos los países y todas las partes interesadas colaborarían y aplicarían ese plan para el desarrollo sostenible. Los 17 Objetivos de Desarrollo Sostenible (ODS) y las 169 metas acordados muestran la escala y la ambición de esa nueva Agenda universal.</w:t>
      </w:r>
    </w:p>
    <w:p w:rsidR="00805CA6" w:rsidRPr="00805CA6" w:rsidRDefault="00805CA6" w:rsidP="00805CA6">
      <w:pPr>
        <w:rPr>
          <w:lang w:val="es-ES"/>
        </w:rPr>
      </w:pPr>
      <w:r w:rsidRPr="00805CA6">
        <w:rPr>
          <w:lang w:val="es-ES"/>
        </w:rPr>
        <w:t>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ODS y mejorar la vida de las personas de modos fundamentales.</w:t>
      </w:r>
    </w:p>
    <w:p w:rsidR="00805CA6" w:rsidRPr="00805CA6" w:rsidRDefault="00805CA6" w:rsidP="00805CA6">
      <w:pPr>
        <w:rPr>
          <w:lang w:val="es-ES"/>
        </w:rPr>
      </w:pPr>
      <w:r w:rsidRPr="00805CA6">
        <w:rPr>
          <w:lang w:val="es-ES"/>
        </w:rPr>
        <w:t xml:space="preserve">Cabe mencionar el </w:t>
      </w:r>
      <w:r w:rsidRPr="00805CA6">
        <w:rPr>
          <w:b/>
          <w:lang w:val="es-ES"/>
        </w:rPr>
        <w:t>Objetivo 9</w:t>
      </w:r>
      <w:r w:rsidRPr="00805CA6">
        <w:rPr>
          <w:lang w:val="es-ES"/>
        </w:rPr>
        <w:t xml:space="preserve"> (Industria, innovación e infraestructura) y en particular la </w:t>
      </w:r>
      <w:r w:rsidR="00D57182" w:rsidRPr="00805CA6">
        <w:rPr>
          <w:lang w:val="es-ES"/>
        </w:rPr>
        <w:t xml:space="preserve">Meta </w:t>
      </w:r>
      <w:r w:rsidRPr="00805CA6">
        <w:rPr>
          <w:lang w:val="es-ES"/>
        </w:rPr>
        <w:t xml:space="preserve">9.c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ODS. Las TIC se mencionan especialmente como medio de implementación en el marco del </w:t>
      </w:r>
      <w:r w:rsidRPr="00805CA6">
        <w:rPr>
          <w:b/>
          <w:lang w:val="es-ES"/>
        </w:rPr>
        <w:t>ODS 17</w:t>
      </w:r>
      <w:r w:rsidRPr="00805CA6">
        <w:rPr>
          <w:lang w:val="es-ES"/>
        </w:rPr>
        <w:t xml:space="preserve"> (Alianzas para lograr los Objetivos, Meta 17.8), y se subraya su potencial transformador </w:t>
      </w:r>
      <w:r w:rsidR="00D57182">
        <w:rPr>
          <w:lang w:val="es-ES"/>
        </w:rPr>
        <w:t>transversal. También se destaca</w:t>
      </w:r>
      <w:r w:rsidRPr="00805CA6">
        <w:rPr>
          <w:lang w:val="es-ES"/>
        </w:rPr>
        <w:t xml:space="preserve"> el papel de las TIC en la promoción del empoderamiento de las mujeres en el marco del </w:t>
      </w:r>
      <w:r w:rsidRPr="00805CA6">
        <w:rPr>
          <w:b/>
          <w:lang w:val="es-ES"/>
        </w:rPr>
        <w:t>ODS 5</w:t>
      </w:r>
      <w:r w:rsidRPr="00805CA6">
        <w:rPr>
          <w:lang w:val="es-ES"/>
        </w:rPr>
        <w:t xml:space="preserve"> (Igualdad de género, </w:t>
      </w:r>
      <w:r w:rsidR="00D57182" w:rsidRPr="00805CA6">
        <w:rPr>
          <w:lang w:val="es-ES"/>
        </w:rPr>
        <w:t xml:space="preserve">Meta </w:t>
      </w:r>
      <w:r w:rsidRPr="00805CA6">
        <w:rPr>
          <w:lang w:val="es-ES"/>
        </w:rPr>
        <w:t xml:space="preserve">5.b), así como su importancia en el marco del </w:t>
      </w:r>
      <w:r w:rsidRPr="00805CA6">
        <w:rPr>
          <w:b/>
          <w:lang w:val="es-ES"/>
        </w:rPr>
        <w:t>ODS 4</w:t>
      </w:r>
      <w:r w:rsidRPr="00805CA6">
        <w:rPr>
          <w:lang w:val="es-ES"/>
        </w:rPr>
        <w:t xml:space="preserve"> (E</w:t>
      </w:r>
      <w:r w:rsidR="00D57182">
        <w:rPr>
          <w:lang w:val="es-ES"/>
        </w:rPr>
        <w:t>ducación de calidad, Meta 4.b).</w:t>
      </w:r>
    </w:p>
    <w:p w:rsidR="00805CA6" w:rsidRPr="00805CA6" w:rsidRDefault="00805CA6" w:rsidP="00805CA6">
      <w:pPr>
        <w:rPr>
          <w:lang w:val="es-ES"/>
        </w:rPr>
      </w:pPr>
      <w:r w:rsidRPr="00805CA6">
        <w:rPr>
          <w:lang w:val="es-ES"/>
        </w:rPr>
        <w:t>La UIT, como parte del Sistema de las Naciones Unidas, necesita prestar apoyo a los Estados Miembros y contribuir en las labores mundiales destinadas a alcanzar los ODS. Todos los Estados Miembros acordaron (y así lo expresaron en la Resolución A/RES/70/1 de la AGNU) que se requiere una participación mundial para apoyar la aplicación de todos los Objetivos y Metas, "aglutinando a los gobiernos, la sociedad civil, el sector privado, el sistema de las Naciones Unidas y otras instancias, y movilizando todos los recursos disponibles". Además, todos los Estados Miembros hicieron un llamamiento por una armonización estrecha entre el proceso de la Cumbre Mundial sobre la Sociedad de la Información y la Agenda 2030 para el Desarrollo Sostenible en la Resolución A/RES/70/125 de la AGNU.</w:t>
      </w:r>
    </w:p>
    <w:p w:rsidR="00805CA6" w:rsidRPr="00805CA6" w:rsidRDefault="00805CA6" w:rsidP="00DE633C">
      <w:pPr>
        <w:rPr>
          <w:lang w:val="es-ES"/>
        </w:rPr>
      </w:pPr>
      <w:r w:rsidRPr="00805CA6">
        <w:rPr>
          <w:lang w:val="es-ES"/>
        </w:rPr>
        <w:t xml:space="preserve">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w:t>
      </w:r>
      <w:r w:rsidR="00DE633C">
        <w:rPr>
          <w:lang w:val="es-ES"/>
        </w:rPr>
        <w:t>t</w:t>
      </w:r>
      <w:r w:rsidRPr="00805CA6">
        <w:rPr>
          <w:lang w:val="es-ES"/>
        </w:rPr>
        <w:t xml:space="preserve">ransformación </w:t>
      </w:r>
      <w:r w:rsidR="00DE633C">
        <w:rPr>
          <w:lang w:val="es-ES"/>
        </w:rPr>
        <w:t>d</w:t>
      </w:r>
      <w:r w:rsidRPr="00805CA6">
        <w:rPr>
          <w:lang w:val="es-ES"/>
        </w:rPr>
        <w:t>igital y entre ellos figuran: Internet de las cosas (IoT), 5G, IMT-2020, inteligencia artificial, macrodatos (</w:t>
      </w:r>
      <w:r w:rsidRPr="00235869">
        <w:rPr>
          <w:i/>
          <w:iCs/>
          <w:lang w:val="es-ES"/>
        </w:rPr>
        <w:t>big data</w:t>
      </w:r>
      <w:r w:rsidRPr="00805CA6">
        <w:rPr>
          <w:lang w:val="es-ES"/>
        </w:rPr>
        <w:t xml:space="preserve">), computación en nube, la denominada 4ª </w:t>
      </w:r>
      <w:r w:rsidR="00DE633C">
        <w:rPr>
          <w:lang w:val="es-ES"/>
        </w:rPr>
        <w:t>"</w:t>
      </w:r>
      <w:r w:rsidR="00DE633C" w:rsidRPr="00805CA6">
        <w:rPr>
          <w:lang w:val="es-ES"/>
        </w:rPr>
        <w:t>Revolución Industrial</w:t>
      </w:r>
      <w:r w:rsidR="00DE633C">
        <w:rPr>
          <w:lang w:val="es-ES"/>
        </w:rPr>
        <w:t>"</w:t>
      </w:r>
      <w:r w:rsidRPr="00805CA6">
        <w:rPr>
          <w:lang w:val="es-ES"/>
        </w:rPr>
        <w:t>, ciudades inteligentes, tecnologías de libro mayor distribuido, redes definidas por software y virtualización de funciones de red, sistema de transporte inteligente (ITS) y código abierto.</w:t>
      </w:r>
    </w:p>
    <w:p w:rsidR="00805CA6" w:rsidRPr="00805CA6" w:rsidRDefault="00805CA6" w:rsidP="007E7C7E">
      <w:pPr>
        <w:keepNext/>
        <w:keepLines/>
        <w:rPr>
          <w:lang w:val="es-ES"/>
        </w:rPr>
      </w:pPr>
      <w:r w:rsidRPr="00805CA6">
        <w:rPr>
          <w:lang w:val="es-ES"/>
        </w:rPr>
        <w:t>Se está tomando una amplia conciencia del papel de la economía y la transformación digitales como habilitadores e impulsores fundamentales del desarrollo sostenible, como también se subrayó en la Declaración Ministerial del G20 sobre Economía Digital. "Shaping Digitalisation for an Interconnected World" ("Forjar la digitalización para un mundo intercone</w:t>
      </w:r>
      <w:r w:rsidR="00DE633C">
        <w:rPr>
          <w:lang w:val="es-ES"/>
        </w:rPr>
        <w:t>ctado"), acordada en Düsseldorf</w:t>
      </w:r>
      <w:r w:rsidRPr="00805CA6">
        <w:rPr>
          <w:lang w:val="es-ES"/>
        </w:rPr>
        <w:t xml:space="preserve"> </w:t>
      </w:r>
      <w:r w:rsidR="00DE633C">
        <w:rPr>
          <w:lang w:val="es-ES"/>
        </w:rPr>
        <w:t>(</w:t>
      </w:r>
      <w:r w:rsidRPr="00805CA6">
        <w:rPr>
          <w:lang w:val="es-ES"/>
        </w:rPr>
        <w:t>Alemania</w:t>
      </w:r>
      <w:r w:rsidR="00DE633C">
        <w:rPr>
          <w:lang w:val="es-ES"/>
        </w:rPr>
        <w:t>)</w:t>
      </w:r>
      <w:r w:rsidRPr="00805CA6">
        <w:rPr>
          <w:lang w:val="es-ES"/>
        </w:rPr>
        <w:t>, en abril de 2017. La visión común con la que aprovechar las oportunidades y hacer frente a los desafíos en transformación de la economía digital también se reafirmó en la Declaración de los Ministros de TIC e Industria del G7</w:t>
      </w:r>
      <w:r w:rsidR="00DE633C">
        <w:rPr>
          <w:rStyle w:val="FootnoteReference"/>
          <w:lang w:val="es-ES"/>
        </w:rPr>
        <w:footnoteReference w:id="2"/>
      </w:r>
      <w:r w:rsidR="00DE633C">
        <w:rPr>
          <w:lang w:val="es-ES"/>
        </w:rPr>
        <w:t xml:space="preserve"> en Turín</w:t>
      </w:r>
      <w:r w:rsidRPr="00805CA6">
        <w:rPr>
          <w:lang w:val="es-ES"/>
        </w:rPr>
        <w:t xml:space="preserve"> </w:t>
      </w:r>
      <w:r w:rsidR="00DE633C">
        <w:rPr>
          <w:lang w:val="es-ES"/>
        </w:rPr>
        <w:t>(</w:t>
      </w:r>
      <w:r w:rsidRPr="00805CA6">
        <w:rPr>
          <w:lang w:val="es-ES"/>
        </w:rPr>
        <w:t>Italia</w:t>
      </w:r>
      <w:r w:rsidR="00DE633C">
        <w:rPr>
          <w:lang w:val="es-ES"/>
        </w:rPr>
        <w:t>)</w:t>
      </w:r>
      <w:r w:rsidRPr="00805CA6">
        <w:rPr>
          <w:lang w:val="es-ES"/>
        </w:rPr>
        <w:t>, en septiembre de 2017, mientras que en la Declaración de Buenos Aires</w:t>
      </w:r>
      <w:r w:rsidR="004464D3">
        <w:rPr>
          <w:rStyle w:val="FootnoteReference"/>
          <w:lang w:val="es-ES"/>
        </w:rPr>
        <w:footnoteReference w:id="3"/>
      </w:r>
      <w:r w:rsidRPr="00805CA6">
        <w:rPr>
          <w:lang w:val="es-ES"/>
        </w:rPr>
        <w:t xml:space="preserve"> de la Conferencia Mundial de Desarrollo de las Telecomunicaciones celebrada en</w:t>
      </w:r>
      <w:r w:rsidR="00DE633C">
        <w:rPr>
          <w:lang w:val="es-ES"/>
        </w:rPr>
        <w:t xml:space="preserve"> Buenos Aires</w:t>
      </w:r>
      <w:r w:rsidRPr="00805CA6">
        <w:rPr>
          <w:lang w:val="es-ES"/>
        </w:rPr>
        <w:t xml:space="preserve"> </w:t>
      </w:r>
      <w:r w:rsidR="00DE633C">
        <w:rPr>
          <w:lang w:val="es-ES"/>
        </w:rPr>
        <w:t>(</w:t>
      </w:r>
      <w:r w:rsidRPr="00805CA6">
        <w:rPr>
          <w:lang w:val="es-ES"/>
        </w:rPr>
        <w:t>Argentina</w:t>
      </w:r>
      <w:r w:rsidR="00DE633C">
        <w:rPr>
          <w:lang w:val="es-ES"/>
        </w:rPr>
        <w:t>),</w:t>
      </w:r>
      <w:r w:rsidRPr="00805CA6">
        <w:rPr>
          <w:lang w:val="es-ES"/>
        </w:rPr>
        <w:t xml:space="preserve"> en octubre de 2017</w:t>
      </w:r>
      <w:r w:rsidR="00DE633C">
        <w:rPr>
          <w:lang w:val="es-ES"/>
        </w:rPr>
        <w:t>,</w:t>
      </w:r>
      <w:r w:rsidRPr="00805CA6">
        <w:rPr>
          <w:lang w:val="es-ES"/>
        </w:rPr>
        <w:t xml:space="preserve"> se subrayó la necesidad de desarrollar y hacer avanzar la economía digital.</w:t>
      </w:r>
    </w:p>
    <w:p w:rsidR="00805CA6" w:rsidRPr="00805CA6" w:rsidRDefault="00805CA6" w:rsidP="00805CA6">
      <w:pPr>
        <w:rPr>
          <w:lang w:val="es-ES"/>
        </w:rPr>
      </w:pPr>
      <w:r w:rsidRPr="00805CA6">
        <w:rPr>
          <w:lang w:val="es-ES"/>
        </w:rPr>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w:t>
      </w:r>
      <w:r w:rsidR="007218AE">
        <w:rPr>
          <w:lang w:val="es-ES"/>
        </w:rPr>
        <w:t>r</w:t>
      </w:r>
      <w:r w:rsidRPr="00805CA6">
        <w:rPr>
          <w:lang w:val="es-ES"/>
        </w:rPr>
        <w:t>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805CA6" w:rsidRPr="00805CA6" w:rsidRDefault="00805CA6" w:rsidP="00805CA6">
      <w:pPr>
        <w:rPr>
          <w:lang w:val="es-ES"/>
        </w:rPr>
      </w:pPr>
      <w:r w:rsidRPr="00805CA6">
        <w:rPr>
          <w:lang w:val="es-ES"/>
        </w:rPr>
        <w:t>Las tecnologías, aplicaciones inteligentes y otras innovaciones en la economía digital pueden mejorar los servicios y ayudar a superar las dificultades en materia de política en muchas esferas</w:t>
      </w:r>
      <w:r w:rsidR="004464D3">
        <w:rPr>
          <w:rStyle w:val="FootnoteReference"/>
          <w:lang w:val="es-ES"/>
        </w:rPr>
        <w:footnoteReference w:id="4"/>
      </w:r>
      <w:r w:rsidRPr="00805CA6">
        <w:rPr>
          <w:lang w:val="es-ES"/>
        </w:rPr>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w:t>
      </w:r>
      <w:r w:rsidR="004464D3">
        <w:rPr>
          <w:lang w:val="es-ES"/>
        </w:rPr>
        <w:t>mpresas (especialmente las PYME</w:t>
      </w:r>
      <w:r w:rsidRPr="00805CA6">
        <w:rPr>
          <w:lang w:val="es-ES"/>
        </w:rPr>
        <w:t>)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805CA6" w:rsidRPr="00805CA6" w:rsidRDefault="00805CA6" w:rsidP="00805CA6">
      <w:pPr>
        <w:pStyle w:val="Headingb"/>
        <w:rPr>
          <w:lang w:val="es-ES"/>
        </w:rPr>
      </w:pPr>
      <w:r w:rsidRPr="00805CA6">
        <w:rPr>
          <w:lang w:val="es-ES"/>
        </w:rPr>
        <w:t>Oportunidades y amenazas para la Unión</w:t>
      </w:r>
    </w:p>
    <w:p w:rsidR="00805CA6" w:rsidRPr="00805CA6" w:rsidRDefault="00805CA6" w:rsidP="00805CA6">
      <w:pPr>
        <w:rPr>
          <w:lang w:val="es-ES"/>
        </w:rPr>
      </w:pPr>
      <w:r w:rsidRPr="00805CA6">
        <w:rPr>
          <w:lang w:val="es-ES"/>
        </w:rPr>
        <w:t>La repercusión de la transformación digital y el crecimiento de la economía digital crea nuevos mercados y nuevos actores fundamentales en el ecosistema de telecomunicaciones/TIC. Eso genera nuevas oportunidades para que la UIT trabaje con miembros y asociados nuevos y debata sobre los nuevos desafíos de la digitalización, que posiblemente haya que gestionar mediante una cooperación internacional adecuada, por ejemplo</w:t>
      </w:r>
      <w:r w:rsidR="004464D3">
        <w:rPr>
          <w:lang w:val="es-ES"/>
        </w:rPr>
        <w:t>,</w:t>
      </w:r>
      <w:r w:rsidRPr="00805CA6">
        <w:rPr>
          <w:lang w:val="es-ES"/>
        </w:rPr>
        <w:t xml:space="preserve"> compartiendo prácticas idóneas.</w:t>
      </w:r>
    </w:p>
    <w:p w:rsidR="00805CA6" w:rsidRPr="00805CA6" w:rsidRDefault="00805CA6" w:rsidP="00805CA6">
      <w:pPr>
        <w:rPr>
          <w:lang w:val="es-ES"/>
        </w:rPr>
      </w:pPr>
      <w:r w:rsidRPr="00805CA6">
        <w:rPr>
          <w:lang w:val="es-ES"/>
        </w:rPr>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805CA6" w:rsidRPr="00805CA6" w:rsidRDefault="00805CA6" w:rsidP="007E7C7E">
      <w:pPr>
        <w:keepNext/>
        <w:keepLines/>
        <w:rPr>
          <w:lang w:val="es-ES"/>
        </w:rPr>
      </w:pPr>
      <w:r w:rsidRPr="00805CA6">
        <w:rPr>
          <w:lang w:val="es-ES"/>
        </w:rPr>
        <w:t>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ODS, desde el impacto en la atención médica y social hasta la educación, pasando por el impulso del crecimiento económico, la reducción de las desigualdades y el empoderamiento de las mujeres y las niñas. La UIT podría promover ese papel catalizador.</w:t>
      </w:r>
    </w:p>
    <w:p w:rsidR="00805CA6" w:rsidRPr="00805CA6" w:rsidRDefault="00805CA6" w:rsidP="00805CA6">
      <w:pPr>
        <w:rPr>
          <w:lang w:val="es-ES"/>
        </w:rPr>
      </w:pPr>
      <w:r w:rsidRPr="00805CA6">
        <w:rPr>
          <w:lang w:val="es-ES"/>
        </w:rPr>
        <w:t>Por otra parte siguen existiendo brechas digitales que amenazan los objetivos de la Unión. Más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PMA, por lo que no es asequible para la gran mayoría de su población.</w:t>
      </w:r>
    </w:p>
    <w:p w:rsidR="00805CA6" w:rsidRPr="00805CA6" w:rsidRDefault="00805CA6" w:rsidP="00805CA6">
      <w:pPr>
        <w:rPr>
          <w:lang w:val="es-ES"/>
        </w:rPr>
      </w:pPr>
      <w:r w:rsidRPr="00805CA6">
        <w:rPr>
          <w:lang w:val="es-ES"/>
        </w:rPr>
        <w:t>En lo que respecta al sector de las telecomunicaciones, han surgido nuevos modelos de negocio para proveedores de servicios digitales y se ha observado un aumento de la competencia que reduce los márgenes de beneficios. Eso pone en cuestión los tipos de reglamentos requeridos y muestra el contraste entre el entorno de reglamentación para servicios en línea y el entorno para servicios de telecomunicaciones tradicionales.</w:t>
      </w:r>
    </w:p>
    <w:p w:rsidR="00805CA6" w:rsidRPr="00805CA6" w:rsidRDefault="00805CA6" w:rsidP="004464D3">
      <w:pPr>
        <w:rPr>
          <w:lang w:val="es-ES"/>
        </w:rPr>
      </w:pPr>
      <w:r w:rsidRPr="00805CA6">
        <w:rPr>
          <w:lang w:val="es-ES"/>
        </w:rPr>
        <w:t xml:space="preserve">Por último, el crecimiento rápido de las TIC en un mundo cada vez más digital genera desafíos particulares y más preocupaciones que la Unión puede ayudar a solventar, en el marco del mandato otorgado por sus </w:t>
      </w:r>
      <w:r w:rsidR="004464D3">
        <w:rPr>
          <w:lang w:val="es-ES"/>
        </w:rPr>
        <w:t>m</w:t>
      </w:r>
      <w:r w:rsidRPr="00805CA6">
        <w:rPr>
          <w:lang w:val="es-ES"/>
        </w:rPr>
        <w:t>iembros: la repercusión medioambiental del incremento de redes y dispositivos conectados, la ciberseguridad, privacidad en línea y protección del consumidor, el impacto en el mercado laboral, el crecimiento de desigualdades y, además, cuestiones éticas vinculadas al uso de las nuevas tecnologías digitales.</w:t>
      </w:r>
    </w:p>
    <w:p w:rsidR="00805CA6" w:rsidRPr="00805CA6" w:rsidRDefault="00805CA6" w:rsidP="00805CA6">
      <w:pPr>
        <w:rPr>
          <w:lang w:val="es-ES"/>
        </w:rPr>
      </w:pPr>
      <w:r w:rsidRPr="0036283F">
        <w:rPr>
          <w:highlight w:val="green"/>
          <w:lang w:val="es-ES"/>
        </w:rPr>
        <w:t xml:space="preserve">En el siguiente cuadro se muestra (o se incluirá como </w:t>
      </w:r>
      <w:r w:rsidR="0036283F" w:rsidRPr="0036283F">
        <w:rPr>
          <w:highlight w:val="green"/>
          <w:lang w:val="es-ES"/>
        </w:rPr>
        <w:t>Apéndice</w:t>
      </w:r>
      <w:r w:rsidRPr="0036283F">
        <w:rPr>
          <w:highlight w:val="green"/>
          <w:lang w:val="es-ES"/>
        </w:rPr>
        <w:t>)</w:t>
      </w:r>
      <w:r w:rsidRPr="00805CA6">
        <w:rPr>
          <w:lang w:val="es-ES"/>
        </w:rPr>
        <w:t xml:space="preserve"> el análisis de fortalezas, debilidades, oportunidades y amenazas (SWOT) que debe estudiarse al elaborar la estrategia ya que en él se presentan las fortalezas y debilidades de la UIT, así como las oportunidades y amenazas a las que se enfrenta la organización.</w:t>
      </w:r>
    </w:p>
    <w:p w:rsidR="00805CA6" w:rsidRDefault="00805CA6">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805CA6" w:rsidRDefault="00805CA6" w:rsidP="00805CA6">
      <w:pPr>
        <w:pStyle w:val="Headingb"/>
        <w:rPr>
          <w:lang w:val="es-ES"/>
        </w:rPr>
      </w:pPr>
      <w:r w:rsidRPr="00805CA6">
        <w:rPr>
          <w:lang w:val="es-ES"/>
        </w:rPr>
        <w:t>Análisis SWOT</w:t>
      </w:r>
    </w:p>
    <w:tbl>
      <w:tblPr>
        <w:tblStyle w:val="TableGrid"/>
        <w:tblW w:w="0" w:type="auto"/>
        <w:tblLook w:val="04A0" w:firstRow="1" w:lastRow="0" w:firstColumn="1" w:lastColumn="0" w:noHBand="0" w:noVBand="1"/>
      </w:tblPr>
      <w:tblGrid>
        <w:gridCol w:w="4814"/>
        <w:gridCol w:w="4815"/>
      </w:tblGrid>
      <w:tr w:rsidR="00805CA6" w:rsidRPr="009076BF" w:rsidTr="00854EE2">
        <w:tc>
          <w:tcPr>
            <w:tcW w:w="4814" w:type="dxa"/>
            <w:tcBorders>
              <w:top w:val="single" w:sz="4" w:space="0" w:color="808080" w:themeColor="background1" w:themeShade="80"/>
              <w:left w:val="nil"/>
              <w:bottom w:val="nil"/>
              <w:right w:val="nil"/>
            </w:tcBorders>
          </w:tcPr>
          <w:p w:rsidR="00805CA6" w:rsidRPr="009076BF" w:rsidRDefault="00805CA6" w:rsidP="00805CA6">
            <w:pPr>
              <w:pStyle w:val="Tablehead"/>
            </w:pPr>
            <w:r w:rsidRPr="00805CA6">
              <w:rPr>
                <w:bCs/>
                <w:lang w:val="es-ES"/>
              </w:rPr>
              <w:t>Fortalezas</w:t>
            </w:r>
          </w:p>
        </w:tc>
        <w:tc>
          <w:tcPr>
            <w:tcW w:w="4815" w:type="dxa"/>
            <w:tcBorders>
              <w:top w:val="single" w:sz="4" w:space="0" w:color="808080" w:themeColor="background1" w:themeShade="80"/>
              <w:left w:val="nil"/>
              <w:bottom w:val="nil"/>
              <w:right w:val="nil"/>
            </w:tcBorders>
          </w:tcPr>
          <w:p w:rsidR="00805CA6" w:rsidRPr="009076BF" w:rsidRDefault="00805CA6" w:rsidP="00805CA6">
            <w:pPr>
              <w:pStyle w:val="Tablehead"/>
            </w:pPr>
            <w:r w:rsidRPr="00805CA6">
              <w:rPr>
                <w:bCs/>
                <w:lang w:val="es-ES"/>
              </w:rPr>
              <w:t>Debilidades</w:t>
            </w:r>
          </w:p>
        </w:tc>
      </w:tr>
      <w:tr w:rsidR="00805CA6" w:rsidRPr="00805CA6" w:rsidTr="00854EE2">
        <w:tc>
          <w:tcPr>
            <w:tcW w:w="4814" w:type="dxa"/>
            <w:tcBorders>
              <w:top w:val="nil"/>
              <w:left w:val="nil"/>
              <w:bottom w:val="single" w:sz="4" w:space="0" w:color="808080" w:themeColor="background1" w:themeShade="80"/>
              <w:right w:val="nil"/>
            </w:tcBorders>
          </w:tcPr>
          <w:p w:rsidR="00805CA6" w:rsidRPr="00805CA6" w:rsidRDefault="00805CA6" w:rsidP="00805CA6">
            <w:pPr>
              <w:pStyle w:val="Tabletext"/>
              <w:tabs>
                <w:tab w:val="left" w:pos="454"/>
              </w:tabs>
              <w:ind w:left="454" w:hanging="454"/>
            </w:pPr>
            <w:r w:rsidRPr="00805CA6">
              <w:t>1</w:t>
            </w:r>
            <w:r w:rsidRPr="00805CA6">
              <w:tab/>
            </w:r>
            <w:r w:rsidRPr="00805CA6">
              <w:rPr>
                <w:b/>
                <w:bCs/>
              </w:rPr>
              <w:t>Organismo especializado de las Naciones Unidas para las TIC</w:t>
            </w:r>
            <w:r w:rsidRPr="00805CA6">
              <w:t xml:space="preserve"> </w:t>
            </w:r>
            <w:r w:rsidRPr="00805CA6">
              <w:t>con 150 años de historia/tradición</w:t>
            </w:r>
          </w:p>
          <w:p w:rsidR="00805CA6" w:rsidRPr="007A5062" w:rsidRDefault="00805CA6" w:rsidP="007A5062">
            <w:pPr>
              <w:pStyle w:val="Tabletext"/>
              <w:tabs>
                <w:tab w:val="left" w:pos="454"/>
              </w:tabs>
              <w:ind w:left="454" w:hanging="454"/>
            </w:pPr>
            <w:r w:rsidRPr="007A5062">
              <w:t>2</w:t>
            </w:r>
            <w:r w:rsidRPr="007A5062">
              <w:tab/>
            </w:r>
            <w:r w:rsidR="007A5062" w:rsidRPr="007A5062">
              <w:rPr>
                <w:b/>
                <w:lang w:val="es-ES"/>
              </w:rPr>
              <w:t>Papel líder en la organización del uso</w:t>
            </w:r>
            <w:r w:rsidR="007A5062" w:rsidRPr="007A5062">
              <w:rPr>
                <w:lang w:val="es-ES"/>
              </w:rPr>
              <w:t xml:space="preserve"> de recursos TIC a nivel mundial mediante </w:t>
            </w:r>
            <w:r w:rsidR="007A5062" w:rsidRPr="007A5062">
              <w:rPr>
                <w:b/>
                <w:lang w:val="es-ES"/>
              </w:rPr>
              <w:t>reglamentos y normas</w:t>
            </w:r>
            <w:r w:rsidR="007A5062" w:rsidRPr="007A5062">
              <w:rPr>
                <w:lang w:val="es-ES"/>
              </w:rPr>
              <w:t xml:space="preserve"> de aplicación universal</w:t>
            </w:r>
          </w:p>
          <w:p w:rsidR="00805CA6" w:rsidRPr="007A5062" w:rsidRDefault="00805CA6" w:rsidP="007A5062">
            <w:pPr>
              <w:pStyle w:val="Tabletext"/>
              <w:tabs>
                <w:tab w:val="left" w:pos="454"/>
              </w:tabs>
              <w:ind w:left="454" w:hanging="454"/>
            </w:pPr>
            <w:r w:rsidRPr="007A5062">
              <w:t>3</w:t>
            </w:r>
            <w:r w:rsidRPr="007A5062">
              <w:tab/>
            </w:r>
            <w:r w:rsidR="007A5062" w:rsidRPr="007A5062">
              <w:rPr>
                <w:b/>
                <w:lang w:val="es-ES"/>
              </w:rPr>
              <w:t>Composición de miembros</w:t>
            </w:r>
            <w:r w:rsidR="007A5062" w:rsidRPr="007A5062">
              <w:rPr>
                <w:lang w:val="es-ES"/>
              </w:rPr>
              <w:t xml:space="preserve"> única: gobiernos, sector privado e instituciones académicas participan en las actividades de la organización</w:t>
            </w:r>
          </w:p>
          <w:p w:rsidR="00805CA6" w:rsidRPr="007A5062" w:rsidRDefault="00805CA6" w:rsidP="007A5062">
            <w:pPr>
              <w:pStyle w:val="Tabletext"/>
              <w:tabs>
                <w:tab w:val="left" w:pos="454"/>
              </w:tabs>
              <w:ind w:left="454" w:hanging="454"/>
            </w:pPr>
            <w:r w:rsidRPr="007A5062">
              <w:t>4</w:t>
            </w:r>
            <w:r w:rsidRPr="007A5062">
              <w:tab/>
            </w:r>
            <w:r w:rsidR="007A5062" w:rsidRPr="007A5062">
              <w:rPr>
                <w:lang w:val="es-ES"/>
              </w:rPr>
              <w:t xml:space="preserve">Papel doble de </w:t>
            </w:r>
            <w:r w:rsidR="007A5062" w:rsidRPr="007A5062">
              <w:rPr>
                <w:b/>
                <w:lang w:val="es-ES"/>
              </w:rPr>
              <w:t>organización normativa</w:t>
            </w:r>
            <w:r w:rsidR="007A5062" w:rsidRPr="007A5062">
              <w:rPr>
                <w:lang w:val="es-ES"/>
              </w:rPr>
              <w:t xml:space="preserve"> con experiencia en implementación de </w:t>
            </w:r>
            <w:r w:rsidR="007A5062" w:rsidRPr="007A5062">
              <w:rPr>
                <w:b/>
                <w:lang w:val="es-ES"/>
              </w:rPr>
              <w:t>iniciativas para el desarrollo</w:t>
            </w:r>
          </w:p>
          <w:p w:rsidR="00805CA6" w:rsidRPr="007A5062" w:rsidRDefault="00805CA6" w:rsidP="007A5062">
            <w:pPr>
              <w:pStyle w:val="Tabletext"/>
              <w:tabs>
                <w:tab w:val="left" w:pos="454"/>
              </w:tabs>
              <w:ind w:left="454" w:hanging="454"/>
            </w:pPr>
            <w:r w:rsidRPr="007A5062">
              <w:t>5</w:t>
            </w:r>
            <w:r w:rsidRPr="007A5062">
              <w:tab/>
            </w:r>
            <w:r w:rsidR="007A5062" w:rsidRPr="007A5062">
              <w:rPr>
                <w:b/>
                <w:lang w:val="es-ES"/>
              </w:rPr>
              <w:t>Posición prominente para fomentar el papel habilitador de las TIC</w:t>
            </w:r>
            <w:r w:rsidR="007A5062" w:rsidRPr="007A5062">
              <w:rPr>
                <w:lang w:val="es-ES"/>
              </w:rPr>
              <w:t xml:space="preserve"> con miras a acelerar la implementación de los </w:t>
            </w:r>
            <w:r w:rsidR="007A5062" w:rsidRPr="007A5062">
              <w:rPr>
                <w:b/>
                <w:lang w:val="es-ES"/>
              </w:rPr>
              <w:t>ODS</w:t>
            </w:r>
          </w:p>
          <w:p w:rsidR="00805CA6" w:rsidRPr="007A5062" w:rsidRDefault="00805CA6" w:rsidP="007A5062">
            <w:pPr>
              <w:pStyle w:val="Tabletext"/>
              <w:tabs>
                <w:tab w:val="left" w:pos="454"/>
              </w:tabs>
              <w:ind w:left="454" w:hanging="454"/>
            </w:pPr>
            <w:r w:rsidRPr="007A5062">
              <w:t>6</w:t>
            </w:r>
            <w:r w:rsidRPr="007A5062">
              <w:tab/>
            </w:r>
            <w:r w:rsidR="007A5062" w:rsidRPr="007A5062">
              <w:rPr>
                <w:b/>
                <w:lang w:val="es-ES"/>
              </w:rPr>
              <w:t>Plataforma integradora, neutral y mundial: marca fuerte</w:t>
            </w:r>
            <w:r w:rsidR="007A5062" w:rsidRPr="007A5062">
              <w:rPr>
                <w:lang w:val="es-ES"/>
              </w:rPr>
              <w:t xml:space="preserve"> con </w:t>
            </w:r>
            <w:r w:rsidR="007A5062" w:rsidRPr="007A5062">
              <w:rPr>
                <w:b/>
                <w:lang w:val="es-ES"/>
              </w:rPr>
              <w:t>buena reputación</w:t>
            </w:r>
          </w:p>
          <w:p w:rsidR="00805CA6" w:rsidRPr="007A5062" w:rsidRDefault="00805CA6" w:rsidP="007A5062">
            <w:pPr>
              <w:pStyle w:val="Tabletext"/>
              <w:tabs>
                <w:tab w:val="left" w:pos="454"/>
              </w:tabs>
              <w:ind w:left="454" w:hanging="454"/>
            </w:pPr>
            <w:r w:rsidRPr="007A5062">
              <w:t>7</w:t>
            </w:r>
            <w:r w:rsidRPr="007A5062">
              <w:tab/>
            </w:r>
            <w:r w:rsidR="007A5062" w:rsidRPr="007A5062">
              <w:rPr>
                <w:b/>
                <w:lang w:val="es-ES"/>
              </w:rPr>
              <w:t>Alianzas</w:t>
            </w:r>
            <w:r w:rsidR="007A5062" w:rsidRPr="007A5062">
              <w:rPr>
                <w:lang w:val="es-ES"/>
              </w:rPr>
              <w:t xml:space="preserve"> con </w:t>
            </w:r>
            <w:r w:rsidR="007A5062" w:rsidRPr="007A5062">
              <w:rPr>
                <w:b/>
                <w:lang w:val="es-ES"/>
              </w:rPr>
              <w:t>partes interesadas clave</w:t>
            </w:r>
            <w:r w:rsidR="007A5062" w:rsidRPr="007A5062">
              <w:rPr>
                <w:lang w:val="es-ES"/>
              </w:rPr>
              <w:t xml:space="preserve"> y </w:t>
            </w:r>
            <w:r w:rsidR="007A5062" w:rsidRPr="007A5062">
              <w:rPr>
                <w:b/>
                <w:lang w:val="es-ES"/>
              </w:rPr>
              <w:t>colaboraciones establecidas</w:t>
            </w:r>
          </w:p>
          <w:p w:rsidR="00805CA6" w:rsidRPr="007A5062" w:rsidRDefault="00805CA6" w:rsidP="007A5062">
            <w:pPr>
              <w:pStyle w:val="Tabletext"/>
              <w:tabs>
                <w:tab w:val="left" w:pos="454"/>
              </w:tabs>
              <w:ind w:left="454" w:hanging="454"/>
            </w:pPr>
            <w:r w:rsidRPr="007A5062">
              <w:t>8</w:t>
            </w:r>
            <w:r w:rsidRPr="007A5062">
              <w:tab/>
            </w:r>
            <w:r w:rsidR="007A5062" w:rsidRPr="007A5062">
              <w:rPr>
                <w:lang w:val="es-ES"/>
              </w:rPr>
              <w:t xml:space="preserve">Estructura federal: </w:t>
            </w:r>
            <w:r w:rsidR="007A5062" w:rsidRPr="007A5062">
              <w:rPr>
                <w:b/>
                <w:lang w:val="es-ES"/>
              </w:rPr>
              <w:t>se presta más atención a campos concretos</w:t>
            </w:r>
          </w:p>
          <w:p w:rsidR="00805CA6" w:rsidRPr="007A5062" w:rsidRDefault="00805CA6" w:rsidP="007A5062">
            <w:pPr>
              <w:pStyle w:val="Tabletext"/>
              <w:tabs>
                <w:tab w:val="left" w:pos="454"/>
              </w:tabs>
              <w:ind w:left="454" w:hanging="454"/>
            </w:pPr>
            <w:r w:rsidRPr="007A5062">
              <w:t>9</w:t>
            </w:r>
            <w:r w:rsidRPr="007A5062">
              <w:tab/>
            </w:r>
            <w:r w:rsidR="007A5062" w:rsidRPr="007A5062">
              <w:rPr>
                <w:b/>
                <w:lang w:val="es-ES"/>
              </w:rPr>
              <w:t>Legitimidad y capacidad para organizar</w:t>
            </w:r>
            <w:r w:rsidR="007A5062" w:rsidRPr="007A5062">
              <w:rPr>
                <w:lang w:val="es-ES"/>
              </w:rPr>
              <w:t xml:space="preserve"> eventos y conferencias internacionales destacados</w:t>
            </w:r>
          </w:p>
          <w:p w:rsidR="00805CA6" w:rsidRPr="007A5062" w:rsidRDefault="00805CA6" w:rsidP="007A5062">
            <w:pPr>
              <w:pStyle w:val="Tabletext"/>
              <w:tabs>
                <w:tab w:val="left" w:pos="454"/>
              </w:tabs>
              <w:ind w:left="454" w:hanging="454"/>
            </w:pPr>
            <w:r w:rsidRPr="007A5062">
              <w:t>10</w:t>
            </w:r>
            <w:r w:rsidRPr="007A5062">
              <w:tab/>
            </w:r>
            <w:r w:rsidR="007A5062" w:rsidRPr="007A5062">
              <w:rPr>
                <w:lang w:val="es-ES"/>
              </w:rPr>
              <w:t xml:space="preserve">Conocimiento y habilidades del personal y miembros de la UIT en cuestiones </w:t>
            </w:r>
            <w:r w:rsidR="007A5062" w:rsidRPr="007A5062">
              <w:rPr>
                <w:b/>
                <w:lang w:val="es-ES"/>
              </w:rPr>
              <w:t>técnicas</w:t>
            </w:r>
            <w:r w:rsidR="007A5062" w:rsidRPr="007A5062">
              <w:rPr>
                <w:lang w:val="es-ES"/>
              </w:rPr>
              <w:t xml:space="preserve"> (p.ej.</w:t>
            </w:r>
            <w:r w:rsidR="0036283F">
              <w:rPr>
                <w:lang w:val="es-ES"/>
              </w:rPr>
              <w:t>,</w:t>
            </w:r>
            <w:r w:rsidR="007A5062" w:rsidRPr="007A5062">
              <w:rPr>
                <w:lang w:val="es-ES"/>
              </w:rPr>
              <w:t xml:space="preserve"> radiocomunicaciones o normalización), </w:t>
            </w:r>
            <w:r w:rsidR="007A5062" w:rsidRPr="007A5062">
              <w:rPr>
                <w:b/>
                <w:lang w:val="es-ES"/>
              </w:rPr>
              <w:t>políticas y reglamentarias, estadísticas y desarrollo</w:t>
            </w:r>
            <w:r w:rsidR="007A5062" w:rsidRPr="007A5062">
              <w:rPr>
                <w:lang w:val="es-ES"/>
              </w:rPr>
              <w:t xml:space="preserve"> ("externalización abierta" de habilidades)</w:t>
            </w:r>
          </w:p>
        </w:tc>
        <w:tc>
          <w:tcPr>
            <w:tcW w:w="4815" w:type="dxa"/>
            <w:tcBorders>
              <w:top w:val="nil"/>
              <w:left w:val="nil"/>
              <w:bottom w:val="single" w:sz="4" w:space="0" w:color="808080" w:themeColor="background1" w:themeShade="80"/>
              <w:right w:val="nil"/>
            </w:tcBorders>
          </w:tcPr>
          <w:p w:rsidR="00805CA6" w:rsidRPr="00805CA6" w:rsidRDefault="00805CA6" w:rsidP="00805CA6">
            <w:pPr>
              <w:pStyle w:val="Tabletext"/>
              <w:tabs>
                <w:tab w:val="left" w:pos="408"/>
              </w:tabs>
              <w:ind w:left="408" w:hanging="408"/>
            </w:pPr>
            <w:r w:rsidRPr="00805CA6">
              <w:t>1</w:t>
            </w:r>
            <w:r w:rsidRPr="00805CA6">
              <w:tab/>
            </w:r>
            <w:r w:rsidRPr="00805CA6">
              <w:rPr>
                <w:lang w:val="es-ES"/>
              </w:rPr>
              <w:t xml:space="preserve">Duración del </w:t>
            </w:r>
            <w:r w:rsidRPr="00805CA6">
              <w:rPr>
                <w:b/>
                <w:lang w:val="es-ES"/>
              </w:rPr>
              <w:t>proceso de toma de decisiones de los organismos regentes</w:t>
            </w:r>
          </w:p>
          <w:p w:rsidR="00805CA6" w:rsidRPr="00805CA6" w:rsidRDefault="00805CA6" w:rsidP="00805CA6">
            <w:pPr>
              <w:pStyle w:val="Tabletext"/>
              <w:tabs>
                <w:tab w:val="left" w:pos="408"/>
              </w:tabs>
              <w:ind w:left="408" w:hanging="408"/>
            </w:pPr>
            <w:r w:rsidRPr="00805CA6">
              <w:t>2</w:t>
            </w:r>
            <w:r w:rsidRPr="00805CA6">
              <w:tab/>
            </w:r>
            <w:r w:rsidRPr="00805CA6">
              <w:rPr>
                <w:lang w:val="es-ES"/>
              </w:rPr>
              <w:t xml:space="preserve">La </w:t>
            </w:r>
            <w:r w:rsidRPr="00805CA6">
              <w:rPr>
                <w:b/>
                <w:lang w:val="es-ES"/>
              </w:rPr>
              <w:t>estructura federal requiere coordinación y clarificación</w:t>
            </w:r>
            <w:r w:rsidRPr="00805CA6">
              <w:rPr>
                <w:lang w:val="es-ES"/>
              </w:rPr>
              <w:t xml:space="preserve"> de las funciones de cada sector para evitar duplicaciones/incompatibilidades</w:t>
            </w:r>
          </w:p>
          <w:p w:rsidR="00805CA6" w:rsidRPr="00805CA6" w:rsidRDefault="00805CA6" w:rsidP="00805CA6">
            <w:pPr>
              <w:pStyle w:val="Tabletext"/>
              <w:tabs>
                <w:tab w:val="left" w:pos="408"/>
              </w:tabs>
              <w:ind w:left="408" w:hanging="408"/>
            </w:pPr>
            <w:r w:rsidRPr="00805CA6">
              <w:t>3</w:t>
            </w:r>
            <w:r w:rsidRPr="00805CA6">
              <w:tab/>
            </w:r>
            <w:r w:rsidRPr="00805CA6">
              <w:rPr>
                <w:lang w:val="es-ES"/>
              </w:rPr>
              <w:t xml:space="preserve">Algunos </w:t>
            </w:r>
            <w:r w:rsidRPr="00805CA6">
              <w:rPr>
                <w:b/>
                <w:lang w:val="es-ES"/>
              </w:rPr>
              <w:t>elementos de la cultura organizativa</w:t>
            </w:r>
            <w:r w:rsidRPr="00805CA6">
              <w:rPr>
                <w:lang w:val="es-ES"/>
              </w:rPr>
              <w:t xml:space="preserve"> son </w:t>
            </w:r>
            <w:r w:rsidRPr="00805CA6">
              <w:rPr>
                <w:b/>
                <w:lang w:val="es-ES"/>
              </w:rPr>
              <w:t xml:space="preserve">conservadores </w:t>
            </w:r>
            <w:r w:rsidRPr="0036283F">
              <w:rPr>
                <w:bCs/>
                <w:lang w:val="es-ES"/>
              </w:rPr>
              <w:t xml:space="preserve">y </w:t>
            </w:r>
            <w:r w:rsidRPr="00805CA6">
              <w:rPr>
                <w:b/>
                <w:lang w:val="es-ES"/>
              </w:rPr>
              <w:t>aversos al riesgo</w:t>
            </w:r>
          </w:p>
          <w:p w:rsidR="00805CA6" w:rsidRPr="007A5062" w:rsidRDefault="00805CA6" w:rsidP="007A5062">
            <w:pPr>
              <w:pStyle w:val="Tabletext"/>
              <w:tabs>
                <w:tab w:val="left" w:pos="408"/>
              </w:tabs>
              <w:ind w:left="408" w:hanging="408"/>
              <w:rPr>
                <w:b/>
                <w:bCs/>
              </w:rPr>
            </w:pPr>
            <w:r w:rsidRPr="00805CA6">
              <w:t>4</w:t>
            </w:r>
            <w:r w:rsidRPr="00805CA6">
              <w:tab/>
            </w:r>
            <w:r w:rsidRPr="00805CA6">
              <w:rPr>
                <w:lang w:val="es-ES"/>
              </w:rPr>
              <w:t xml:space="preserve">Dificultad para decidir sobre la diversificación de </w:t>
            </w:r>
            <w:r w:rsidRPr="00805CA6">
              <w:rPr>
                <w:b/>
                <w:lang w:val="es-ES"/>
              </w:rPr>
              <w:t>fuentes de ingresos</w:t>
            </w:r>
          </w:p>
        </w:tc>
      </w:tr>
      <w:tr w:rsidR="00805CA6" w:rsidRPr="009076BF" w:rsidTr="00854EE2">
        <w:tc>
          <w:tcPr>
            <w:tcW w:w="4814" w:type="dxa"/>
            <w:tcBorders>
              <w:top w:val="single" w:sz="4" w:space="0" w:color="808080" w:themeColor="background1" w:themeShade="80"/>
              <w:left w:val="nil"/>
              <w:bottom w:val="nil"/>
              <w:right w:val="nil"/>
            </w:tcBorders>
          </w:tcPr>
          <w:p w:rsidR="00805CA6" w:rsidRPr="009076BF" w:rsidRDefault="007A5062" w:rsidP="007A5062">
            <w:pPr>
              <w:pStyle w:val="Tablehead"/>
              <w:keepNext/>
              <w:keepLines/>
            </w:pPr>
            <w:r w:rsidRPr="007A5062">
              <w:rPr>
                <w:bCs/>
                <w:lang w:val="es-ES"/>
              </w:rPr>
              <w:t>Oportunidades</w:t>
            </w:r>
          </w:p>
        </w:tc>
        <w:tc>
          <w:tcPr>
            <w:tcW w:w="4815" w:type="dxa"/>
            <w:tcBorders>
              <w:top w:val="single" w:sz="4" w:space="0" w:color="808080" w:themeColor="background1" w:themeShade="80"/>
              <w:left w:val="nil"/>
              <w:bottom w:val="nil"/>
              <w:right w:val="nil"/>
            </w:tcBorders>
          </w:tcPr>
          <w:p w:rsidR="00805CA6" w:rsidRPr="009076BF" w:rsidRDefault="007A5062" w:rsidP="00854EE2">
            <w:pPr>
              <w:pStyle w:val="Tablehead"/>
              <w:keepNext/>
              <w:keepLines/>
            </w:pPr>
            <w:r w:rsidRPr="007A5062">
              <w:t>Amenazas</w:t>
            </w:r>
          </w:p>
        </w:tc>
      </w:tr>
      <w:tr w:rsidR="00805CA6" w:rsidRPr="007218AE" w:rsidTr="00854EE2">
        <w:tc>
          <w:tcPr>
            <w:tcW w:w="4814" w:type="dxa"/>
            <w:tcBorders>
              <w:top w:val="nil"/>
              <w:left w:val="nil"/>
              <w:bottom w:val="single" w:sz="4" w:space="0" w:color="808080" w:themeColor="background1" w:themeShade="80"/>
              <w:right w:val="nil"/>
            </w:tcBorders>
          </w:tcPr>
          <w:p w:rsidR="00805CA6" w:rsidRPr="007A5062" w:rsidRDefault="00805CA6" w:rsidP="007A5062">
            <w:pPr>
              <w:pStyle w:val="Tabletext"/>
              <w:keepNext/>
              <w:keepLines/>
              <w:tabs>
                <w:tab w:val="left" w:pos="489"/>
              </w:tabs>
              <w:ind w:left="489" w:hanging="489"/>
            </w:pPr>
            <w:r w:rsidRPr="007A5062">
              <w:t>1</w:t>
            </w:r>
            <w:r w:rsidRPr="007A5062">
              <w:tab/>
            </w:r>
            <w:r w:rsidR="007A5062" w:rsidRPr="007A5062">
              <w:rPr>
                <w:lang w:val="es-ES"/>
              </w:rPr>
              <w:t xml:space="preserve">La creación de </w:t>
            </w:r>
            <w:r w:rsidR="007A5062" w:rsidRPr="007A5062">
              <w:rPr>
                <w:b/>
                <w:lang w:val="es-ES"/>
              </w:rPr>
              <w:t>mercados nuevos</w:t>
            </w:r>
            <w:r w:rsidR="007A5062" w:rsidRPr="007A5062">
              <w:rPr>
                <w:lang w:val="es-ES"/>
              </w:rPr>
              <w:t xml:space="preserve"> y la llegada de </w:t>
            </w:r>
            <w:r w:rsidR="007A5062" w:rsidRPr="007A5062">
              <w:rPr>
                <w:b/>
                <w:lang w:val="es-ES"/>
              </w:rPr>
              <w:t>nuevos actores clave crea oportunidades de membresía</w:t>
            </w:r>
          </w:p>
          <w:p w:rsidR="00805CA6" w:rsidRPr="007A5062" w:rsidRDefault="00805CA6" w:rsidP="007A5062">
            <w:pPr>
              <w:pStyle w:val="Tabletext"/>
              <w:keepNext/>
              <w:keepLines/>
              <w:tabs>
                <w:tab w:val="left" w:pos="489"/>
              </w:tabs>
              <w:ind w:left="489" w:hanging="489"/>
            </w:pPr>
            <w:r w:rsidRPr="007A5062">
              <w:t>2</w:t>
            </w:r>
            <w:r w:rsidRPr="007A5062">
              <w:tab/>
            </w:r>
            <w:r w:rsidR="007A5062" w:rsidRPr="007A5062">
              <w:rPr>
                <w:lang w:val="es-ES"/>
              </w:rPr>
              <w:t xml:space="preserve">Los Estados Miembros del </w:t>
            </w:r>
            <w:r w:rsidR="007A5062" w:rsidRPr="007A5062">
              <w:rPr>
                <w:b/>
                <w:lang w:val="es-ES"/>
              </w:rPr>
              <w:t>mundo en desarrollo participan cada vez más en el sistema multilateral</w:t>
            </w:r>
          </w:p>
          <w:p w:rsidR="00805CA6" w:rsidRPr="007A5062" w:rsidRDefault="00805CA6" w:rsidP="007A5062">
            <w:pPr>
              <w:pStyle w:val="Tabletext"/>
              <w:keepNext/>
              <w:keepLines/>
              <w:tabs>
                <w:tab w:val="left" w:pos="489"/>
              </w:tabs>
              <w:ind w:left="489" w:hanging="489"/>
            </w:pPr>
            <w:r w:rsidRPr="007A5062">
              <w:t>3</w:t>
            </w:r>
            <w:r w:rsidRPr="007A5062">
              <w:tab/>
            </w:r>
            <w:r w:rsidR="007A5062" w:rsidRPr="007A5062">
              <w:rPr>
                <w:lang w:val="es-ES"/>
              </w:rPr>
              <w:t xml:space="preserve">Mayor </w:t>
            </w:r>
            <w:r w:rsidR="007A5062" w:rsidRPr="007A5062">
              <w:rPr>
                <w:b/>
                <w:lang w:val="es-ES"/>
              </w:rPr>
              <w:t>relevancia de las TIC en la sociedad</w:t>
            </w:r>
            <w:r w:rsidR="007A5062" w:rsidRPr="007A5062">
              <w:rPr>
                <w:lang w:val="es-ES"/>
              </w:rPr>
              <w:t xml:space="preserve">, los </w:t>
            </w:r>
            <w:r w:rsidR="007A5062" w:rsidRPr="007A5062">
              <w:rPr>
                <w:b/>
                <w:lang w:val="es-ES"/>
              </w:rPr>
              <w:t>datos</w:t>
            </w:r>
            <w:r w:rsidR="007A5062" w:rsidRPr="007A5062">
              <w:rPr>
                <w:lang w:val="es-ES"/>
              </w:rPr>
              <w:t xml:space="preserve"> se consideran el </w:t>
            </w:r>
            <w:r w:rsidR="007A5062" w:rsidRPr="007A5062">
              <w:rPr>
                <w:b/>
                <w:lang w:val="es-ES"/>
              </w:rPr>
              <w:t>nuevo petróleo</w:t>
            </w:r>
          </w:p>
          <w:p w:rsidR="00805CA6" w:rsidRPr="007A5062" w:rsidRDefault="00805CA6" w:rsidP="007A5062">
            <w:pPr>
              <w:pStyle w:val="Tabletext"/>
              <w:keepNext/>
              <w:keepLines/>
              <w:tabs>
                <w:tab w:val="left" w:pos="489"/>
              </w:tabs>
              <w:ind w:left="489" w:hanging="489"/>
            </w:pPr>
            <w:r w:rsidRPr="007A5062">
              <w:t>4</w:t>
            </w:r>
            <w:r w:rsidRPr="007A5062">
              <w:tab/>
            </w:r>
            <w:r w:rsidR="007A5062" w:rsidRPr="007A5062">
              <w:rPr>
                <w:b/>
                <w:lang w:val="es-ES"/>
              </w:rPr>
              <w:t>Impacto catalizador de TIC en la implementación de ODS</w:t>
            </w:r>
            <w:r w:rsidR="007A5062" w:rsidRPr="007A5062">
              <w:rPr>
                <w:lang w:val="es-ES"/>
              </w:rPr>
              <w:t xml:space="preserve"> (repercusión en la atención médica y social, educación, identidad social, etc.)</w:t>
            </w:r>
          </w:p>
          <w:p w:rsidR="00805CA6" w:rsidRPr="007A5062" w:rsidRDefault="00805CA6" w:rsidP="007A5062">
            <w:pPr>
              <w:pStyle w:val="Tabletext"/>
              <w:keepNext/>
              <w:keepLines/>
              <w:tabs>
                <w:tab w:val="left" w:pos="489"/>
              </w:tabs>
              <w:ind w:left="489" w:hanging="489"/>
            </w:pPr>
            <w:r w:rsidRPr="007A5062">
              <w:t>5</w:t>
            </w:r>
            <w:r w:rsidRPr="007A5062">
              <w:tab/>
            </w:r>
            <w:r w:rsidR="007A5062" w:rsidRPr="007A5062">
              <w:rPr>
                <w:b/>
                <w:lang w:val="es-ES"/>
              </w:rPr>
              <w:t>Transformación digital</w:t>
            </w:r>
            <w:r w:rsidR="007A5062" w:rsidRPr="007A5062">
              <w:rPr>
                <w:lang w:val="es-ES"/>
              </w:rPr>
              <w:t xml:space="preserve"> del </w:t>
            </w:r>
            <w:r w:rsidR="0036283F">
              <w:rPr>
                <w:lang w:val="es-ES"/>
              </w:rPr>
              <w:t>sector y los servicios públicos</w:t>
            </w:r>
          </w:p>
          <w:p w:rsidR="00805CA6" w:rsidRPr="007A5062" w:rsidRDefault="00805CA6" w:rsidP="007A5062">
            <w:pPr>
              <w:pStyle w:val="Tabletext"/>
              <w:keepNext/>
              <w:keepLines/>
              <w:tabs>
                <w:tab w:val="left" w:pos="489"/>
              </w:tabs>
              <w:ind w:left="489" w:hanging="489"/>
            </w:pPr>
            <w:r w:rsidRPr="007A5062">
              <w:t>6</w:t>
            </w:r>
            <w:r w:rsidRPr="007A5062">
              <w:tab/>
            </w:r>
            <w:r w:rsidR="007A5062" w:rsidRPr="007A5062">
              <w:rPr>
                <w:lang w:val="es-ES"/>
              </w:rPr>
              <w:t xml:space="preserve">Los nuevos sistemas, actores y tecnologías requieren </w:t>
            </w:r>
            <w:r w:rsidR="007A5062" w:rsidRPr="007A5062">
              <w:rPr>
                <w:b/>
                <w:lang w:val="es-ES"/>
              </w:rPr>
              <w:t>reglamentos y normas armonizados</w:t>
            </w:r>
          </w:p>
          <w:p w:rsidR="00805CA6" w:rsidRPr="007A5062" w:rsidRDefault="00805CA6" w:rsidP="007A5062">
            <w:pPr>
              <w:pStyle w:val="Tabletext"/>
              <w:keepNext/>
              <w:keepLines/>
              <w:tabs>
                <w:tab w:val="left" w:pos="489"/>
              </w:tabs>
              <w:ind w:left="489" w:hanging="489"/>
            </w:pPr>
            <w:r w:rsidRPr="007A5062">
              <w:t>7</w:t>
            </w:r>
            <w:r w:rsidRPr="007A5062">
              <w:tab/>
            </w:r>
            <w:r w:rsidR="007A5062" w:rsidRPr="007A5062">
              <w:rPr>
                <w:lang w:val="es-ES"/>
              </w:rPr>
              <w:t xml:space="preserve">Los nuevos </w:t>
            </w:r>
            <w:r w:rsidR="007A5062" w:rsidRPr="007A5062">
              <w:rPr>
                <w:b/>
                <w:lang w:val="es-ES"/>
              </w:rPr>
              <w:t>mercados/tecnologías respetuosos con el medio ambiente</w:t>
            </w:r>
            <w:r w:rsidR="007A5062" w:rsidRPr="007A5062">
              <w:rPr>
                <w:lang w:val="es-ES"/>
              </w:rPr>
              <w:t xml:space="preserve"> generan nuevas oportunidades para asociaciones</w:t>
            </w:r>
          </w:p>
          <w:p w:rsidR="00805CA6" w:rsidRPr="007A5062" w:rsidRDefault="00805CA6" w:rsidP="007A5062">
            <w:pPr>
              <w:pStyle w:val="Tabletext"/>
              <w:keepNext/>
              <w:keepLines/>
              <w:tabs>
                <w:tab w:val="left" w:pos="489"/>
              </w:tabs>
              <w:ind w:left="489" w:hanging="489"/>
            </w:pPr>
            <w:r w:rsidRPr="007A5062">
              <w:t>8</w:t>
            </w:r>
            <w:r w:rsidRPr="007A5062">
              <w:tab/>
            </w:r>
            <w:r w:rsidR="007A5062" w:rsidRPr="007A5062">
              <w:rPr>
                <w:lang w:val="es-ES"/>
              </w:rPr>
              <w:t xml:space="preserve">Apoyo de algunas </w:t>
            </w:r>
            <w:r w:rsidR="007A5062" w:rsidRPr="007A5062">
              <w:rPr>
                <w:b/>
                <w:lang w:val="es-ES"/>
              </w:rPr>
              <w:t>organizaciones de medios de comunicación y defensa</w:t>
            </w:r>
          </w:p>
        </w:tc>
        <w:tc>
          <w:tcPr>
            <w:tcW w:w="4815" w:type="dxa"/>
            <w:tcBorders>
              <w:top w:val="nil"/>
              <w:left w:val="nil"/>
              <w:bottom w:val="single" w:sz="4" w:space="0" w:color="808080" w:themeColor="background1" w:themeShade="80"/>
              <w:right w:val="nil"/>
            </w:tcBorders>
          </w:tcPr>
          <w:p w:rsidR="00805CA6" w:rsidRPr="007218AE" w:rsidRDefault="00805CA6" w:rsidP="007218AE">
            <w:pPr>
              <w:pStyle w:val="Tabletext"/>
              <w:keepNext/>
              <w:keepLines/>
              <w:tabs>
                <w:tab w:val="left" w:pos="433"/>
              </w:tabs>
              <w:ind w:left="433" w:hanging="433"/>
            </w:pPr>
            <w:r w:rsidRPr="007218AE">
              <w:t>1</w:t>
            </w:r>
            <w:r w:rsidRPr="007218AE">
              <w:tab/>
            </w:r>
            <w:r w:rsidR="007218AE" w:rsidRPr="007218AE">
              <w:rPr>
                <w:b/>
                <w:lang w:val="es-ES"/>
              </w:rPr>
              <w:t>Aumentan las brechas</w:t>
            </w:r>
            <w:r w:rsidR="007218AE" w:rsidRPr="007218AE">
              <w:rPr>
                <w:lang w:val="es-ES"/>
              </w:rPr>
              <w:t xml:space="preserve"> (p.ej.</w:t>
            </w:r>
            <w:r w:rsidR="0036283F">
              <w:rPr>
                <w:lang w:val="es-ES"/>
              </w:rPr>
              <w:t>,</w:t>
            </w:r>
            <w:r w:rsidR="007218AE" w:rsidRPr="007218AE">
              <w:rPr>
                <w:lang w:val="es-ES"/>
              </w:rPr>
              <w:t xml:space="preserve"> digital, de género, geográfica)</w:t>
            </w:r>
          </w:p>
          <w:p w:rsidR="00805CA6" w:rsidRPr="007218AE" w:rsidRDefault="00805CA6" w:rsidP="007218AE">
            <w:pPr>
              <w:pStyle w:val="Tabletext"/>
              <w:keepNext/>
              <w:keepLines/>
              <w:tabs>
                <w:tab w:val="left" w:pos="433"/>
              </w:tabs>
              <w:ind w:left="433" w:hanging="433"/>
            </w:pPr>
            <w:r w:rsidRPr="007218AE">
              <w:t>2</w:t>
            </w:r>
            <w:r w:rsidRPr="007218AE">
              <w:tab/>
            </w:r>
            <w:r w:rsidR="007218AE" w:rsidRPr="007218AE">
              <w:rPr>
                <w:lang w:val="es-ES"/>
              </w:rPr>
              <w:t xml:space="preserve">Dificultad de la </w:t>
            </w:r>
            <w:r w:rsidR="007218AE" w:rsidRPr="007218AE">
              <w:rPr>
                <w:b/>
                <w:lang w:val="es-ES"/>
              </w:rPr>
              <w:t>economía mundial</w:t>
            </w:r>
            <w:r w:rsidR="007218AE" w:rsidRPr="007218AE">
              <w:rPr>
                <w:lang w:val="es-ES"/>
              </w:rPr>
              <w:t xml:space="preserve"> para recuperar una trayectoria de crecimiento fuerte, equilibrado y sostenido</w:t>
            </w:r>
          </w:p>
          <w:p w:rsidR="00805CA6" w:rsidRPr="007218AE" w:rsidRDefault="00805CA6" w:rsidP="007218AE">
            <w:pPr>
              <w:pStyle w:val="Tabletext"/>
              <w:keepNext/>
              <w:keepLines/>
              <w:tabs>
                <w:tab w:val="left" w:pos="433"/>
              </w:tabs>
              <w:ind w:left="433" w:hanging="433"/>
            </w:pPr>
            <w:r w:rsidRPr="007218AE">
              <w:t>3</w:t>
            </w:r>
            <w:r w:rsidRPr="007218AE">
              <w:tab/>
            </w:r>
            <w:r w:rsidR="007218AE" w:rsidRPr="007218AE">
              <w:rPr>
                <w:lang w:val="es-ES"/>
              </w:rPr>
              <w:t xml:space="preserve">Los nuevos </w:t>
            </w:r>
            <w:r w:rsidR="007218AE" w:rsidRPr="007218AE">
              <w:rPr>
                <w:b/>
                <w:lang w:val="es-ES"/>
              </w:rPr>
              <w:t>proveedores de servicios digitales</w:t>
            </w:r>
            <w:r w:rsidR="007218AE" w:rsidRPr="007218AE">
              <w:rPr>
                <w:lang w:val="es-ES"/>
              </w:rPr>
              <w:t xml:space="preserve"> y el </w:t>
            </w:r>
            <w:r w:rsidR="007218AE" w:rsidRPr="007218AE">
              <w:rPr>
                <w:b/>
                <w:lang w:val="es-ES"/>
              </w:rPr>
              <w:t>aumento de la competición</w:t>
            </w:r>
            <w:r w:rsidR="007218AE" w:rsidRPr="007218AE">
              <w:rPr>
                <w:lang w:val="es-ES"/>
              </w:rPr>
              <w:t xml:space="preserve"> reducen los márgenes de beneficios y ponen en cuestión los tipos de reglamentos requeridos</w:t>
            </w:r>
          </w:p>
          <w:p w:rsidR="00805CA6" w:rsidRPr="007218AE" w:rsidRDefault="00805CA6" w:rsidP="007218AE">
            <w:pPr>
              <w:pStyle w:val="Tabletext"/>
              <w:keepNext/>
              <w:keepLines/>
              <w:tabs>
                <w:tab w:val="left" w:pos="433"/>
              </w:tabs>
              <w:ind w:left="433" w:hanging="433"/>
            </w:pPr>
            <w:r w:rsidRPr="007218AE">
              <w:t>4</w:t>
            </w:r>
            <w:r w:rsidRPr="007218AE">
              <w:tab/>
            </w:r>
            <w:r w:rsidR="007218AE" w:rsidRPr="007218AE">
              <w:rPr>
                <w:b/>
                <w:lang w:val="es-ES"/>
              </w:rPr>
              <w:t>Repercusión social de TIC</w:t>
            </w:r>
            <w:r w:rsidR="007218AE" w:rsidRPr="007218AE">
              <w:rPr>
                <w:lang w:val="es-ES"/>
              </w:rPr>
              <w:t xml:space="preserve"> (privacidad en línea, protección de consumidor, seguridad, consecuencias en el mercado laboral, desigualdades crecientes, cuestiones éticas)</w:t>
            </w:r>
          </w:p>
          <w:p w:rsidR="00805CA6" w:rsidRPr="007218AE" w:rsidRDefault="00805CA6" w:rsidP="007218AE">
            <w:pPr>
              <w:pStyle w:val="Tabletext"/>
              <w:keepNext/>
              <w:keepLines/>
              <w:tabs>
                <w:tab w:val="left" w:pos="433"/>
              </w:tabs>
              <w:ind w:left="433" w:hanging="433"/>
            </w:pPr>
            <w:r w:rsidRPr="007218AE">
              <w:t>5</w:t>
            </w:r>
            <w:r w:rsidRPr="007218AE">
              <w:tab/>
            </w:r>
            <w:r w:rsidR="007218AE" w:rsidRPr="007218AE">
              <w:rPr>
                <w:lang w:val="es-ES"/>
              </w:rPr>
              <w:t xml:space="preserve">Las </w:t>
            </w:r>
            <w:r w:rsidR="007218AE" w:rsidRPr="007218AE">
              <w:rPr>
                <w:b/>
                <w:lang w:val="es-ES"/>
              </w:rPr>
              <w:t>repercusiones en el medio ambiente</w:t>
            </w:r>
            <w:r w:rsidR="007218AE" w:rsidRPr="007218AE">
              <w:rPr>
                <w:lang w:val="es-ES"/>
              </w:rPr>
              <w:t xml:space="preserve"> del aumento de redes, datos y dispositivos conectados)</w:t>
            </w:r>
          </w:p>
          <w:p w:rsidR="00805CA6" w:rsidRPr="007218AE" w:rsidRDefault="00805CA6" w:rsidP="007218AE">
            <w:pPr>
              <w:pStyle w:val="Tabletext"/>
              <w:keepNext/>
              <w:keepLines/>
              <w:tabs>
                <w:tab w:val="left" w:pos="433"/>
              </w:tabs>
              <w:ind w:left="433" w:hanging="433"/>
            </w:pPr>
            <w:r w:rsidRPr="007218AE">
              <w:t>6</w:t>
            </w:r>
            <w:r w:rsidRPr="007218AE">
              <w:tab/>
            </w:r>
            <w:r w:rsidR="007218AE" w:rsidRPr="007218AE">
              <w:rPr>
                <w:b/>
                <w:lang w:val="es-ES"/>
              </w:rPr>
              <w:t>Presión</w:t>
            </w:r>
            <w:r w:rsidR="007218AE" w:rsidRPr="007218AE">
              <w:rPr>
                <w:lang w:val="es-ES"/>
              </w:rPr>
              <w:t xml:space="preserve"> de diversas partes interesadas por </w:t>
            </w:r>
            <w:r w:rsidR="007218AE" w:rsidRPr="007218AE">
              <w:rPr>
                <w:b/>
                <w:lang w:val="es-ES"/>
              </w:rPr>
              <w:t>aplicar planteamientos no probados</w:t>
            </w:r>
          </w:p>
          <w:p w:rsidR="00805CA6" w:rsidRPr="007218AE" w:rsidRDefault="00805CA6" w:rsidP="007218AE">
            <w:pPr>
              <w:pStyle w:val="Tabletext"/>
              <w:keepNext/>
              <w:keepLines/>
              <w:tabs>
                <w:tab w:val="left" w:pos="433"/>
              </w:tabs>
              <w:ind w:left="433" w:hanging="433"/>
            </w:pPr>
            <w:r w:rsidRPr="007218AE">
              <w:t>7</w:t>
            </w:r>
            <w:r w:rsidRPr="007218AE">
              <w:tab/>
            </w:r>
            <w:r w:rsidR="007218AE" w:rsidRPr="007218AE">
              <w:rPr>
                <w:b/>
                <w:lang w:val="es-ES"/>
              </w:rPr>
              <w:t>Duplicación de labores</w:t>
            </w:r>
            <w:r w:rsidR="007218AE" w:rsidRPr="007218AE">
              <w:rPr>
                <w:lang w:val="es-ES"/>
              </w:rPr>
              <w:t xml:space="preserve"> con otras organizaciones/asociaciones</w:t>
            </w:r>
          </w:p>
        </w:tc>
      </w:tr>
    </w:tbl>
    <w:p w:rsidR="007218AE" w:rsidRPr="007218AE" w:rsidRDefault="007218AE" w:rsidP="0036283F">
      <w:pPr>
        <w:pStyle w:val="Heading2"/>
        <w:rPr>
          <w:lang w:val="es-ES"/>
        </w:rPr>
      </w:pPr>
      <w:r>
        <w:rPr>
          <w:lang w:val="es-ES"/>
        </w:rPr>
        <w:t>6.b</w:t>
      </w:r>
      <w:r w:rsidRPr="007218AE">
        <w:rPr>
          <w:lang w:val="es-ES"/>
        </w:rPr>
        <w:tab/>
        <w:t xml:space="preserve">Examen general de las </w:t>
      </w:r>
      <w:r w:rsidR="0036283F">
        <w:rPr>
          <w:lang w:val="es-ES"/>
        </w:rPr>
        <w:t>f</w:t>
      </w:r>
      <w:r w:rsidRPr="007218AE">
        <w:rPr>
          <w:lang w:val="es-ES"/>
        </w:rPr>
        <w:t>inalidades del Plan Estratégico para 2016-2019</w:t>
      </w:r>
    </w:p>
    <w:p w:rsidR="007218AE" w:rsidRPr="007218AE" w:rsidRDefault="007218AE" w:rsidP="007218AE">
      <w:pPr>
        <w:rPr>
          <w:lang w:val="es-ES"/>
        </w:rPr>
      </w:pPr>
      <w:r w:rsidRPr="007218AE">
        <w:rPr>
          <w:lang w:val="es-ES"/>
        </w:rPr>
        <w:t>En el Plan Estratégico para 2016-2019 se establecen cuatro metas: crecimiento, integración, sostenibilidad e innovación y asociación, con diversos objetivos estratégicos subyacentes (incluidos los objetivos de la Agenda Conectar 2020).</w:t>
      </w:r>
    </w:p>
    <w:p w:rsidR="007218AE" w:rsidRPr="007218AE" w:rsidRDefault="007218AE" w:rsidP="007218AE">
      <w:pPr>
        <w:rPr>
          <w:lang w:val="es-ES"/>
        </w:rPr>
      </w:pPr>
      <w:r w:rsidRPr="007218AE">
        <w:rPr>
          <w:lang w:val="es-ES"/>
        </w:rPr>
        <w:t>Con el Objetivo 1.1 se aspira alcanzar una tasa del 55% de hogares conectados en el mundo y, en el marco de la Meta 2, en los Objetivos subyacentes se establecen unas tasas deseadas del 50% y el 15% de hogares conectados en países en desarrollo (2.1.A) y en PMA (2.1.B) respectivamente. Se espera que se cumplan todos esos objetivos de conectividad en los hogares para el año 2020.</w:t>
      </w:r>
    </w:p>
    <w:p w:rsidR="007218AE" w:rsidRPr="007218AE" w:rsidRDefault="007218AE" w:rsidP="007218AE">
      <w:pPr>
        <w:rPr>
          <w:lang w:val="es-ES"/>
        </w:rPr>
      </w:pPr>
      <w:r w:rsidRPr="007218AE">
        <w:rPr>
          <w:lang w:val="es-ES"/>
        </w:rPr>
        <w:t>Los Objetivos 1.2, 2.2.A y 2.2.B establecen el número deseado de personas conectadas en el mundo (60%), en los países en desarrollo (50%) y en los PMA (20%) respectivamente. Todos esos objetivos también van por buen camino para su consecución a tiempo para el 2020.</w:t>
      </w:r>
    </w:p>
    <w:p w:rsidR="007218AE" w:rsidRPr="007218AE" w:rsidRDefault="007218AE" w:rsidP="007218AE">
      <w:pPr>
        <w:rPr>
          <w:lang w:val="es-ES"/>
        </w:rPr>
      </w:pPr>
      <w:r w:rsidRPr="007218AE">
        <w:rPr>
          <w:lang w:val="es-ES"/>
        </w:rPr>
        <w:t>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2.3.A). Con el Objetivo 2.3.B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7218AE" w:rsidRPr="007218AE" w:rsidRDefault="007218AE" w:rsidP="007E7C7E">
      <w:pPr>
        <w:keepNext/>
        <w:keepLines/>
        <w:rPr>
          <w:lang w:val="es-ES"/>
        </w:rPr>
      </w:pPr>
      <w:r w:rsidRPr="007218AE">
        <w:rPr>
          <w:lang w:val="es-ES"/>
        </w:rPr>
        <w:t>En el Objetivo 2.4 se establece que el 90% de la población rural del mundo debería estar atendida por servicios de banda ancha para 2020. Que se cumpla o no este objetivo depende en gran medida del tiempo que se tarde en reemplazar la cobertura 2G por la 3G. Actualmente con la 2G se presta servicio a más del 90% de la población rural, por lo que podría cumplirse si se aplican las mejoras necesarias.</w:t>
      </w:r>
    </w:p>
    <w:p w:rsidR="007218AE" w:rsidRPr="007218AE" w:rsidRDefault="007218AE" w:rsidP="007218AE">
      <w:pPr>
        <w:rPr>
          <w:lang w:val="es-ES"/>
        </w:rPr>
      </w:pPr>
      <w:r w:rsidRPr="007218AE">
        <w:rPr>
          <w:lang w:val="es-ES"/>
        </w:rPr>
        <w:t>La igualdad de género en cuanto a acceso a Internet figura como Objetivo 2.5.A. En los últimos años el rápido crecimiento en los países en desarrollo estaba asociado a un aumento en la desigualdad de género, pero los últimos datos de la UIT muestran que la brecha entre los géneros está disminuyendo actualmente: de 12,2% en 2016 a 11,6% en 2017.</w:t>
      </w:r>
    </w:p>
    <w:p w:rsidR="007218AE" w:rsidRPr="007218AE" w:rsidRDefault="007218AE" w:rsidP="007218AE">
      <w:pPr>
        <w:rPr>
          <w:lang w:val="es-ES"/>
        </w:rPr>
      </w:pPr>
      <w:r w:rsidRPr="007218AE">
        <w:rPr>
          <w:lang w:val="es-ES"/>
        </w:rPr>
        <w:t>En el Objetivo 2.5.B se incorpora la estrategia de accesibilidad para personas con discapacidades. Actualmente 48 de los 64 países que han presentado informes al respecto tienen una estrategia así.</w:t>
      </w:r>
    </w:p>
    <w:p w:rsidR="007218AE" w:rsidRPr="007218AE" w:rsidRDefault="007218AE" w:rsidP="00EE1892">
      <w:pPr>
        <w:rPr>
          <w:lang w:val="es-ES"/>
        </w:rPr>
      </w:pPr>
      <w:r w:rsidRPr="007218AE">
        <w:rPr>
          <w:lang w:val="es-ES"/>
        </w:rPr>
        <w:t>En el Objetivo 3.1 se establece que la preparación para la ciberseguridad deberá mejorarse para</w:t>
      </w:r>
      <w:r w:rsidR="00EE1892">
        <w:rPr>
          <w:lang w:val="es-ES"/>
        </w:rPr>
        <w:t> </w:t>
      </w:r>
      <w:bookmarkStart w:id="6" w:name="_GoBack"/>
      <w:bookmarkEnd w:id="6"/>
      <w:r w:rsidRPr="007218AE">
        <w:rPr>
          <w:lang w:val="es-ES"/>
        </w:rPr>
        <w:t>2020. Desde 2016, la UIT realiza mediciones al respecto mediante el Índice Mundial de Ciberseguridad, que debe utilizarse para evaluar esa mejora en 2020.</w:t>
      </w:r>
    </w:p>
    <w:p w:rsidR="007218AE" w:rsidRPr="007218AE" w:rsidRDefault="007218AE" w:rsidP="007218AE">
      <w:pPr>
        <w:rPr>
          <w:lang w:val="es-ES"/>
        </w:rPr>
      </w:pPr>
      <w:r w:rsidRPr="007218AE">
        <w:rPr>
          <w:lang w:val="es-ES"/>
        </w:rPr>
        <w:t>Con el Objetivo 4.1 se pretende obtener un entorno de telecomunicaciones/TIC propicio para la innovación. En los últimos años se ha visto un aumento rápido en el número de países con una estrategia de innovación nacional encaminada a ello.</w:t>
      </w:r>
    </w:p>
    <w:p w:rsidR="007218AE" w:rsidRDefault="007218AE" w:rsidP="0032202E">
      <w:pPr>
        <w:pStyle w:val="Reasons"/>
      </w:pPr>
    </w:p>
    <w:p w:rsidR="007218AE" w:rsidRDefault="007218AE">
      <w:pPr>
        <w:jc w:val="center"/>
      </w:pPr>
      <w:r>
        <w:t>______________</w:t>
      </w:r>
    </w:p>
    <w:sectPr w:rsidR="007218A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AD" w:rsidRDefault="007E3CAD">
      <w:r>
        <w:separator/>
      </w:r>
    </w:p>
  </w:endnote>
  <w:endnote w:type="continuationSeparator" w:id="0">
    <w:p w:rsidR="007E3CAD" w:rsidRDefault="007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20C2A" w:rsidRDefault="007218AE" w:rsidP="007218AE">
    <w:pPr>
      <w:pStyle w:val="Footer"/>
    </w:pPr>
    <w:fldSimple w:instr=" FILENAME \p  \* MERGEFORMAT ">
      <w:r w:rsidR="00235869">
        <w:t>P:\ESP\SG\CONSEIL\CWG-SFP\CWG-SFP3\000\006S.docx</w:t>
      </w:r>
    </w:fldSimple>
    <w:r>
      <w:t xml:space="preserve"> (429744)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720C2A" w:rsidRDefault="007218AE" w:rsidP="007218AE">
    <w:pPr>
      <w:pStyle w:val="Footer"/>
    </w:pPr>
    <w:r>
      <w:fldChar w:fldCharType="begin"/>
    </w:r>
    <w:r>
      <w:instrText xml:space="preserve"> FILENAME \p  \* MERGEFORMAT </w:instrText>
    </w:r>
    <w:r>
      <w:fldChar w:fldCharType="separate"/>
    </w:r>
    <w:r w:rsidR="00235869">
      <w:t>P:\ESP\SG\CONSEIL\CWG-SFP\CWG-SFP3\000\006S.docx</w:t>
    </w:r>
    <w:r>
      <w:fldChar w:fldCharType="end"/>
    </w:r>
    <w:r>
      <w:t xml:space="preserve"> (429744)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AD" w:rsidRDefault="007E3CAD">
      <w:r>
        <w:t>____________________</w:t>
      </w:r>
    </w:p>
  </w:footnote>
  <w:footnote w:type="continuationSeparator" w:id="0">
    <w:p w:rsidR="007E3CAD" w:rsidRDefault="007E3CAD">
      <w:r>
        <w:continuationSeparator/>
      </w:r>
    </w:p>
  </w:footnote>
  <w:footnote w:id="1">
    <w:p w:rsidR="00D57182" w:rsidRDefault="00D57182" w:rsidP="00D57182">
      <w:pPr>
        <w:pStyle w:val="FootnoteText"/>
      </w:pPr>
      <w:r>
        <w:rPr>
          <w:rStyle w:val="FootnoteReference"/>
        </w:rPr>
        <w:footnoteRef/>
      </w:r>
      <w:r>
        <w:tab/>
        <w:t xml:space="preserve">Informes disponibles también en línea en </w:t>
      </w:r>
      <w:hyperlink r:id="rId1" w:history="1">
        <w:r>
          <w:rPr>
            <w:rStyle w:val="Hyperlink"/>
          </w:rPr>
          <w:t>https://www.itu.int/annual-report-2016</w:t>
        </w:r>
      </w:hyperlink>
      <w:r w:rsidRPr="00805CA6">
        <w:rPr>
          <w:lang w:val="es-ES"/>
        </w:rPr>
        <w:t>.</w:t>
      </w:r>
    </w:p>
  </w:footnote>
  <w:footnote w:id="2">
    <w:p w:rsidR="00DE633C" w:rsidRPr="007E7C7E" w:rsidRDefault="00DE633C" w:rsidP="007E7C7E">
      <w:pPr>
        <w:pStyle w:val="FootnoteText"/>
      </w:pPr>
      <w:r>
        <w:rPr>
          <w:rStyle w:val="FootnoteReference"/>
        </w:rPr>
        <w:footnoteRef/>
      </w:r>
      <w:r w:rsidRPr="007E7C7E">
        <w:tab/>
      </w:r>
      <w:hyperlink r:id="rId2" w:history="1">
        <w:r w:rsidR="007E7C7E" w:rsidRPr="007E7C7E">
          <w:rPr>
            <w:rStyle w:val="Hyperlink"/>
          </w:rPr>
          <w:t>Declaración de los Ministros de TIC e</w:t>
        </w:r>
        <w:r w:rsidR="007E7C7E" w:rsidRPr="007E7C7E">
          <w:rPr>
            <w:rStyle w:val="Hyperlink"/>
          </w:rPr>
          <w:t xml:space="preserve"> </w:t>
        </w:r>
        <w:r w:rsidR="007E7C7E" w:rsidRPr="007E7C7E">
          <w:rPr>
            <w:rStyle w:val="Hyperlink"/>
          </w:rPr>
          <w:t>Industria del G7</w:t>
        </w:r>
      </w:hyperlink>
      <w:r w:rsidR="007E7C7E" w:rsidRPr="007E7C7E">
        <w:t xml:space="preserve">: </w:t>
      </w:r>
      <w:r w:rsidR="007E7C7E" w:rsidRPr="007E7C7E">
        <w:rPr>
          <w:i/>
          <w:iCs/>
        </w:rPr>
        <w:t>Making The Next Production Revolution Inclusive, Open And Secure</w:t>
      </w:r>
      <w:r w:rsidR="007E7C7E">
        <w:t>.</w:t>
      </w:r>
    </w:p>
  </w:footnote>
  <w:footnote w:id="3">
    <w:p w:rsidR="004464D3" w:rsidRPr="007E7C7E" w:rsidRDefault="004464D3" w:rsidP="007E7C7E">
      <w:pPr>
        <w:pStyle w:val="FootnoteText"/>
      </w:pPr>
      <w:r>
        <w:rPr>
          <w:rStyle w:val="FootnoteReference"/>
        </w:rPr>
        <w:footnoteRef/>
      </w:r>
      <w:r w:rsidRPr="007E7C7E">
        <w:tab/>
      </w:r>
      <w:r w:rsidR="007E7C7E" w:rsidRPr="007E7C7E">
        <w:t>U</w:t>
      </w:r>
      <w:r w:rsidR="007E7C7E" w:rsidRPr="007E7C7E">
        <w:t>IT</w:t>
      </w:r>
      <w:r w:rsidR="007E7C7E">
        <w:t>,</w:t>
      </w:r>
      <w:r w:rsidR="007E7C7E" w:rsidRPr="007E7C7E">
        <w:t xml:space="preserve"> </w:t>
      </w:r>
      <w:r w:rsidR="007E7C7E">
        <w:t>CMDT-</w:t>
      </w:r>
      <w:r w:rsidR="007E7C7E" w:rsidRPr="007E7C7E">
        <w:t xml:space="preserve">17 – </w:t>
      </w:r>
      <w:hyperlink r:id="rId3" w:history="1">
        <w:r w:rsidR="007E7C7E" w:rsidRPr="007E7C7E">
          <w:rPr>
            <w:rStyle w:val="Hyperlink"/>
          </w:rPr>
          <w:t>Declara</w:t>
        </w:r>
        <w:r w:rsidR="007E7C7E" w:rsidRPr="007E7C7E">
          <w:rPr>
            <w:rStyle w:val="Hyperlink"/>
          </w:rPr>
          <w:t>c</w:t>
        </w:r>
        <w:r w:rsidR="007E7C7E" w:rsidRPr="007E7C7E">
          <w:rPr>
            <w:rStyle w:val="Hyperlink"/>
          </w:rPr>
          <w:t>ión de Bu</w:t>
        </w:r>
        <w:r w:rsidR="007E7C7E" w:rsidRPr="007E7C7E">
          <w:rPr>
            <w:rStyle w:val="Hyperlink"/>
          </w:rPr>
          <w:t>e</w:t>
        </w:r>
        <w:r w:rsidR="007E7C7E" w:rsidRPr="007E7C7E">
          <w:rPr>
            <w:rStyle w:val="Hyperlink"/>
          </w:rPr>
          <w:t>nos Aires</w:t>
        </w:r>
      </w:hyperlink>
      <w:r w:rsidR="007E7C7E">
        <w:t>.</w:t>
      </w:r>
    </w:p>
  </w:footnote>
  <w:footnote w:id="4">
    <w:p w:rsidR="004464D3" w:rsidRPr="007E7C7E" w:rsidRDefault="004464D3" w:rsidP="007E7C7E">
      <w:pPr>
        <w:pStyle w:val="FootnoteText"/>
        <w:rPr>
          <w:lang w:val="en-GB"/>
        </w:rPr>
      </w:pPr>
      <w:r>
        <w:rPr>
          <w:rStyle w:val="FootnoteReference"/>
        </w:rPr>
        <w:footnoteRef/>
      </w:r>
      <w:r w:rsidRPr="007E7C7E">
        <w:rPr>
          <w:lang w:val="en-GB"/>
        </w:rPr>
        <w:tab/>
      </w:r>
      <w:hyperlink r:id="rId4" w:history="1">
        <w:r w:rsidR="007E7C7E">
          <w:rPr>
            <w:rStyle w:val="Hyperlink"/>
            <w:lang w:val="en-US"/>
          </w:rPr>
          <w:t>Ori</w:t>
        </w:r>
        <w:r w:rsidR="007E7C7E">
          <w:rPr>
            <w:rStyle w:val="Hyperlink"/>
            <w:lang w:val="en-US"/>
          </w:rPr>
          <w:t>g</w:t>
        </w:r>
        <w:r w:rsidR="007E7C7E">
          <w:rPr>
            <w:rStyle w:val="Hyperlink"/>
            <w:lang w:val="en-US"/>
          </w:rPr>
          <w:t>en</w:t>
        </w:r>
      </w:hyperlink>
      <w:r w:rsidR="007E7C7E" w:rsidRPr="007E7C7E">
        <w:rPr>
          <w:lang w:val="en-US"/>
        </w:rPr>
        <w:t xml:space="preserve">: </w:t>
      </w:r>
      <w:r w:rsidR="007E7C7E" w:rsidRPr="007E7C7E">
        <w:rPr>
          <w:i/>
          <w:iCs/>
          <w:lang w:val="en-US"/>
        </w:rPr>
        <w:t>Key Issues for Digital Transformation in the G20, G20 German Presidency/OECD</w:t>
      </w:r>
      <w:r w:rsidR="007E7C7E" w:rsidRPr="007E7C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1710A">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93EEB"/>
    <w:rsid w:val="000B0D00"/>
    <w:rsid w:val="000B7C15"/>
    <w:rsid w:val="000D1D0F"/>
    <w:rsid w:val="000F5290"/>
    <w:rsid w:val="0010165C"/>
    <w:rsid w:val="00140B65"/>
    <w:rsid w:val="00146BFB"/>
    <w:rsid w:val="001F14A2"/>
    <w:rsid w:val="00235869"/>
    <w:rsid w:val="002801AA"/>
    <w:rsid w:val="002C4676"/>
    <w:rsid w:val="002C70B0"/>
    <w:rsid w:val="002F3CC4"/>
    <w:rsid w:val="0036283F"/>
    <w:rsid w:val="00443AA6"/>
    <w:rsid w:val="004464D3"/>
    <w:rsid w:val="004E20F7"/>
    <w:rsid w:val="00513630"/>
    <w:rsid w:val="00560125"/>
    <w:rsid w:val="00585553"/>
    <w:rsid w:val="005B34D9"/>
    <w:rsid w:val="005D0CCF"/>
    <w:rsid w:val="005E5BB5"/>
    <w:rsid w:val="005F3BCB"/>
    <w:rsid w:val="005F410F"/>
    <w:rsid w:val="0060149A"/>
    <w:rsid w:val="00601924"/>
    <w:rsid w:val="006447EA"/>
    <w:rsid w:val="0064731F"/>
    <w:rsid w:val="006710F6"/>
    <w:rsid w:val="006C1B56"/>
    <w:rsid w:val="006D4761"/>
    <w:rsid w:val="0071710A"/>
    <w:rsid w:val="00720C2A"/>
    <w:rsid w:val="007218AE"/>
    <w:rsid w:val="00726872"/>
    <w:rsid w:val="00760F1C"/>
    <w:rsid w:val="007657F0"/>
    <w:rsid w:val="0077252D"/>
    <w:rsid w:val="007A5062"/>
    <w:rsid w:val="007E3CAD"/>
    <w:rsid w:val="007E5DD3"/>
    <w:rsid w:val="007E7C7E"/>
    <w:rsid w:val="007F350B"/>
    <w:rsid w:val="00805CA6"/>
    <w:rsid w:val="00820BE4"/>
    <w:rsid w:val="008451E8"/>
    <w:rsid w:val="008604B2"/>
    <w:rsid w:val="00913B9C"/>
    <w:rsid w:val="00956E77"/>
    <w:rsid w:val="009F4811"/>
    <w:rsid w:val="00A06296"/>
    <w:rsid w:val="00AA390C"/>
    <w:rsid w:val="00B0200A"/>
    <w:rsid w:val="00B574DB"/>
    <w:rsid w:val="00B826C2"/>
    <w:rsid w:val="00B8298E"/>
    <w:rsid w:val="00BD0723"/>
    <w:rsid w:val="00BD2518"/>
    <w:rsid w:val="00BF1D1C"/>
    <w:rsid w:val="00C20C59"/>
    <w:rsid w:val="00C455BA"/>
    <w:rsid w:val="00C51C13"/>
    <w:rsid w:val="00C55B1F"/>
    <w:rsid w:val="00CF1A67"/>
    <w:rsid w:val="00D2750E"/>
    <w:rsid w:val="00D57182"/>
    <w:rsid w:val="00D62446"/>
    <w:rsid w:val="00DA4EA2"/>
    <w:rsid w:val="00DC3D3E"/>
    <w:rsid w:val="00DE2C90"/>
    <w:rsid w:val="00DE3B24"/>
    <w:rsid w:val="00DE633C"/>
    <w:rsid w:val="00E06947"/>
    <w:rsid w:val="00E3592D"/>
    <w:rsid w:val="00E92DE8"/>
    <w:rsid w:val="00EB1212"/>
    <w:rsid w:val="00ED65AB"/>
    <w:rsid w:val="00EE1892"/>
    <w:rsid w:val="00F12850"/>
    <w:rsid w:val="00F33BF4"/>
    <w:rsid w:val="00F577C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80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s.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80B9-4DC9-45D2-84A3-435570DC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94</TotalTime>
  <Pages>8</Pages>
  <Words>3500</Words>
  <Characters>18850</Characters>
  <Application>Microsoft Office Word</Application>
  <DocSecurity>0</DocSecurity>
  <Lines>157</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22306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6</cp:revision>
  <cp:lastPrinted>2018-01-10T14:56:00Z</cp:lastPrinted>
  <dcterms:created xsi:type="dcterms:W3CDTF">2018-01-10T14:29:00Z</dcterms:created>
  <dcterms:modified xsi:type="dcterms:W3CDTF">2018-01-10T16:21:00Z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