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F12232" w:rsidRPr="00493466" w14:paraId="75716AE7" w14:textId="77777777" w:rsidTr="00DA2792">
        <w:trPr>
          <w:cantSplit/>
        </w:trPr>
        <w:tc>
          <w:tcPr>
            <w:tcW w:w="6912" w:type="dxa"/>
          </w:tcPr>
          <w:p w14:paraId="28160E40" w14:textId="77777777" w:rsidR="00F12232" w:rsidRPr="00493466" w:rsidRDefault="00F12232" w:rsidP="00DA2792">
            <w:pPr>
              <w:spacing w:before="360"/>
            </w:pPr>
            <w:r w:rsidRPr="00493466">
              <w:rPr>
                <w:b/>
                <w:bCs/>
                <w:sz w:val="30"/>
                <w:szCs w:val="30"/>
              </w:rPr>
              <w:t>Groupe de travail du Conseil</w:t>
            </w:r>
            <w:r w:rsidRPr="00493466">
              <w:rPr>
                <w:b/>
                <w:bCs/>
                <w:color w:val="000000"/>
                <w:sz w:val="30"/>
                <w:szCs w:val="30"/>
              </w:rPr>
              <w:t xml:space="preserve"> chargé d</w:t>
            </w:r>
            <w:r>
              <w:rPr>
                <w:b/>
                <w:bCs/>
                <w:color w:val="000000"/>
                <w:sz w:val="30"/>
                <w:szCs w:val="30"/>
              </w:rPr>
              <w:t>'</w:t>
            </w:r>
            <w:r w:rsidRPr="00493466">
              <w:rPr>
                <w:b/>
                <w:bCs/>
                <w:color w:val="000000"/>
                <w:sz w:val="30"/>
                <w:szCs w:val="30"/>
              </w:rPr>
              <w:t xml:space="preserve">élaborer </w:t>
            </w:r>
            <w:r w:rsidRPr="00493466">
              <w:rPr>
                <w:b/>
                <w:bCs/>
                <w:color w:val="000000"/>
                <w:sz w:val="30"/>
                <w:szCs w:val="30"/>
              </w:rPr>
              <w:br/>
              <w:t>le Plan stratégique et le Plan financier pour la période 2020-2023</w:t>
            </w:r>
          </w:p>
        </w:tc>
        <w:tc>
          <w:tcPr>
            <w:tcW w:w="3261" w:type="dxa"/>
          </w:tcPr>
          <w:p w14:paraId="712D6465" w14:textId="77777777" w:rsidR="00F12232" w:rsidRPr="00493466" w:rsidRDefault="00F12232" w:rsidP="00DA2792">
            <w:pPr>
              <w:spacing w:before="0"/>
              <w:jc w:val="right"/>
            </w:pPr>
            <w:r w:rsidRPr="00493466">
              <w:rPr>
                <w:rFonts w:cstheme="minorHAnsi"/>
                <w:b/>
                <w:bCs/>
                <w:noProof/>
                <w:lang w:val="en-US" w:eastAsia="zh-CN"/>
              </w:rPr>
              <w:drawing>
                <wp:inline distT="0" distB="0" distL="0" distR="0" wp14:anchorId="6441D51B" wp14:editId="4C995688">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F12232" w:rsidRPr="00493466" w14:paraId="5F9D9F64" w14:textId="77777777" w:rsidTr="00DA2792">
        <w:trPr>
          <w:cantSplit/>
          <w:trHeight w:val="20"/>
        </w:trPr>
        <w:tc>
          <w:tcPr>
            <w:tcW w:w="6912" w:type="dxa"/>
            <w:tcBorders>
              <w:bottom w:val="single" w:sz="12" w:space="0" w:color="auto"/>
            </w:tcBorders>
            <w:vAlign w:val="center"/>
          </w:tcPr>
          <w:p w14:paraId="1B1F15A2" w14:textId="089B4946" w:rsidR="00F12232" w:rsidRPr="00493466" w:rsidRDefault="00F12232" w:rsidP="00F12232">
            <w:pPr>
              <w:spacing w:before="60" w:after="60"/>
              <w:rPr>
                <w:b/>
                <w:bCs/>
                <w:szCs w:val="24"/>
              </w:rPr>
            </w:pPr>
            <w:r>
              <w:rPr>
                <w:b/>
                <w:bCs/>
                <w:szCs w:val="24"/>
              </w:rPr>
              <w:t>Troisième</w:t>
            </w:r>
            <w:r w:rsidRPr="00493466">
              <w:rPr>
                <w:b/>
                <w:bCs/>
                <w:szCs w:val="24"/>
              </w:rPr>
              <w:t xml:space="preserve"> réunion – Genève, 1</w:t>
            </w:r>
            <w:r>
              <w:rPr>
                <w:b/>
                <w:bCs/>
                <w:szCs w:val="24"/>
              </w:rPr>
              <w:t>5</w:t>
            </w:r>
            <w:r w:rsidRPr="00493466">
              <w:rPr>
                <w:b/>
                <w:bCs/>
                <w:szCs w:val="24"/>
              </w:rPr>
              <w:t>-1</w:t>
            </w:r>
            <w:r>
              <w:rPr>
                <w:b/>
                <w:bCs/>
                <w:szCs w:val="24"/>
              </w:rPr>
              <w:t>6</w:t>
            </w:r>
            <w:r w:rsidRPr="00493466">
              <w:rPr>
                <w:b/>
                <w:bCs/>
                <w:szCs w:val="24"/>
              </w:rPr>
              <w:t xml:space="preserve"> </w:t>
            </w:r>
            <w:r>
              <w:rPr>
                <w:b/>
                <w:bCs/>
                <w:szCs w:val="24"/>
              </w:rPr>
              <w:t>janvier</w:t>
            </w:r>
            <w:r w:rsidRPr="00493466">
              <w:rPr>
                <w:b/>
                <w:bCs/>
                <w:szCs w:val="24"/>
              </w:rPr>
              <w:t xml:space="preserve"> 201</w:t>
            </w:r>
            <w:r>
              <w:rPr>
                <w:b/>
                <w:bCs/>
                <w:szCs w:val="24"/>
              </w:rPr>
              <w:t>8</w:t>
            </w:r>
          </w:p>
        </w:tc>
        <w:tc>
          <w:tcPr>
            <w:tcW w:w="3261" w:type="dxa"/>
            <w:tcBorders>
              <w:bottom w:val="single" w:sz="12" w:space="0" w:color="auto"/>
            </w:tcBorders>
          </w:tcPr>
          <w:p w14:paraId="128DA91E" w14:textId="77777777" w:rsidR="00F12232" w:rsidRPr="00493466" w:rsidRDefault="00F12232" w:rsidP="00DA2792">
            <w:pPr>
              <w:spacing w:before="0"/>
              <w:rPr>
                <w:b/>
                <w:bCs/>
              </w:rPr>
            </w:pPr>
          </w:p>
        </w:tc>
      </w:tr>
      <w:tr w:rsidR="00F12232" w:rsidRPr="00493466" w14:paraId="7789B62B" w14:textId="77777777" w:rsidTr="00DA2792">
        <w:trPr>
          <w:cantSplit/>
          <w:trHeight w:val="20"/>
        </w:trPr>
        <w:tc>
          <w:tcPr>
            <w:tcW w:w="6912" w:type="dxa"/>
            <w:tcBorders>
              <w:top w:val="single" w:sz="12" w:space="0" w:color="auto"/>
            </w:tcBorders>
          </w:tcPr>
          <w:p w14:paraId="3CF8A1B6" w14:textId="77777777" w:rsidR="00F12232" w:rsidRPr="00493466" w:rsidRDefault="00F12232" w:rsidP="00DA2792">
            <w:pPr>
              <w:spacing w:before="0"/>
              <w:rPr>
                <w:smallCaps/>
                <w:sz w:val="22"/>
              </w:rPr>
            </w:pPr>
          </w:p>
        </w:tc>
        <w:tc>
          <w:tcPr>
            <w:tcW w:w="3261" w:type="dxa"/>
            <w:tcBorders>
              <w:top w:val="single" w:sz="12" w:space="0" w:color="auto"/>
            </w:tcBorders>
          </w:tcPr>
          <w:p w14:paraId="2960898D" w14:textId="77777777" w:rsidR="00F12232" w:rsidRPr="00493466" w:rsidRDefault="00F12232" w:rsidP="00DA2792">
            <w:pPr>
              <w:spacing w:before="0"/>
              <w:rPr>
                <w:b/>
                <w:bCs/>
              </w:rPr>
            </w:pPr>
          </w:p>
        </w:tc>
      </w:tr>
      <w:tr w:rsidR="00F12232" w:rsidRPr="00493466" w14:paraId="23C6E0F7" w14:textId="77777777" w:rsidTr="00DA2792">
        <w:trPr>
          <w:cantSplit/>
          <w:trHeight w:val="20"/>
        </w:trPr>
        <w:tc>
          <w:tcPr>
            <w:tcW w:w="6912" w:type="dxa"/>
            <w:vMerge w:val="restart"/>
          </w:tcPr>
          <w:p w14:paraId="791E888D" w14:textId="77777777" w:rsidR="00F12232" w:rsidRPr="00493466" w:rsidRDefault="00F12232" w:rsidP="00DA2792">
            <w:pPr>
              <w:spacing w:before="0"/>
              <w:rPr>
                <w:rFonts w:cs="Times"/>
                <w:b/>
                <w:bCs/>
                <w:szCs w:val="24"/>
              </w:rPr>
            </w:pPr>
          </w:p>
        </w:tc>
        <w:tc>
          <w:tcPr>
            <w:tcW w:w="3261" w:type="dxa"/>
          </w:tcPr>
          <w:p w14:paraId="23699005" w14:textId="39F51CA5" w:rsidR="00F12232" w:rsidRPr="00493466" w:rsidRDefault="00F12232" w:rsidP="00F12232">
            <w:pPr>
              <w:spacing w:before="0"/>
              <w:rPr>
                <w:b/>
                <w:bCs/>
              </w:rPr>
            </w:pPr>
            <w:r w:rsidRPr="00493466">
              <w:rPr>
                <w:b/>
                <w:bCs/>
              </w:rPr>
              <w:t>Document CWG-SFP-</w:t>
            </w:r>
            <w:r>
              <w:rPr>
                <w:b/>
                <w:bCs/>
              </w:rPr>
              <w:t>3</w:t>
            </w:r>
            <w:r w:rsidRPr="00493466">
              <w:rPr>
                <w:b/>
                <w:bCs/>
              </w:rPr>
              <w:t>/</w:t>
            </w:r>
            <w:r>
              <w:rPr>
                <w:b/>
                <w:bCs/>
              </w:rPr>
              <w:t>2</w:t>
            </w:r>
            <w:r w:rsidRPr="00493466">
              <w:rPr>
                <w:b/>
                <w:bCs/>
              </w:rPr>
              <w:t>-F</w:t>
            </w:r>
          </w:p>
        </w:tc>
      </w:tr>
      <w:tr w:rsidR="00F12232" w:rsidRPr="00493466" w14:paraId="667EB45C" w14:textId="77777777" w:rsidTr="00DA2792">
        <w:trPr>
          <w:cantSplit/>
          <w:trHeight w:val="20"/>
        </w:trPr>
        <w:tc>
          <w:tcPr>
            <w:tcW w:w="6912" w:type="dxa"/>
            <w:vMerge/>
          </w:tcPr>
          <w:p w14:paraId="1FB132B5" w14:textId="77777777" w:rsidR="00F12232" w:rsidRPr="00493466" w:rsidRDefault="00F12232" w:rsidP="00DA2792">
            <w:pPr>
              <w:shd w:val="solid" w:color="FFFFFF" w:fill="FFFFFF"/>
              <w:spacing w:before="180"/>
              <w:rPr>
                <w:smallCaps/>
              </w:rPr>
            </w:pPr>
          </w:p>
        </w:tc>
        <w:tc>
          <w:tcPr>
            <w:tcW w:w="3261" w:type="dxa"/>
          </w:tcPr>
          <w:p w14:paraId="6BF30E76" w14:textId="2DC23A83" w:rsidR="00F12232" w:rsidRPr="00493466" w:rsidRDefault="00F12232" w:rsidP="00F12232">
            <w:pPr>
              <w:spacing w:before="0"/>
              <w:rPr>
                <w:b/>
                <w:bCs/>
              </w:rPr>
            </w:pPr>
            <w:r>
              <w:rPr>
                <w:b/>
                <w:bCs/>
              </w:rPr>
              <w:t>13 décembre</w:t>
            </w:r>
            <w:r w:rsidRPr="00493466">
              <w:rPr>
                <w:b/>
                <w:bCs/>
              </w:rPr>
              <w:t xml:space="preserve"> 2017</w:t>
            </w:r>
          </w:p>
        </w:tc>
      </w:tr>
      <w:tr w:rsidR="00F12232" w:rsidRPr="00493466" w14:paraId="46F947BC" w14:textId="77777777" w:rsidTr="00DA2792">
        <w:trPr>
          <w:cantSplit/>
          <w:trHeight w:val="20"/>
        </w:trPr>
        <w:tc>
          <w:tcPr>
            <w:tcW w:w="6912" w:type="dxa"/>
            <w:vMerge/>
          </w:tcPr>
          <w:p w14:paraId="25DA120D" w14:textId="77777777" w:rsidR="00F12232" w:rsidRPr="00493466" w:rsidRDefault="00F12232" w:rsidP="00DA2792">
            <w:pPr>
              <w:shd w:val="solid" w:color="FFFFFF" w:fill="FFFFFF"/>
              <w:spacing w:before="180"/>
              <w:rPr>
                <w:smallCaps/>
              </w:rPr>
            </w:pPr>
          </w:p>
        </w:tc>
        <w:tc>
          <w:tcPr>
            <w:tcW w:w="3261" w:type="dxa"/>
          </w:tcPr>
          <w:p w14:paraId="39F35464" w14:textId="77777777" w:rsidR="00F12232" w:rsidRPr="00493466" w:rsidRDefault="00F12232" w:rsidP="00DA2792">
            <w:pPr>
              <w:spacing w:before="0"/>
              <w:rPr>
                <w:b/>
                <w:bCs/>
              </w:rPr>
            </w:pPr>
            <w:r w:rsidRPr="00493466">
              <w:rPr>
                <w:b/>
                <w:bCs/>
              </w:rPr>
              <w:t>Original: anglais</w:t>
            </w:r>
          </w:p>
        </w:tc>
      </w:tr>
    </w:tbl>
    <w:p w14:paraId="5F809203" w14:textId="77777777" w:rsidR="00F12232" w:rsidRDefault="00F12232"/>
    <w:p w14:paraId="626E67DC" w14:textId="77777777" w:rsidR="00F12232" w:rsidRDefault="00F12232"/>
    <w:p w14:paraId="40935CE8" w14:textId="60212A8B" w:rsidR="00F12232" w:rsidRDefault="00F12232" w:rsidP="00F12232">
      <w:pPr>
        <w:pStyle w:val="Source"/>
      </w:pPr>
      <w:r w:rsidRPr="001A385C">
        <w:rPr>
          <w:lang w:val="fr-CH"/>
        </w:rPr>
        <w:t xml:space="preserve">Président du Groupe de travail du Conseil chargé d'élaborer le Plan stratégique </w:t>
      </w:r>
      <w:r>
        <w:rPr>
          <w:lang w:val="fr-CH"/>
        </w:rPr>
        <w:br/>
      </w:r>
      <w:r w:rsidRPr="001A385C">
        <w:rPr>
          <w:lang w:val="fr-CH"/>
        </w:rPr>
        <w:t>et le Plan financier pour la période 2020-2023 (GTC-SFP)</w:t>
      </w:r>
    </w:p>
    <w:p w14:paraId="705FFF07" w14:textId="59400A08" w:rsidR="00F12232" w:rsidRDefault="00F12232" w:rsidP="00F12232">
      <w:pPr>
        <w:pStyle w:val="Title1"/>
      </w:pPr>
      <w:r w:rsidRPr="001A385C">
        <w:rPr>
          <w:lang w:val="fr-CH"/>
        </w:rPr>
        <w:t>Rapport de la deuxième réunion du GTC-SFP</w:t>
      </w:r>
    </w:p>
    <w:p w14:paraId="2DC7AC13" w14:textId="77777777" w:rsidR="00F12232" w:rsidRDefault="00F12232"/>
    <w:p w14:paraId="6757A306" w14:textId="77777777" w:rsidR="00F12232" w:rsidRDefault="00F12232">
      <w:r>
        <w:br w:type="page"/>
      </w: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93466" w14:paraId="7A12260B" w14:textId="77777777">
        <w:trPr>
          <w:cantSplit/>
        </w:trPr>
        <w:tc>
          <w:tcPr>
            <w:tcW w:w="6912" w:type="dxa"/>
          </w:tcPr>
          <w:p w14:paraId="771ED912" w14:textId="3034741F" w:rsidR="00520F36" w:rsidRPr="00493466" w:rsidRDefault="00D76368" w:rsidP="005C491B">
            <w:pPr>
              <w:spacing w:before="360"/>
            </w:pPr>
            <w:r w:rsidRPr="00493466">
              <w:rPr>
                <w:b/>
                <w:bCs/>
                <w:sz w:val="30"/>
                <w:szCs w:val="30"/>
              </w:rPr>
              <w:t>Groupe de travail du Conseil</w:t>
            </w:r>
            <w:r w:rsidRPr="00493466">
              <w:rPr>
                <w:b/>
                <w:bCs/>
                <w:color w:val="000000"/>
                <w:sz w:val="30"/>
                <w:szCs w:val="30"/>
              </w:rPr>
              <w:t xml:space="preserve"> chargé d</w:t>
            </w:r>
            <w:r w:rsidR="00903908">
              <w:rPr>
                <w:b/>
                <w:bCs/>
                <w:color w:val="000000"/>
                <w:sz w:val="30"/>
                <w:szCs w:val="30"/>
              </w:rPr>
              <w:t>'</w:t>
            </w:r>
            <w:r w:rsidRPr="00493466">
              <w:rPr>
                <w:b/>
                <w:bCs/>
                <w:color w:val="000000"/>
                <w:sz w:val="30"/>
                <w:szCs w:val="30"/>
              </w:rPr>
              <w:t xml:space="preserve">élaborer </w:t>
            </w:r>
            <w:r w:rsidRPr="00493466">
              <w:rPr>
                <w:b/>
                <w:bCs/>
                <w:color w:val="000000"/>
                <w:sz w:val="30"/>
                <w:szCs w:val="30"/>
              </w:rPr>
              <w:br/>
              <w:t>le Plan stratégique et le Plan financier pour la période 2020-2023</w:t>
            </w:r>
          </w:p>
        </w:tc>
        <w:tc>
          <w:tcPr>
            <w:tcW w:w="3261" w:type="dxa"/>
          </w:tcPr>
          <w:p w14:paraId="757A90CE" w14:textId="77777777" w:rsidR="00520F36" w:rsidRPr="00493466" w:rsidRDefault="00520F36" w:rsidP="005C491B">
            <w:pPr>
              <w:spacing w:before="0"/>
              <w:jc w:val="right"/>
            </w:pPr>
            <w:bookmarkStart w:id="0" w:name="ditulogo"/>
            <w:bookmarkEnd w:id="0"/>
            <w:r w:rsidRPr="00493466">
              <w:rPr>
                <w:rFonts w:cstheme="minorHAnsi"/>
                <w:b/>
                <w:bCs/>
                <w:noProof/>
                <w:lang w:val="en-US" w:eastAsia="zh-CN"/>
              </w:rPr>
              <w:drawing>
                <wp:inline distT="0" distB="0" distL="0" distR="0" wp14:anchorId="2C20972A" wp14:editId="7953F04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493466" w14:paraId="0D09A83A" w14:textId="77777777" w:rsidTr="00014578">
        <w:trPr>
          <w:cantSplit/>
          <w:trHeight w:val="20"/>
        </w:trPr>
        <w:tc>
          <w:tcPr>
            <w:tcW w:w="6912" w:type="dxa"/>
            <w:tcBorders>
              <w:bottom w:val="single" w:sz="12" w:space="0" w:color="auto"/>
            </w:tcBorders>
            <w:vAlign w:val="center"/>
          </w:tcPr>
          <w:p w14:paraId="254A73E7" w14:textId="77777777" w:rsidR="00520F36" w:rsidRPr="00493466" w:rsidRDefault="00D76368" w:rsidP="005C491B">
            <w:pPr>
              <w:spacing w:before="60" w:after="60"/>
              <w:rPr>
                <w:b/>
                <w:bCs/>
                <w:szCs w:val="24"/>
              </w:rPr>
            </w:pPr>
            <w:r w:rsidRPr="00493466">
              <w:rPr>
                <w:b/>
                <w:bCs/>
                <w:szCs w:val="24"/>
              </w:rPr>
              <w:t>Deuxième réunion – Genève, 11-12 septembre 2017</w:t>
            </w:r>
          </w:p>
        </w:tc>
        <w:tc>
          <w:tcPr>
            <w:tcW w:w="3261" w:type="dxa"/>
            <w:tcBorders>
              <w:bottom w:val="single" w:sz="12" w:space="0" w:color="auto"/>
            </w:tcBorders>
          </w:tcPr>
          <w:p w14:paraId="344D1ACB" w14:textId="77777777" w:rsidR="00520F36" w:rsidRPr="00493466" w:rsidRDefault="00520F36" w:rsidP="005C491B">
            <w:pPr>
              <w:spacing w:before="0"/>
              <w:rPr>
                <w:b/>
                <w:bCs/>
              </w:rPr>
            </w:pPr>
          </w:p>
        </w:tc>
      </w:tr>
      <w:tr w:rsidR="00520F36" w:rsidRPr="00493466" w14:paraId="6350C7F6" w14:textId="77777777">
        <w:trPr>
          <w:cantSplit/>
          <w:trHeight w:val="20"/>
        </w:trPr>
        <w:tc>
          <w:tcPr>
            <w:tcW w:w="6912" w:type="dxa"/>
            <w:tcBorders>
              <w:top w:val="single" w:sz="12" w:space="0" w:color="auto"/>
            </w:tcBorders>
          </w:tcPr>
          <w:p w14:paraId="468781AD" w14:textId="77777777" w:rsidR="00520F36" w:rsidRPr="00493466" w:rsidRDefault="00520F36" w:rsidP="005C491B">
            <w:pPr>
              <w:spacing w:before="0"/>
              <w:rPr>
                <w:smallCaps/>
                <w:sz w:val="22"/>
              </w:rPr>
            </w:pPr>
          </w:p>
        </w:tc>
        <w:tc>
          <w:tcPr>
            <w:tcW w:w="3261" w:type="dxa"/>
            <w:tcBorders>
              <w:top w:val="single" w:sz="12" w:space="0" w:color="auto"/>
            </w:tcBorders>
          </w:tcPr>
          <w:p w14:paraId="5786A40F" w14:textId="77777777" w:rsidR="00520F36" w:rsidRPr="00493466" w:rsidRDefault="00520F36" w:rsidP="005C491B">
            <w:pPr>
              <w:spacing w:before="0"/>
              <w:rPr>
                <w:b/>
                <w:bCs/>
              </w:rPr>
            </w:pPr>
          </w:p>
        </w:tc>
      </w:tr>
      <w:tr w:rsidR="00520F36" w:rsidRPr="00493466" w14:paraId="303FF63B" w14:textId="77777777">
        <w:trPr>
          <w:cantSplit/>
          <w:trHeight w:val="20"/>
        </w:trPr>
        <w:tc>
          <w:tcPr>
            <w:tcW w:w="6912" w:type="dxa"/>
            <w:vMerge w:val="restart"/>
          </w:tcPr>
          <w:p w14:paraId="2D141384" w14:textId="77777777" w:rsidR="00520F36" w:rsidRPr="00493466" w:rsidRDefault="00520F36" w:rsidP="005C491B">
            <w:pPr>
              <w:spacing w:before="0"/>
              <w:rPr>
                <w:rFonts w:cs="Times"/>
                <w:b/>
                <w:bCs/>
                <w:szCs w:val="24"/>
              </w:rPr>
            </w:pPr>
            <w:bookmarkStart w:id="1" w:name="dnum" w:colFirst="1" w:colLast="1"/>
            <w:bookmarkStart w:id="2" w:name="dmeeting" w:colFirst="0" w:colLast="0"/>
          </w:p>
        </w:tc>
        <w:tc>
          <w:tcPr>
            <w:tcW w:w="3261" w:type="dxa"/>
          </w:tcPr>
          <w:p w14:paraId="763D7F0C" w14:textId="77777777" w:rsidR="00520F36" w:rsidRPr="00493466" w:rsidRDefault="00520F36" w:rsidP="001A385C">
            <w:pPr>
              <w:spacing w:before="0"/>
              <w:rPr>
                <w:b/>
                <w:bCs/>
              </w:rPr>
            </w:pPr>
            <w:r w:rsidRPr="00493466">
              <w:rPr>
                <w:b/>
                <w:bCs/>
              </w:rPr>
              <w:t xml:space="preserve">Document </w:t>
            </w:r>
            <w:r w:rsidR="00D76368" w:rsidRPr="00493466">
              <w:rPr>
                <w:b/>
                <w:bCs/>
              </w:rPr>
              <w:t>CWG-SFP-2/</w:t>
            </w:r>
            <w:r w:rsidR="001B2FBE" w:rsidRPr="00493466">
              <w:rPr>
                <w:b/>
                <w:bCs/>
              </w:rPr>
              <w:t>1</w:t>
            </w:r>
            <w:r w:rsidR="001A385C">
              <w:rPr>
                <w:b/>
                <w:bCs/>
              </w:rPr>
              <w:t>1</w:t>
            </w:r>
            <w:r w:rsidRPr="00493466">
              <w:rPr>
                <w:b/>
                <w:bCs/>
              </w:rPr>
              <w:t>-F</w:t>
            </w:r>
          </w:p>
        </w:tc>
      </w:tr>
      <w:tr w:rsidR="00520F36" w:rsidRPr="00493466" w14:paraId="13CD4B76" w14:textId="77777777">
        <w:trPr>
          <w:cantSplit/>
          <w:trHeight w:val="20"/>
        </w:trPr>
        <w:tc>
          <w:tcPr>
            <w:tcW w:w="6912" w:type="dxa"/>
            <w:vMerge/>
          </w:tcPr>
          <w:p w14:paraId="20D60D7A" w14:textId="77777777" w:rsidR="00520F36" w:rsidRPr="00493466" w:rsidRDefault="00520F36" w:rsidP="005C491B">
            <w:pPr>
              <w:shd w:val="solid" w:color="FFFFFF" w:fill="FFFFFF"/>
              <w:spacing w:before="180"/>
              <w:rPr>
                <w:smallCaps/>
              </w:rPr>
            </w:pPr>
            <w:bookmarkStart w:id="3" w:name="ddate" w:colFirst="1" w:colLast="1"/>
            <w:bookmarkEnd w:id="1"/>
            <w:bookmarkEnd w:id="2"/>
          </w:p>
        </w:tc>
        <w:tc>
          <w:tcPr>
            <w:tcW w:w="3261" w:type="dxa"/>
          </w:tcPr>
          <w:p w14:paraId="4ECFC534" w14:textId="77777777" w:rsidR="00520F36" w:rsidRPr="00493466" w:rsidRDefault="001A385C" w:rsidP="001A385C">
            <w:pPr>
              <w:spacing w:before="0"/>
              <w:rPr>
                <w:b/>
                <w:bCs/>
              </w:rPr>
            </w:pPr>
            <w:r>
              <w:rPr>
                <w:b/>
                <w:bCs/>
              </w:rPr>
              <w:t>26</w:t>
            </w:r>
            <w:r w:rsidR="00D76368" w:rsidRPr="00493466">
              <w:rPr>
                <w:b/>
                <w:bCs/>
              </w:rPr>
              <w:t xml:space="preserve"> </w:t>
            </w:r>
            <w:r>
              <w:rPr>
                <w:b/>
                <w:bCs/>
              </w:rPr>
              <w:t>septembre</w:t>
            </w:r>
            <w:r w:rsidR="00520F36" w:rsidRPr="00493466">
              <w:rPr>
                <w:b/>
                <w:bCs/>
              </w:rPr>
              <w:t xml:space="preserve"> 2017</w:t>
            </w:r>
          </w:p>
        </w:tc>
      </w:tr>
      <w:tr w:rsidR="00520F36" w:rsidRPr="00493466" w14:paraId="54BD3B0E" w14:textId="77777777">
        <w:trPr>
          <w:cantSplit/>
          <w:trHeight w:val="20"/>
        </w:trPr>
        <w:tc>
          <w:tcPr>
            <w:tcW w:w="6912" w:type="dxa"/>
            <w:vMerge/>
          </w:tcPr>
          <w:p w14:paraId="45D4B31A" w14:textId="77777777" w:rsidR="00520F36" w:rsidRPr="00493466" w:rsidRDefault="00520F36" w:rsidP="005C491B">
            <w:pPr>
              <w:shd w:val="solid" w:color="FFFFFF" w:fill="FFFFFF"/>
              <w:spacing w:before="180"/>
              <w:rPr>
                <w:smallCaps/>
              </w:rPr>
            </w:pPr>
            <w:bookmarkStart w:id="4" w:name="dorlang" w:colFirst="1" w:colLast="1"/>
            <w:bookmarkEnd w:id="3"/>
          </w:p>
        </w:tc>
        <w:tc>
          <w:tcPr>
            <w:tcW w:w="3261" w:type="dxa"/>
          </w:tcPr>
          <w:p w14:paraId="0BE7BFFE" w14:textId="77777777" w:rsidR="00520F36" w:rsidRPr="00493466" w:rsidRDefault="00520F36" w:rsidP="001A385C">
            <w:pPr>
              <w:spacing w:before="0"/>
              <w:rPr>
                <w:b/>
                <w:bCs/>
              </w:rPr>
            </w:pPr>
            <w:r w:rsidRPr="00493466">
              <w:rPr>
                <w:b/>
                <w:bCs/>
              </w:rPr>
              <w:t>Original: anglais</w:t>
            </w:r>
          </w:p>
        </w:tc>
      </w:tr>
      <w:tr w:rsidR="00520F36" w:rsidRPr="00493466" w14:paraId="69BDD1FE" w14:textId="77777777">
        <w:trPr>
          <w:cantSplit/>
        </w:trPr>
        <w:tc>
          <w:tcPr>
            <w:tcW w:w="10173" w:type="dxa"/>
            <w:gridSpan w:val="2"/>
          </w:tcPr>
          <w:p w14:paraId="7A8F625F" w14:textId="5EEE0463" w:rsidR="00520F36" w:rsidRPr="00493466" w:rsidRDefault="001A385C" w:rsidP="004B590C">
            <w:pPr>
              <w:pStyle w:val="Source"/>
              <w:rPr>
                <w:szCs w:val="28"/>
              </w:rPr>
            </w:pPr>
            <w:bookmarkStart w:id="5" w:name="dsource" w:colFirst="0" w:colLast="0"/>
            <w:bookmarkEnd w:id="4"/>
            <w:r w:rsidRPr="001A385C">
              <w:rPr>
                <w:szCs w:val="28"/>
                <w:lang w:val="fr-CH"/>
              </w:rPr>
              <w:t xml:space="preserve">Président du Groupe de travail du Conseil chargé d'élaborer le Plan stratégique </w:t>
            </w:r>
            <w:r w:rsidR="004B590C">
              <w:rPr>
                <w:szCs w:val="28"/>
                <w:lang w:val="fr-CH"/>
              </w:rPr>
              <w:br/>
            </w:r>
            <w:r w:rsidRPr="001A385C">
              <w:rPr>
                <w:szCs w:val="28"/>
                <w:lang w:val="fr-CH"/>
              </w:rPr>
              <w:t>et le Plan financier pour la période 2020-2023 (GTC-SFP)</w:t>
            </w:r>
          </w:p>
        </w:tc>
      </w:tr>
      <w:tr w:rsidR="00520F36" w:rsidRPr="00493466" w14:paraId="259C2E73" w14:textId="77777777">
        <w:trPr>
          <w:cantSplit/>
        </w:trPr>
        <w:tc>
          <w:tcPr>
            <w:tcW w:w="10173" w:type="dxa"/>
            <w:gridSpan w:val="2"/>
          </w:tcPr>
          <w:p w14:paraId="322DE44D" w14:textId="77777777" w:rsidR="00520F36" w:rsidRPr="00493466" w:rsidRDefault="001A385C" w:rsidP="001A385C">
            <w:pPr>
              <w:pStyle w:val="Title1"/>
              <w:rPr>
                <w:bCs/>
              </w:rPr>
            </w:pPr>
            <w:bookmarkStart w:id="6" w:name="dtitle1" w:colFirst="0" w:colLast="0"/>
            <w:bookmarkEnd w:id="5"/>
            <w:r w:rsidRPr="001A385C">
              <w:rPr>
                <w:bCs/>
                <w:szCs w:val="32"/>
                <w:lang w:val="fr-CH"/>
              </w:rPr>
              <w:t>Rapport de la deuxième réunion du GTC-SFP</w:t>
            </w:r>
          </w:p>
        </w:tc>
      </w:tr>
    </w:tbl>
    <w:bookmarkEnd w:id="6"/>
    <w:p w14:paraId="0E7F3ADB" w14:textId="77777777" w:rsidR="001B2FBE" w:rsidRPr="0042573A" w:rsidRDefault="0042573A" w:rsidP="00903908">
      <w:pPr>
        <w:pStyle w:val="Heading1"/>
      </w:pPr>
      <w:r>
        <w:t>1</w:t>
      </w:r>
      <w:r>
        <w:tab/>
        <w:t>Introduction</w:t>
      </w:r>
      <w:bookmarkStart w:id="7" w:name="_GoBack"/>
      <w:bookmarkEnd w:id="7"/>
    </w:p>
    <w:p w14:paraId="4201A951" w14:textId="527B36D4" w:rsidR="003612B3" w:rsidRPr="001A385C" w:rsidRDefault="001A385C" w:rsidP="001A385C">
      <w:pPr>
        <w:rPr>
          <w:rFonts w:cstheme="majorBidi"/>
        </w:rPr>
      </w:pPr>
      <w:r w:rsidRPr="001A385C">
        <w:rPr>
          <w:rFonts w:cstheme="majorBidi"/>
        </w:rPr>
        <w:t>1.1</w:t>
      </w:r>
      <w:r w:rsidRPr="001A385C">
        <w:rPr>
          <w:rFonts w:cstheme="majorBidi"/>
        </w:rPr>
        <w:tab/>
        <w:t xml:space="preserve">La deuxième réunion du Groupe de travail du Conseil chargé d'élaborer le projet de Plan stratégique et le projet de Plan financier de l'Union pour la période </w:t>
      </w:r>
      <w:r w:rsidR="005C178C">
        <w:rPr>
          <w:rFonts w:cstheme="majorBidi"/>
        </w:rPr>
        <w:t>2020-2023 a eu lieu à l'UIT les </w:t>
      </w:r>
      <w:r w:rsidRPr="001A385C">
        <w:rPr>
          <w:rFonts w:cstheme="majorBidi"/>
        </w:rPr>
        <w:t>11 et 12 septembre 2017.</w:t>
      </w:r>
    </w:p>
    <w:p w14:paraId="54C96663" w14:textId="14CA75CC" w:rsidR="00283F65" w:rsidRPr="001A385C" w:rsidRDefault="00283F65" w:rsidP="001A385C">
      <w:pPr>
        <w:pStyle w:val="Heading1"/>
      </w:pPr>
      <w:r>
        <w:t>2</w:t>
      </w:r>
      <w:r>
        <w:tab/>
      </w:r>
      <w:r w:rsidR="001A385C" w:rsidRPr="001A385C">
        <w:rPr>
          <w:bCs/>
        </w:rPr>
        <w:t>Remarques liminaires et adoption de l'ordre du jour (</w:t>
      </w:r>
      <w:hyperlink r:id="rId9" w:history="1">
        <w:r w:rsidR="001A385C" w:rsidRPr="001A385C">
          <w:rPr>
            <w:rStyle w:val="Hyperlink"/>
            <w:bCs/>
          </w:rPr>
          <w:t>CWG-SFP-2/1</w:t>
        </w:r>
      </w:hyperlink>
      <w:r w:rsidR="001A385C" w:rsidRPr="001A385C">
        <w:rPr>
          <w:bCs/>
        </w:rPr>
        <w:t>)</w:t>
      </w:r>
    </w:p>
    <w:p w14:paraId="4D69B543" w14:textId="1A7208A9" w:rsidR="00BE35A7" w:rsidRDefault="001A385C" w:rsidP="00CF6D35">
      <w:pPr>
        <w:rPr>
          <w:rFonts w:cstheme="majorBidi"/>
        </w:rPr>
      </w:pPr>
      <w:r w:rsidRPr="001A385C">
        <w:rPr>
          <w:rFonts w:cstheme="majorBidi"/>
        </w:rPr>
        <w:t>2.1</w:t>
      </w:r>
      <w:r w:rsidRPr="001A385C">
        <w:rPr>
          <w:rFonts w:cstheme="majorBidi"/>
        </w:rPr>
        <w:tab/>
        <w:t xml:space="preserve">Le Secrétaire général de l'UIT M. Houlin Zhao a ouvert la session et a souligné l'importance des travaux du Groupe </w:t>
      </w:r>
      <w:r w:rsidR="00CF6D35">
        <w:rPr>
          <w:rFonts w:cstheme="majorBidi"/>
        </w:rPr>
        <w:t>de travail du Conseil, saluant</w:t>
      </w:r>
      <w:r w:rsidRPr="001A385C">
        <w:rPr>
          <w:rFonts w:cstheme="majorBidi"/>
        </w:rPr>
        <w:t xml:space="preserve"> les contributions du Groupe de travail sur la planification stratégique du Secrétariat, qui est présidé par le Directeur du Bureau des radiocommunications, M. François Rancy.</w:t>
      </w:r>
    </w:p>
    <w:p w14:paraId="6B5BA840" w14:textId="0CD023F4" w:rsidR="001A385C" w:rsidRDefault="001A385C" w:rsidP="00CF6D35">
      <w:pPr>
        <w:rPr>
          <w:rFonts w:cstheme="majorBidi"/>
        </w:rPr>
      </w:pPr>
      <w:r>
        <w:rPr>
          <w:rFonts w:cstheme="majorBidi"/>
        </w:rPr>
        <w:t>2.2</w:t>
      </w:r>
      <w:r>
        <w:rPr>
          <w:rFonts w:cstheme="majorBidi"/>
        </w:rPr>
        <w:tab/>
      </w:r>
      <w:r w:rsidRPr="001A385C">
        <w:rPr>
          <w:rFonts w:cstheme="majorBidi"/>
        </w:rPr>
        <w:t xml:space="preserve">Le Président du Groupe, M. Mario R. Canazza, du Brésil, a accueilli les participants et a souligné l'importance du Plan stratégique et du Plan financier </w:t>
      </w:r>
      <w:r w:rsidR="00CF6D35">
        <w:rPr>
          <w:rFonts w:cstheme="majorBidi"/>
        </w:rPr>
        <w:t>de</w:t>
      </w:r>
      <w:r w:rsidRPr="001A385C">
        <w:rPr>
          <w:rFonts w:cstheme="majorBidi"/>
        </w:rPr>
        <w:t xml:space="preserve"> l'Union. Il a rappelé aux participants que le GTC-SFP a pour objectif de mettre au point les projets de plan</w:t>
      </w:r>
      <w:r w:rsidR="00CF6D35">
        <w:rPr>
          <w:rFonts w:cstheme="majorBidi"/>
        </w:rPr>
        <w:t xml:space="preserve"> qui seront</w:t>
      </w:r>
      <w:r w:rsidRPr="001A385C">
        <w:rPr>
          <w:rFonts w:cstheme="majorBidi"/>
        </w:rPr>
        <w:t xml:space="preserve"> soumis au Conseil pour examen lors de sa session de 2018, et de les transmettre pour adoption à la Conférence de plénipotentiaires de 2018 (PP-18). M. Mario R. Canazza a exprimé le souhait que ce groupe de travail et l'ensemble du processus soient aussi ouverts, transparents et inclusifs que possible, et a </w:t>
      </w:r>
      <w:r w:rsidR="00CF6D35">
        <w:rPr>
          <w:rFonts w:cstheme="majorBidi"/>
        </w:rPr>
        <w:t>cité</w:t>
      </w:r>
      <w:r w:rsidRPr="001A385C">
        <w:rPr>
          <w:rFonts w:cstheme="majorBidi"/>
        </w:rPr>
        <w:t xml:space="preserve"> la première consultation publique et l'enquête menée auprès du personnel en guise d'exemples illustrant ce processus.</w:t>
      </w:r>
    </w:p>
    <w:p w14:paraId="36528215" w14:textId="77777777" w:rsidR="001A385C" w:rsidRDefault="001A385C" w:rsidP="001A385C">
      <w:pPr>
        <w:rPr>
          <w:rFonts w:cstheme="majorBidi"/>
        </w:rPr>
      </w:pPr>
      <w:r>
        <w:rPr>
          <w:rFonts w:cstheme="majorBidi"/>
        </w:rPr>
        <w:t>2.3</w:t>
      </w:r>
      <w:r>
        <w:rPr>
          <w:rFonts w:cstheme="majorBidi"/>
        </w:rPr>
        <w:tab/>
      </w:r>
      <w:r w:rsidRPr="001A385C">
        <w:rPr>
          <w:rFonts w:cstheme="majorBidi"/>
        </w:rPr>
        <w:t>Le Président a remercié les Vice-Présidents de leur soutien:</w:t>
      </w:r>
    </w:p>
    <w:p w14:paraId="16552996" w14:textId="285FFB41" w:rsidR="001A385C" w:rsidRPr="001A385C" w:rsidRDefault="001A385C" w:rsidP="001A385C">
      <w:pPr>
        <w:pStyle w:val="enumlev1"/>
      </w:pPr>
      <w:r>
        <w:t>–</w:t>
      </w:r>
      <w:r>
        <w:tab/>
      </w:r>
      <w:r w:rsidRPr="001A385C">
        <w:t>Mme Jackline Mupenzi (Rwanda)</w:t>
      </w:r>
    </w:p>
    <w:p w14:paraId="5C291DAE" w14:textId="0536AC3B" w:rsidR="001A385C" w:rsidRDefault="001A385C" w:rsidP="001A385C">
      <w:pPr>
        <w:pStyle w:val="enumlev1"/>
        <w:rPr>
          <w:rFonts w:asciiTheme="minorHAnsi" w:hAnsiTheme="minorHAnsi" w:cstheme="minorBidi"/>
          <w:snapToGrid w:val="0"/>
          <w:szCs w:val="24"/>
        </w:rPr>
      </w:pPr>
      <w:r w:rsidRPr="001A385C">
        <w:t>–</w:t>
      </w:r>
      <w:r w:rsidRPr="001A385C">
        <w:tab/>
      </w:r>
      <w:r w:rsidRPr="001A385C">
        <w:rPr>
          <w:rFonts w:asciiTheme="minorHAnsi" w:hAnsiTheme="minorHAnsi" w:cstheme="minorBidi"/>
          <w:snapToGrid w:val="0"/>
          <w:szCs w:val="24"/>
        </w:rPr>
        <w:t>M. Mohamed Al Mazrooei (Emirats arabes unis)</w:t>
      </w:r>
    </w:p>
    <w:p w14:paraId="30649346" w14:textId="1D7A0F14" w:rsidR="001A385C" w:rsidRPr="004B590C" w:rsidRDefault="001A385C" w:rsidP="001A385C">
      <w:pPr>
        <w:pStyle w:val="enumlev1"/>
        <w:rPr>
          <w:rFonts w:asciiTheme="minorHAnsi" w:hAnsiTheme="minorHAnsi" w:cstheme="minorBidi"/>
          <w:snapToGrid w:val="0"/>
          <w:szCs w:val="24"/>
        </w:rPr>
      </w:pPr>
      <w:r w:rsidRPr="001A385C">
        <w:rPr>
          <w:rFonts w:asciiTheme="minorHAnsi" w:hAnsiTheme="minorHAnsi" w:cstheme="minorBidi"/>
          <w:snapToGrid w:val="0"/>
          <w:szCs w:val="24"/>
        </w:rPr>
        <w:t>–</w:t>
      </w:r>
      <w:r>
        <w:rPr>
          <w:rFonts w:asciiTheme="minorHAnsi" w:hAnsiTheme="minorHAnsi" w:cstheme="minorBidi"/>
          <w:snapToGrid w:val="0"/>
          <w:szCs w:val="24"/>
        </w:rPr>
        <w:tab/>
      </w:r>
      <w:r w:rsidRPr="004B590C">
        <w:rPr>
          <w:rFonts w:asciiTheme="minorHAnsi" w:hAnsiTheme="minorHAnsi" w:cstheme="minorBidi"/>
          <w:snapToGrid w:val="0"/>
          <w:szCs w:val="24"/>
        </w:rPr>
        <w:t>M. Hisazumi Shirae (Japon)</w:t>
      </w:r>
    </w:p>
    <w:p w14:paraId="1D72AFF6" w14:textId="6EA13C38" w:rsidR="001A385C" w:rsidRDefault="001A385C" w:rsidP="001A385C">
      <w:pPr>
        <w:pStyle w:val="enumlev1"/>
        <w:rPr>
          <w:rFonts w:asciiTheme="minorHAnsi" w:hAnsiTheme="minorHAnsi" w:cstheme="minorBidi"/>
          <w:snapToGrid w:val="0"/>
          <w:szCs w:val="24"/>
        </w:rPr>
      </w:pPr>
      <w:r w:rsidRPr="001A385C">
        <w:rPr>
          <w:rFonts w:asciiTheme="minorHAnsi" w:hAnsiTheme="minorHAnsi" w:cstheme="minorBidi"/>
          <w:snapToGrid w:val="0"/>
          <w:szCs w:val="24"/>
        </w:rPr>
        <w:t>–</w:t>
      </w:r>
      <w:r w:rsidRPr="001A385C">
        <w:rPr>
          <w:rFonts w:asciiTheme="minorHAnsi" w:hAnsiTheme="minorHAnsi" w:cstheme="minorBidi"/>
          <w:snapToGrid w:val="0"/>
          <w:szCs w:val="24"/>
        </w:rPr>
        <w:tab/>
        <w:t>Mme Natalya Petrovna Reznikova (Fédération de Russie)</w:t>
      </w:r>
    </w:p>
    <w:p w14:paraId="53D52770" w14:textId="77777777" w:rsidR="001A385C" w:rsidRDefault="001A385C" w:rsidP="001A385C">
      <w:pPr>
        <w:pStyle w:val="enumlev1"/>
        <w:rPr>
          <w:rFonts w:asciiTheme="minorHAnsi" w:hAnsiTheme="minorHAnsi" w:cstheme="minorBidi"/>
          <w:snapToGrid w:val="0"/>
          <w:szCs w:val="24"/>
          <w:lang w:val="es-ES"/>
        </w:rPr>
      </w:pPr>
      <w:r w:rsidRPr="001A385C">
        <w:rPr>
          <w:rFonts w:asciiTheme="minorHAnsi" w:hAnsiTheme="minorHAnsi" w:cstheme="minorBidi"/>
          <w:snapToGrid w:val="0"/>
          <w:szCs w:val="24"/>
          <w:lang w:val="es-ES"/>
        </w:rPr>
        <w:t>–</w:t>
      </w:r>
      <w:r w:rsidRPr="001A385C">
        <w:rPr>
          <w:rFonts w:asciiTheme="minorHAnsi" w:hAnsiTheme="minorHAnsi" w:cstheme="minorBidi"/>
          <w:snapToGrid w:val="0"/>
          <w:szCs w:val="24"/>
          <w:lang w:val="es-ES"/>
        </w:rPr>
        <w:tab/>
      </w:r>
      <w:r w:rsidRPr="001A385C">
        <w:rPr>
          <w:rFonts w:asciiTheme="minorHAnsi" w:hAnsiTheme="minorHAnsi" w:cstheme="minorBidi"/>
          <w:snapToGrid w:val="0"/>
          <w:szCs w:val="24"/>
          <w:lang w:val="es-ES_tradnl"/>
        </w:rPr>
        <w:t>M. Manuel da Costa Cabral (</w:t>
      </w:r>
      <w:r w:rsidRPr="001A385C">
        <w:rPr>
          <w:rFonts w:asciiTheme="minorHAnsi" w:hAnsiTheme="minorHAnsi" w:cstheme="minorBidi"/>
          <w:snapToGrid w:val="0"/>
          <w:szCs w:val="24"/>
          <w:lang w:val="es-ES"/>
        </w:rPr>
        <w:t>Portugal).</w:t>
      </w:r>
    </w:p>
    <w:p w14:paraId="3356E0EF" w14:textId="1F837343" w:rsidR="001A385C" w:rsidRPr="001A385C" w:rsidRDefault="001A385C" w:rsidP="00F332DF">
      <w:pPr>
        <w:keepNext/>
        <w:keepLines/>
        <w:rPr>
          <w:rFonts w:cstheme="majorBidi"/>
        </w:rPr>
      </w:pPr>
      <w:r w:rsidRPr="001A385C">
        <w:rPr>
          <w:rFonts w:cstheme="majorBidi"/>
        </w:rPr>
        <w:lastRenderedPageBreak/>
        <w:t>2.4</w:t>
      </w:r>
      <w:r w:rsidRPr="001A385C">
        <w:rPr>
          <w:rFonts w:cstheme="majorBidi"/>
        </w:rPr>
        <w:tab/>
        <w:t>Il a été décidé de présenter la contribution de la Fédération de Russie sur le "Projet de révision de la Résolution 71" (</w:t>
      </w:r>
      <w:hyperlink r:id="rId10" w:history="1">
        <w:r w:rsidRPr="004B590C">
          <w:rPr>
            <w:rStyle w:val="Hyperlink"/>
          </w:rPr>
          <w:t>CWG-SFP-2/10</w:t>
        </w:r>
      </w:hyperlink>
      <w:r w:rsidRPr="001A385C">
        <w:rPr>
          <w:rFonts w:cstheme="majorBidi"/>
        </w:rPr>
        <w:t xml:space="preserve">) et d'en débattre au titre du point 3 de l'ordre du jour, ainsi que de présenter la contribution de </w:t>
      </w:r>
      <w:r w:rsidR="00CF6D35">
        <w:rPr>
          <w:rFonts w:cstheme="majorBidi"/>
        </w:rPr>
        <w:t>ce pays</w:t>
      </w:r>
      <w:r w:rsidRPr="001A385C">
        <w:rPr>
          <w:rFonts w:cstheme="majorBidi"/>
        </w:rPr>
        <w:t xml:space="preserve"> sur les "Conclusions préliminaires de la consultation ouverte" (</w:t>
      </w:r>
      <w:hyperlink r:id="rId11" w:history="1">
        <w:r w:rsidRPr="004B590C">
          <w:rPr>
            <w:rStyle w:val="Hyperlink"/>
          </w:rPr>
          <w:t>CWG-SFP-2/9</w:t>
        </w:r>
      </w:hyperlink>
      <w:r w:rsidRPr="001A385C">
        <w:rPr>
          <w:rFonts w:cstheme="majorBidi"/>
        </w:rPr>
        <w:t>) et d'en débattre au titre du point 5 de l'ordre du jour. Il est fait état de ces modifications dans la version révisée de l'ordre du jour (</w:t>
      </w:r>
      <w:hyperlink r:id="rId12" w:history="1">
        <w:r w:rsidRPr="004B590C">
          <w:rPr>
            <w:rStyle w:val="Hyperlink"/>
          </w:rPr>
          <w:t>CWG-SFP-2/1(Rév.1)</w:t>
        </w:r>
      </w:hyperlink>
      <w:r w:rsidRPr="001A385C">
        <w:rPr>
          <w:rFonts w:cstheme="majorBidi"/>
        </w:rPr>
        <w:t>).</w:t>
      </w:r>
    </w:p>
    <w:p w14:paraId="27000439" w14:textId="48C7A9E5" w:rsidR="001A385C" w:rsidRPr="001A385C" w:rsidRDefault="001A385C" w:rsidP="001A385C">
      <w:pPr>
        <w:rPr>
          <w:rFonts w:cstheme="majorBidi"/>
        </w:rPr>
      </w:pPr>
      <w:r w:rsidRPr="001A385C">
        <w:rPr>
          <w:rFonts w:cstheme="majorBidi"/>
        </w:rPr>
        <w:t>2.5</w:t>
      </w:r>
      <w:r w:rsidRPr="001A385C">
        <w:rPr>
          <w:rFonts w:cstheme="majorBidi"/>
        </w:rPr>
        <w:tab/>
        <w:t>Aucun commentaire n'a été formulé au sujet du Rapport de la première réunion du GTC-SFP (</w:t>
      </w:r>
      <w:hyperlink r:id="rId13" w:history="1">
        <w:r w:rsidRPr="004B590C">
          <w:rPr>
            <w:rStyle w:val="Hyperlink"/>
          </w:rPr>
          <w:t>CWG-SFP-2/2</w:t>
        </w:r>
      </w:hyperlink>
      <w:r w:rsidRPr="001A385C">
        <w:rPr>
          <w:rFonts w:cstheme="majorBidi"/>
        </w:rPr>
        <w:t>).</w:t>
      </w:r>
    </w:p>
    <w:p w14:paraId="46AEB88D" w14:textId="138029AE" w:rsidR="001A385C" w:rsidRDefault="001A385C" w:rsidP="00CF6D35">
      <w:pPr>
        <w:rPr>
          <w:rFonts w:cstheme="majorBidi"/>
        </w:rPr>
      </w:pPr>
      <w:r w:rsidRPr="001A385C">
        <w:rPr>
          <w:rFonts w:cstheme="majorBidi"/>
        </w:rPr>
        <w:t>2.6</w:t>
      </w:r>
      <w:r w:rsidRPr="001A385C">
        <w:rPr>
          <w:rFonts w:cstheme="majorBidi"/>
        </w:rPr>
        <w:tab/>
        <w:t>Plusieurs délégations ont sollicité des délais supplémentaires, au sein du processus général de planification stratégique, afin de mener davantage de consultations a</w:t>
      </w:r>
      <w:r w:rsidR="00CF6D35">
        <w:rPr>
          <w:rFonts w:cstheme="majorBidi"/>
        </w:rPr>
        <w:t>ux niveaux national et régional</w:t>
      </w:r>
      <w:r w:rsidRPr="001A385C">
        <w:rPr>
          <w:rFonts w:cstheme="majorBidi"/>
        </w:rPr>
        <w:t xml:space="preserve"> et de poursuivre l'élaboration de leurs contributions aux travaux du GTC-SFP. En conséquence, les participants à la réunion se sont accordés </w:t>
      </w:r>
      <w:r w:rsidR="00CF6D35">
        <w:rPr>
          <w:rFonts w:cstheme="majorBidi"/>
        </w:rPr>
        <w:t>sur le</w:t>
      </w:r>
      <w:r w:rsidRPr="001A385C">
        <w:rPr>
          <w:rFonts w:cstheme="majorBidi"/>
        </w:rPr>
        <w:t xml:space="preserve"> fait que tout résultat de cette réunion devrait être considéré comme un avant-projet, qui sera examiné plus avant au cours du processus d'élaboration des projets de plan par le GTC-SFP.</w:t>
      </w:r>
    </w:p>
    <w:p w14:paraId="37EADBC1" w14:textId="77777777" w:rsidR="001A385C" w:rsidRPr="001A385C" w:rsidRDefault="001A385C" w:rsidP="001A385C">
      <w:pPr>
        <w:pStyle w:val="Heading1"/>
      </w:pPr>
      <w:r>
        <w:t>3</w:t>
      </w:r>
      <w:r>
        <w:tab/>
      </w:r>
      <w:r w:rsidRPr="001A385C">
        <w:rPr>
          <w:bCs/>
        </w:rPr>
        <w:t>Structure du Plan stratégique et du Plan financier</w:t>
      </w:r>
    </w:p>
    <w:p w14:paraId="47FD4F7B" w14:textId="3A9014E6" w:rsidR="00197210" w:rsidRDefault="001A385C" w:rsidP="001A385C">
      <w:r>
        <w:t>3.1</w:t>
      </w:r>
      <w:r>
        <w:tab/>
      </w:r>
      <w:r w:rsidRPr="001A385C">
        <w:t>Un membre du Secrétariat a présenté le projet de structure proposée pour le nouveau Plan stratégique pour la période 2020-2023</w:t>
      </w:r>
      <w:r w:rsidR="00A25B90">
        <w:t xml:space="preserve"> </w:t>
      </w:r>
      <w:r w:rsidRPr="001A385C">
        <w:t>(</w:t>
      </w:r>
      <w:hyperlink r:id="rId14" w:history="1">
        <w:r w:rsidRPr="001A385C">
          <w:rPr>
            <w:rStyle w:val="Hyperlink"/>
          </w:rPr>
          <w:t>CWG-SFP-2/3</w:t>
        </w:r>
      </w:hyperlink>
      <w:r w:rsidRPr="001A385C">
        <w:t>).</w:t>
      </w:r>
    </w:p>
    <w:p w14:paraId="5BDF0FC0" w14:textId="093A595D" w:rsidR="001A385C" w:rsidRDefault="001A385C" w:rsidP="001A385C">
      <w:r>
        <w:t>3.2</w:t>
      </w:r>
      <w:r>
        <w:tab/>
      </w:r>
      <w:r w:rsidRPr="001A385C">
        <w:t>La Fédération de Russie a présenté une contribution sur le projet de révision de la Résolution 71 (</w:t>
      </w:r>
      <w:hyperlink r:id="rId15" w:history="1">
        <w:r w:rsidRPr="001A385C">
          <w:rPr>
            <w:rStyle w:val="Hyperlink"/>
          </w:rPr>
          <w:t>CWG-SFP-2/10</w:t>
        </w:r>
      </w:hyperlink>
      <w:r w:rsidRPr="001A385C">
        <w:t>).</w:t>
      </w:r>
    </w:p>
    <w:p w14:paraId="176C3270" w14:textId="77777777" w:rsidR="001A385C" w:rsidRDefault="001A385C" w:rsidP="001A385C">
      <w:r>
        <w:t>3.3</w:t>
      </w:r>
      <w:r>
        <w:tab/>
      </w:r>
      <w:r w:rsidRPr="001A385C">
        <w:t>Il a été convenu, dans un premier temps: a) que le Plan stratégique figurera dans l'Annexe 1 de la Résolution 71; b) que le lien avec le Plan financier figurera en appendice de l'Annexe 1; c) que l'Analyse de la situation figurera dans l'Annexe 2 de la Résolution 71; et d) que le Glossaire figurera dans l'Annexe 3 de la Résolution 71.</w:t>
      </w:r>
    </w:p>
    <w:p w14:paraId="2CD7A591" w14:textId="16BC55EA" w:rsidR="001A385C" w:rsidRDefault="001A385C" w:rsidP="001A385C">
      <w:r>
        <w:t>3.4</w:t>
      </w:r>
      <w:r>
        <w:tab/>
      </w:r>
      <w:r w:rsidRPr="001A385C">
        <w:t>Un membre du Secrétariat (Chef de la Division du budget et de l'analyse financière/FRMD) a présenté un aperçu du projet de Plan financier pour la période 2020-2023 (</w:t>
      </w:r>
      <w:hyperlink r:id="rId16" w:history="1">
        <w:r w:rsidRPr="001A385C">
          <w:rPr>
            <w:rStyle w:val="Hyperlink"/>
          </w:rPr>
          <w:t>CWG-SFP-2/4</w:t>
        </w:r>
      </w:hyperlink>
      <w:r w:rsidRPr="001A385C">
        <w:t>).</w:t>
      </w:r>
    </w:p>
    <w:p w14:paraId="67F76BF6" w14:textId="77777777" w:rsidR="001A385C" w:rsidRDefault="001A385C" w:rsidP="001A385C">
      <w:r>
        <w:t>3.5</w:t>
      </w:r>
      <w:r>
        <w:tab/>
      </w:r>
      <w:r w:rsidRPr="001A385C">
        <w:t>Plusieurs délégations ont souligné la nécessité de tenir compte de la disponibilité des ressources avant de finaliser la stratégie. Une délégation a suggéré que les Etats Membres annoncent leur classe de contribution prévue le plus tôt possible, afin d'accélérer le processus.</w:t>
      </w:r>
    </w:p>
    <w:p w14:paraId="19F5B6BA" w14:textId="74BCE16E" w:rsidR="001A385C" w:rsidRDefault="001A385C" w:rsidP="00CF6D35">
      <w:r>
        <w:t>3.6</w:t>
      </w:r>
      <w:r>
        <w:tab/>
      </w:r>
      <w:r w:rsidRPr="001A385C">
        <w:t xml:space="preserve">En ce qui concerne l'élaboration générale des projets de Plan stratégique et de Plan financier pour la période 2020-2023, le Groupe de travail du Conseil a réaffirmé la nécessité </w:t>
      </w:r>
      <w:r w:rsidR="00CF6D35">
        <w:t>d'établir des</w:t>
      </w:r>
      <w:r w:rsidRPr="001A385C">
        <w:t xml:space="preserve"> liens très clairs entre le </w:t>
      </w:r>
      <w:r w:rsidR="00CF6D35">
        <w:t>P</w:t>
      </w:r>
      <w:r w:rsidRPr="001A385C">
        <w:t xml:space="preserve">lan stratégique et le </w:t>
      </w:r>
      <w:r w:rsidR="00CF6D35">
        <w:t>P</w:t>
      </w:r>
      <w:r w:rsidRPr="001A385C">
        <w:t>lan financier, en tenant dûment compte du mandat de l'Union et de ses compétences fondamentales. En prévision de la CMDT-17, le Groupe de travail a également insisté à nouveau sur le besoin de tenir compte comme il se doit du numéro 142 de la Constitution de l'UIT</w:t>
      </w:r>
      <w:r w:rsidR="00CF6D35">
        <w:t xml:space="preserve"> concernant</w:t>
      </w:r>
      <w:r w:rsidRPr="001A385C">
        <w:t xml:space="preserve"> le fait d'éviter d'adopter des résolutions ou des décisions susceptibles d'entraîner le dépassement des limites financières fixées par la Conférence de plénipotentiaires, et sur les numéros 488 et 489 de la Convention de l'Union</w:t>
      </w:r>
      <w:r w:rsidR="00CF6D35">
        <w:t xml:space="preserve"> relatifs aux</w:t>
      </w:r>
      <w:r w:rsidRPr="001A385C">
        <w:t xml:space="preserve"> responsabilités financières des conférences.</w:t>
      </w:r>
    </w:p>
    <w:p w14:paraId="026FC8CD" w14:textId="19342E0E" w:rsidR="001A385C" w:rsidRDefault="001A385C" w:rsidP="00F332DF">
      <w:pPr>
        <w:pStyle w:val="Heading1"/>
        <w:rPr>
          <w:bCs/>
          <w:lang w:val="fr-CH"/>
        </w:rPr>
      </w:pPr>
      <w:r>
        <w:t>4</w:t>
      </w:r>
      <w:r>
        <w:tab/>
      </w:r>
      <w:r w:rsidRPr="001A385C">
        <w:rPr>
          <w:bCs/>
          <w:lang w:val="fr-CH"/>
        </w:rPr>
        <w:t>Glossaire de termes (</w:t>
      </w:r>
      <w:hyperlink r:id="rId17" w:history="1">
        <w:r w:rsidRPr="001A385C">
          <w:rPr>
            <w:rStyle w:val="Hyperlink"/>
            <w:lang w:val="fr-CH"/>
          </w:rPr>
          <w:t>CWG-SFP-2/5</w:t>
        </w:r>
      </w:hyperlink>
      <w:r w:rsidRPr="001A385C">
        <w:rPr>
          <w:bCs/>
          <w:lang w:val="fr-CH"/>
        </w:rPr>
        <w:t>)</w:t>
      </w:r>
    </w:p>
    <w:p w14:paraId="1577220A" w14:textId="21158A73" w:rsidR="001A385C" w:rsidRDefault="001A385C" w:rsidP="00F332DF">
      <w:pPr>
        <w:keepNext/>
        <w:keepLines/>
        <w:rPr>
          <w:rFonts w:asciiTheme="minorHAnsi" w:hAnsiTheme="minorHAnsi" w:cstheme="minorBidi"/>
          <w:snapToGrid w:val="0"/>
          <w:szCs w:val="24"/>
        </w:rPr>
      </w:pPr>
      <w:r>
        <w:rPr>
          <w:lang w:val="fr-CH"/>
        </w:rPr>
        <w:t>4.1</w:t>
      </w:r>
      <w:r>
        <w:rPr>
          <w:lang w:val="fr-CH"/>
        </w:rPr>
        <w:tab/>
      </w:r>
      <w:r w:rsidRPr="000F7D94">
        <w:rPr>
          <w:rFonts w:asciiTheme="minorHAnsi" w:hAnsiTheme="minorHAnsi" w:cstheme="minorBidi"/>
          <w:snapToGrid w:val="0"/>
          <w:szCs w:val="24"/>
        </w:rPr>
        <w:t xml:space="preserve">La proposition de glossaire a été présentée. </w:t>
      </w:r>
      <w:r>
        <w:rPr>
          <w:rFonts w:asciiTheme="minorHAnsi" w:hAnsiTheme="minorHAnsi" w:cstheme="minorBidi"/>
          <w:snapToGrid w:val="0"/>
          <w:szCs w:val="24"/>
        </w:rPr>
        <w:t>Les membres du Groupe ont proposé quelques ajustements</w:t>
      </w:r>
      <w:r w:rsidR="00CF6D35">
        <w:rPr>
          <w:rFonts w:asciiTheme="minorHAnsi" w:hAnsiTheme="minorHAnsi" w:cstheme="minorBidi"/>
          <w:snapToGrid w:val="0"/>
          <w:szCs w:val="24"/>
        </w:rPr>
        <w:t>, dont ils</w:t>
      </w:r>
      <w:r>
        <w:rPr>
          <w:rFonts w:asciiTheme="minorHAnsi" w:hAnsiTheme="minorHAnsi" w:cstheme="minorBidi"/>
          <w:snapToGrid w:val="0"/>
          <w:szCs w:val="24"/>
        </w:rPr>
        <w:t xml:space="preserve"> ont débattu. Les participants ont fait observer que le glossaire pourrait aussi inclure de nouveaux termes susceptibles d'apparaître au cours du processus d'élaboration du Plan stratégique et du Plan financier.</w:t>
      </w:r>
    </w:p>
    <w:p w14:paraId="16618AA4" w14:textId="5DF069C5" w:rsidR="00D70651" w:rsidRDefault="001A385C" w:rsidP="001A385C">
      <w:pPr>
        <w:pStyle w:val="Heading1"/>
        <w:rPr>
          <w:bCs/>
          <w:lang w:val="fr-CH"/>
        </w:rPr>
      </w:pPr>
      <w:r>
        <w:t>5</w:t>
      </w:r>
      <w:r w:rsidRPr="001A385C">
        <w:tab/>
      </w:r>
      <w:r w:rsidRPr="001A385C">
        <w:rPr>
          <w:bCs/>
          <w:lang w:val="fr-CH"/>
        </w:rPr>
        <w:t>Consultations relative</w:t>
      </w:r>
      <w:r w:rsidR="00CF6D35">
        <w:rPr>
          <w:bCs/>
          <w:lang w:val="fr-CH"/>
        </w:rPr>
        <w:t>s à l'élaboration du projet de P</w:t>
      </w:r>
      <w:r w:rsidRPr="001A385C">
        <w:rPr>
          <w:bCs/>
          <w:lang w:val="fr-CH"/>
        </w:rPr>
        <w:t>lan stratégique (</w:t>
      </w:r>
      <w:hyperlink r:id="rId18" w:history="1">
        <w:r>
          <w:rPr>
            <w:rStyle w:val="Hyperlink"/>
            <w:bCs/>
            <w:lang w:val="fr-CH"/>
          </w:rPr>
          <w:t>CWG</w:t>
        </w:r>
        <w:r w:rsidRPr="001A385C">
          <w:rPr>
            <w:rStyle w:val="Hyperlink"/>
            <w:bCs/>
          </w:rPr>
          <w:noBreakHyphen/>
        </w:r>
        <w:r w:rsidRPr="001A385C">
          <w:rPr>
            <w:rStyle w:val="Hyperlink"/>
            <w:bCs/>
            <w:lang w:val="fr-CH"/>
          </w:rPr>
          <w:t>SFP-2/INF-1</w:t>
        </w:r>
      </w:hyperlink>
      <w:r w:rsidRPr="001A385C">
        <w:rPr>
          <w:bCs/>
          <w:lang w:val="fr-CH"/>
        </w:rPr>
        <w:t xml:space="preserve">, </w:t>
      </w:r>
      <w:hyperlink r:id="rId19" w:history="1">
        <w:r w:rsidRPr="001A385C">
          <w:rPr>
            <w:rStyle w:val="Hyperlink"/>
            <w:bCs/>
            <w:lang w:val="fr-CH"/>
          </w:rPr>
          <w:t>CWG-SFP-2/INF-2</w:t>
        </w:r>
      </w:hyperlink>
      <w:r w:rsidRPr="001A385C">
        <w:rPr>
          <w:bCs/>
          <w:lang w:val="fr-CH"/>
        </w:rPr>
        <w:t>)</w:t>
      </w:r>
    </w:p>
    <w:p w14:paraId="3710781E" w14:textId="1F7E7989" w:rsidR="001A385C" w:rsidRDefault="001A385C" w:rsidP="00CF6D35">
      <w:pPr>
        <w:rPr>
          <w:rFonts w:asciiTheme="minorHAnsi" w:hAnsiTheme="minorHAnsi" w:cstheme="minorBidi"/>
          <w:snapToGrid w:val="0"/>
          <w:szCs w:val="24"/>
        </w:rPr>
      </w:pPr>
      <w:r>
        <w:rPr>
          <w:lang w:val="fr-CH"/>
        </w:rPr>
        <w:t>5.1</w:t>
      </w:r>
      <w:r>
        <w:rPr>
          <w:lang w:val="fr-CH"/>
        </w:rPr>
        <w:tab/>
      </w:r>
      <w:r w:rsidRPr="00763FF0">
        <w:rPr>
          <w:rFonts w:asciiTheme="minorHAnsi" w:hAnsiTheme="minorHAnsi" w:cstheme="minorBidi"/>
          <w:snapToGrid w:val="0"/>
          <w:szCs w:val="24"/>
        </w:rPr>
        <w:t xml:space="preserve">La Fédération de Russie </w:t>
      </w:r>
      <w:r w:rsidR="00CF6D35">
        <w:rPr>
          <w:rFonts w:asciiTheme="minorHAnsi" w:hAnsiTheme="minorHAnsi" w:cstheme="minorBidi"/>
          <w:snapToGrid w:val="0"/>
          <w:szCs w:val="24"/>
        </w:rPr>
        <w:t>a présenté</w:t>
      </w:r>
      <w:r>
        <w:rPr>
          <w:rFonts w:asciiTheme="minorHAnsi" w:hAnsiTheme="minorHAnsi" w:cstheme="minorBidi"/>
          <w:snapToGrid w:val="0"/>
          <w:szCs w:val="24"/>
        </w:rPr>
        <w:t xml:space="preserve"> une contribution sur l</w:t>
      </w:r>
      <w:r w:rsidR="00CF6D35">
        <w:rPr>
          <w:rFonts w:asciiTheme="minorHAnsi" w:hAnsiTheme="minorHAnsi" w:cstheme="minorBidi"/>
          <w:snapToGrid w:val="0"/>
          <w:szCs w:val="24"/>
        </w:rPr>
        <w:t>es conclusions préliminaires de</w:t>
      </w:r>
      <w:r>
        <w:rPr>
          <w:rFonts w:asciiTheme="minorHAnsi" w:hAnsiTheme="minorHAnsi" w:cstheme="minorBidi"/>
          <w:snapToGrid w:val="0"/>
          <w:szCs w:val="24"/>
        </w:rPr>
        <w:t xml:space="preserve"> </w:t>
      </w:r>
      <w:r w:rsidR="00CF6D35">
        <w:rPr>
          <w:rFonts w:asciiTheme="minorHAnsi" w:hAnsiTheme="minorHAnsi" w:cstheme="minorBidi"/>
          <w:snapToGrid w:val="0"/>
          <w:szCs w:val="24"/>
        </w:rPr>
        <w:t>la consultation</w:t>
      </w:r>
      <w:r>
        <w:rPr>
          <w:rFonts w:asciiTheme="minorHAnsi" w:hAnsiTheme="minorHAnsi" w:cstheme="minorBidi"/>
          <w:snapToGrid w:val="0"/>
          <w:szCs w:val="24"/>
        </w:rPr>
        <w:t xml:space="preserve"> ouverte</w:t>
      </w:r>
      <w:r w:rsidRPr="00763FF0">
        <w:rPr>
          <w:rFonts w:asciiTheme="minorHAnsi" w:hAnsiTheme="minorHAnsi" w:cstheme="minorBidi"/>
          <w:snapToGrid w:val="0"/>
          <w:szCs w:val="24"/>
        </w:rPr>
        <w:t xml:space="preserve"> (</w:t>
      </w:r>
      <w:hyperlink r:id="rId20" w:history="1">
        <w:r w:rsidRPr="00763FF0">
          <w:rPr>
            <w:rStyle w:val="Hyperlink"/>
            <w:rFonts w:asciiTheme="minorHAnsi" w:hAnsiTheme="minorHAnsi"/>
            <w:snapToGrid w:val="0"/>
            <w:szCs w:val="24"/>
          </w:rPr>
          <w:t>CWG-SFP-2/9</w:t>
        </w:r>
      </w:hyperlink>
      <w:r w:rsidRPr="00763FF0">
        <w:rPr>
          <w:rFonts w:asciiTheme="minorHAnsi" w:hAnsiTheme="minorHAnsi" w:cstheme="minorBidi"/>
          <w:snapToGrid w:val="0"/>
          <w:szCs w:val="24"/>
        </w:rPr>
        <w:t>).</w:t>
      </w:r>
    </w:p>
    <w:p w14:paraId="0DDCD5C4" w14:textId="10CD0B6F" w:rsidR="001A385C" w:rsidRDefault="001A385C" w:rsidP="00CF6D35">
      <w:pPr>
        <w:rPr>
          <w:rFonts w:asciiTheme="minorHAnsi" w:hAnsiTheme="minorHAnsi" w:cstheme="minorBidi"/>
          <w:snapToGrid w:val="0"/>
          <w:szCs w:val="24"/>
        </w:rPr>
      </w:pPr>
      <w:r>
        <w:rPr>
          <w:rFonts w:asciiTheme="minorHAnsi" w:hAnsiTheme="minorHAnsi" w:cstheme="minorBidi"/>
          <w:snapToGrid w:val="0"/>
          <w:szCs w:val="24"/>
        </w:rPr>
        <w:t>5.2</w:t>
      </w:r>
      <w:r>
        <w:rPr>
          <w:rFonts w:asciiTheme="minorHAnsi" w:hAnsiTheme="minorHAnsi" w:cstheme="minorBidi"/>
          <w:snapToGrid w:val="0"/>
          <w:szCs w:val="24"/>
        </w:rPr>
        <w:tab/>
      </w:r>
      <w:r w:rsidRPr="001A385C">
        <w:rPr>
          <w:rFonts w:asciiTheme="minorHAnsi" w:hAnsiTheme="minorHAnsi" w:cstheme="minorBidi"/>
          <w:snapToGrid w:val="0"/>
          <w:szCs w:val="24"/>
        </w:rPr>
        <w:t xml:space="preserve">Un membre du Secrétariat (Chef de la Division de la stratégie institutionnelle/SPM) </w:t>
      </w:r>
      <w:r w:rsidR="00CF6D35">
        <w:rPr>
          <w:rFonts w:asciiTheme="minorHAnsi" w:hAnsiTheme="minorHAnsi" w:cstheme="minorBidi"/>
          <w:snapToGrid w:val="0"/>
          <w:szCs w:val="24"/>
        </w:rPr>
        <w:t>a présenté</w:t>
      </w:r>
      <w:r w:rsidRPr="001A385C">
        <w:rPr>
          <w:rFonts w:asciiTheme="minorHAnsi" w:hAnsiTheme="minorHAnsi" w:cstheme="minorBidi"/>
          <w:snapToGrid w:val="0"/>
          <w:szCs w:val="24"/>
        </w:rPr>
        <w:t xml:space="preserve"> les rapports de la première consultation publique et de l'enquête menée auprès du personnel concernant les priorités stratégiques de l'UIT pour la période 2020-2023. Plusieurs délégations ont présenté leurs réponses à la consultation publique (en qualité d'administration ou au nom de groupes régionaux). Les participants à la réunion ont</w:t>
      </w:r>
      <w:r w:rsidR="00EA6D57">
        <w:rPr>
          <w:rFonts w:asciiTheme="minorHAnsi" w:hAnsiTheme="minorHAnsi" w:cstheme="minorBidi"/>
          <w:snapToGrid w:val="0"/>
          <w:szCs w:val="24"/>
        </w:rPr>
        <w:t xml:space="preserve"> fait observer</w:t>
      </w:r>
      <w:r w:rsidRPr="001A385C">
        <w:rPr>
          <w:rFonts w:asciiTheme="minorHAnsi" w:hAnsiTheme="minorHAnsi" w:cstheme="minorBidi"/>
          <w:snapToGrid w:val="0"/>
          <w:szCs w:val="24"/>
        </w:rPr>
        <w:t xml:space="preserve"> </w:t>
      </w:r>
      <w:r w:rsidR="00EA6D57">
        <w:rPr>
          <w:rFonts w:asciiTheme="minorHAnsi" w:hAnsiTheme="minorHAnsi" w:cstheme="minorBidi"/>
          <w:snapToGrid w:val="0"/>
          <w:szCs w:val="24"/>
        </w:rPr>
        <w:t>que les</w:t>
      </w:r>
      <w:r w:rsidRPr="001A385C">
        <w:rPr>
          <w:rFonts w:asciiTheme="minorHAnsi" w:hAnsiTheme="minorHAnsi" w:cstheme="minorBidi"/>
          <w:snapToGrid w:val="0"/>
          <w:szCs w:val="24"/>
        </w:rPr>
        <w:t xml:space="preserve"> contributions reçues </w:t>
      </w:r>
      <w:r w:rsidR="00CF6D35">
        <w:rPr>
          <w:rFonts w:asciiTheme="minorHAnsi" w:hAnsiTheme="minorHAnsi" w:cstheme="minorBidi"/>
          <w:snapToGrid w:val="0"/>
          <w:szCs w:val="24"/>
        </w:rPr>
        <w:t xml:space="preserve">étaient de </w:t>
      </w:r>
      <w:r w:rsidR="00CF6D35" w:rsidRPr="001A385C">
        <w:rPr>
          <w:rFonts w:asciiTheme="minorHAnsi" w:hAnsiTheme="minorHAnsi" w:cstheme="minorBidi"/>
          <w:snapToGrid w:val="0"/>
          <w:szCs w:val="24"/>
        </w:rPr>
        <w:t xml:space="preserve">grande qualité </w:t>
      </w:r>
      <w:r w:rsidRPr="001A385C">
        <w:rPr>
          <w:rFonts w:asciiTheme="minorHAnsi" w:hAnsiTheme="minorHAnsi" w:cstheme="minorBidi"/>
          <w:snapToGrid w:val="0"/>
          <w:szCs w:val="24"/>
        </w:rPr>
        <w:t>et ont encouragé la poursuite du processus de consultation.</w:t>
      </w:r>
    </w:p>
    <w:p w14:paraId="6C0182E3" w14:textId="0FF3A351" w:rsidR="001A385C" w:rsidRDefault="001A385C" w:rsidP="00EA6D57">
      <w:pPr>
        <w:rPr>
          <w:rFonts w:asciiTheme="minorHAnsi" w:hAnsiTheme="minorHAnsi" w:cstheme="minorBidi"/>
          <w:snapToGrid w:val="0"/>
          <w:szCs w:val="24"/>
        </w:rPr>
      </w:pPr>
      <w:r>
        <w:rPr>
          <w:rFonts w:asciiTheme="minorHAnsi" w:hAnsiTheme="minorHAnsi" w:cstheme="minorBidi"/>
          <w:snapToGrid w:val="0"/>
          <w:szCs w:val="24"/>
        </w:rPr>
        <w:t>5.3</w:t>
      </w:r>
      <w:r>
        <w:rPr>
          <w:rFonts w:asciiTheme="minorHAnsi" w:hAnsiTheme="minorHAnsi" w:cstheme="minorBidi"/>
          <w:snapToGrid w:val="0"/>
          <w:szCs w:val="24"/>
        </w:rPr>
        <w:tab/>
        <w:t xml:space="preserve">Le Groupe a pris note des résultats de la </w:t>
      </w:r>
      <w:r w:rsidR="00EA6D57">
        <w:rPr>
          <w:rFonts w:asciiTheme="minorHAnsi" w:hAnsiTheme="minorHAnsi" w:cstheme="minorBidi"/>
          <w:snapToGrid w:val="0"/>
          <w:szCs w:val="24"/>
        </w:rPr>
        <w:t>c</w:t>
      </w:r>
      <w:r>
        <w:rPr>
          <w:rFonts w:asciiTheme="minorHAnsi" w:hAnsiTheme="minorHAnsi" w:cstheme="minorBidi"/>
          <w:snapToGrid w:val="0"/>
          <w:szCs w:val="24"/>
        </w:rPr>
        <w:t xml:space="preserve">onsultation publique sur: a) les principales priorités stratégiques de l'UIT pour la période 2020-2023; b) les tendances majeures à prendre en compte en matière de technologies; c) les défis essentiels que l'UIT devra relever au cours de la période 2020-2023; et d) les principaux résultats que l'Union devra obtenir au cours de cette période. Les membres du </w:t>
      </w:r>
      <w:r w:rsidR="00EA6D57">
        <w:rPr>
          <w:rFonts w:asciiTheme="minorHAnsi" w:hAnsiTheme="minorHAnsi" w:cstheme="minorBidi"/>
          <w:snapToGrid w:val="0"/>
          <w:szCs w:val="24"/>
        </w:rPr>
        <w:t>G</w:t>
      </w:r>
      <w:r>
        <w:rPr>
          <w:rFonts w:asciiTheme="minorHAnsi" w:hAnsiTheme="minorHAnsi" w:cstheme="minorBidi"/>
          <w:snapToGrid w:val="0"/>
          <w:szCs w:val="24"/>
        </w:rPr>
        <w:t>roupe ont aussi pris note des résultats de l'enquête menée auprès du personnel sur les priorités de l'UIT au-delà de 2020, la contribution de l'UIT aux objectifs de développement durable (ODD), les domaines d'excellence définis par l'UIT, les tendances majeures à prendre en compte sur le plan technologique, les possibilités d'amélioration et les principaux défis.</w:t>
      </w:r>
    </w:p>
    <w:p w14:paraId="110731A2" w14:textId="0AF366F4" w:rsidR="001A385C" w:rsidRDefault="001A385C" w:rsidP="001A385C">
      <w:pPr>
        <w:pStyle w:val="Heading1"/>
      </w:pPr>
      <w:r w:rsidRPr="001A385C">
        <w:t>6</w:t>
      </w:r>
      <w:r w:rsidRPr="001A385C">
        <w:tab/>
        <w:t>Cadre stratégique de l'UIT pour la période 2020-2023 (</w:t>
      </w:r>
      <w:hyperlink r:id="rId21" w:history="1">
        <w:r w:rsidRPr="001A385C">
          <w:rPr>
            <w:rStyle w:val="Hyperlink"/>
          </w:rPr>
          <w:t>CWG-SFP-2/6</w:t>
        </w:r>
      </w:hyperlink>
      <w:r w:rsidRPr="001A385C">
        <w:t>)</w:t>
      </w:r>
    </w:p>
    <w:p w14:paraId="5C07CE5F" w14:textId="244A3A50" w:rsidR="001A385C" w:rsidRDefault="001A385C" w:rsidP="00EA6D57">
      <w:pPr>
        <w:rPr>
          <w:lang w:val="fr-CH"/>
        </w:rPr>
      </w:pPr>
      <w:r>
        <w:t>6.1</w:t>
      </w:r>
      <w:r>
        <w:tab/>
      </w:r>
      <w:r w:rsidRPr="001A385C">
        <w:rPr>
          <w:lang w:val="fr-CH"/>
        </w:rPr>
        <w:t xml:space="preserve">L'Allemagne </w:t>
      </w:r>
      <w:r w:rsidR="00EA6D57">
        <w:rPr>
          <w:lang w:val="fr-CH"/>
        </w:rPr>
        <w:t>a présenté</w:t>
      </w:r>
      <w:r w:rsidRPr="001A385C">
        <w:rPr>
          <w:lang w:val="fr-CH"/>
        </w:rPr>
        <w:t xml:space="preserve"> une contribution sur la prise en compte des résultats de la conférence des ministres du G20 chargés de l'économie numérique (</w:t>
      </w:r>
      <w:hyperlink r:id="rId22" w:history="1">
        <w:r w:rsidRPr="001A385C">
          <w:rPr>
            <w:rStyle w:val="Hyperlink"/>
            <w:lang w:val="fr-CH"/>
          </w:rPr>
          <w:t>CWG-SFP-2/8</w:t>
        </w:r>
      </w:hyperlink>
      <w:r w:rsidRPr="001A385C">
        <w:rPr>
          <w:lang w:val="fr-CH"/>
        </w:rPr>
        <w:t xml:space="preserve">). Plusieurs délégations </w:t>
      </w:r>
      <w:r w:rsidR="00EA6D57">
        <w:rPr>
          <w:lang w:val="fr-CH"/>
        </w:rPr>
        <w:t xml:space="preserve">ont </w:t>
      </w:r>
      <w:r w:rsidRPr="001A385C">
        <w:rPr>
          <w:lang w:val="fr-CH"/>
        </w:rPr>
        <w:t>appu</w:t>
      </w:r>
      <w:r w:rsidR="00EA6D57">
        <w:rPr>
          <w:lang w:val="fr-CH"/>
        </w:rPr>
        <w:t xml:space="preserve">yé </w:t>
      </w:r>
      <w:r w:rsidRPr="001A385C">
        <w:rPr>
          <w:lang w:val="fr-CH"/>
        </w:rPr>
        <w:t xml:space="preserve">la contribution. Le Président </w:t>
      </w:r>
      <w:r w:rsidR="00EA6D57">
        <w:rPr>
          <w:lang w:val="fr-CH"/>
        </w:rPr>
        <w:t>a</w:t>
      </w:r>
      <w:r w:rsidR="004B590C">
        <w:rPr>
          <w:lang w:val="fr-CH"/>
        </w:rPr>
        <w:t xml:space="preserve"> </w:t>
      </w:r>
      <w:r w:rsidR="00EA6D57">
        <w:rPr>
          <w:lang w:val="fr-CH"/>
        </w:rPr>
        <w:t>proposé</w:t>
      </w:r>
      <w:r w:rsidRPr="001A385C">
        <w:rPr>
          <w:lang w:val="fr-CH"/>
        </w:rPr>
        <w:t xml:space="preserve"> que les membres du Groupe examinent la feuille de route sur l'économie numérique présentée dans la contribution et recensent les questions qui relèvent du mandat de l'UIT, afin qu'elles soient examinées au titre du Plan stratégique de l'UIT pour la période 2020-2023.</w:t>
      </w:r>
    </w:p>
    <w:p w14:paraId="3284E708" w14:textId="77777777" w:rsidR="001A385C" w:rsidRDefault="001A385C" w:rsidP="001A385C">
      <w:pPr>
        <w:rPr>
          <w:lang w:val="fr-CH"/>
        </w:rPr>
      </w:pPr>
      <w:r>
        <w:rPr>
          <w:lang w:val="fr-CH"/>
        </w:rPr>
        <w:t>6.2</w:t>
      </w:r>
      <w:r>
        <w:rPr>
          <w:lang w:val="fr-CH"/>
        </w:rPr>
        <w:tab/>
      </w:r>
      <w:r w:rsidRPr="001A385C">
        <w:rPr>
          <w:lang w:val="fr-CH"/>
        </w:rPr>
        <w:t>Un membre du Secrétariat (Chef de la division CSD/SPM) a présenté la proposition de projet de cadre. Le Groupe a demandé au Secrétariat de fournir plus de détails sur ce cadre en se fondant sur les documents préliminaires ou de travail que les membres du Groupe examineront lors de leur prochaine réunion. Les membres du Groupe ont débattu des éléments suivants:</w:t>
      </w:r>
    </w:p>
    <w:p w14:paraId="2F9FF38D" w14:textId="4AEA79FD" w:rsidR="001A385C" w:rsidRDefault="001A385C" w:rsidP="001A385C">
      <w:pPr>
        <w:pStyle w:val="enumlev1"/>
        <w:rPr>
          <w:lang w:val="fr-CH"/>
        </w:rPr>
      </w:pPr>
      <w:r>
        <w:t>–</w:t>
      </w:r>
      <w:r>
        <w:tab/>
      </w:r>
      <w:r w:rsidRPr="001A385C">
        <w:rPr>
          <w:lang w:val="fr-CH"/>
        </w:rPr>
        <w:t xml:space="preserve">l'analyse des forces, faiblesses, possibilités et menaces (SWOT) préparée par le Secrétariat a été accueillie avec satisfaction par les Etats Membres; les termes précis de cette analyse devraient être examinés plus avant par le GTC-SFP. Le Secrétariat a pris note des discussions afin d'ajuster le contenu à intégrer à l'analyse de </w:t>
      </w:r>
      <w:r w:rsidR="00EA6D57">
        <w:rPr>
          <w:lang w:val="fr-CH"/>
        </w:rPr>
        <w:t xml:space="preserve">la </w:t>
      </w:r>
      <w:r w:rsidRPr="001A385C">
        <w:rPr>
          <w:lang w:val="fr-CH"/>
        </w:rPr>
        <w:t>situation (Annexe 2 de la Résolution 71);</w:t>
      </w:r>
    </w:p>
    <w:p w14:paraId="264F334D" w14:textId="77777777" w:rsidR="001A385C" w:rsidRDefault="001A385C" w:rsidP="001A385C">
      <w:pPr>
        <w:pStyle w:val="enumlev1"/>
        <w:rPr>
          <w:lang w:val="fr-CH"/>
        </w:rPr>
      </w:pPr>
      <w:r w:rsidRPr="001A385C">
        <w:rPr>
          <w:lang w:val="fr-CH"/>
        </w:rPr>
        <w:t>–</w:t>
      </w:r>
      <w:r>
        <w:rPr>
          <w:lang w:val="fr-CH"/>
        </w:rPr>
        <w:tab/>
      </w:r>
      <w:r w:rsidRPr="001A385C">
        <w:rPr>
          <w:lang w:val="fr-CH"/>
        </w:rPr>
        <w:t>les membres du Groupe ont discuté des énoncés de la vision et de la mission de l'UIT. Il a été convenu de conserver la forme actuelle de la vision et de la mission de l'Union comme avant-projet à examiner;</w:t>
      </w:r>
    </w:p>
    <w:p w14:paraId="476FEAF6" w14:textId="2056B528" w:rsidR="001A385C" w:rsidRDefault="001A385C" w:rsidP="001A385C">
      <w:pPr>
        <w:pStyle w:val="enumlev1"/>
        <w:rPr>
          <w:lang w:val="fr-CH"/>
        </w:rPr>
      </w:pPr>
      <w:r w:rsidRPr="001A385C">
        <w:rPr>
          <w:lang w:val="fr-CH"/>
        </w:rPr>
        <w:t>–</w:t>
      </w:r>
      <w:r>
        <w:rPr>
          <w:lang w:val="fr-CH"/>
        </w:rPr>
        <w:tab/>
      </w:r>
      <w:r w:rsidRPr="001A385C">
        <w:rPr>
          <w:lang w:val="fr-CH"/>
        </w:rPr>
        <w:t>la déclaration relative aux valeurs de l'Union a été présentée, et les membres du Groupe ont discuté de certains ajustements proposés</w:t>
      </w:r>
      <w:r w:rsidR="00EA6D57">
        <w:rPr>
          <w:lang w:val="fr-CH"/>
        </w:rPr>
        <w:t xml:space="preserve"> à cet égard</w:t>
      </w:r>
      <w:r w:rsidRPr="001A385C">
        <w:rPr>
          <w:lang w:val="fr-CH"/>
        </w:rPr>
        <w:t>;</w:t>
      </w:r>
    </w:p>
    <w:p w14:paraId="2B95BEFA" w14:textId="77777777" w:rsidR="001A385C" w:rsidRDefault="001A385C" w:rsidP="001A385C">
      <w:pPr>
        <w:pStyle w:val="enumlev1"/>
        <w:rPr>
          <w:rFonts w:asciiTheme="minorHAnsi" w:hAnsiTheme="minorHAnsi" w:cstheme="minorHAnsi"/>
          <w:snapToGrid w:val="0"/>
          <w:lang w:val="fr-CH"/>
        </w:rPr>
      </w:pPr>
      <w:r w:rsidRPr="001A385C">
        <w:rPr>
          <w:lang w:val="fr-CH"/>
        </w:rPr>
        <w:t>–</w:t>
      </w:r>
      <w:r>
        <w:rPr>
          <w:lang w:val="fr-CH"/>
        </w:rPr>
        <w:tab/>
      </w:r>
      <w:r>
        <w:rPr>
          <w:rFonts w:asciiTheme="minorHAnsi" w:hAnsiTheme="minorHAnsi" w:cstheme="minorHAnsi"/>
          <w:snapToGrid w:val="0"/>
          <w:lang w:val="fr-CH"/>
        </w:rPr>
        <w:t>l</w:t>
      </w:r>
      <w:r w:rsidRPr="00DD0D86">
        <w:rPr>
          <w:rFonts w:asciiTheme="minorHAnsi" w:hAnsiTheme="minorHAnsi" w:cstheme="minorHAnsi"/>
          <w:snapToGrid w:val="0"/>
          <w:lang w:val="fr-CH"/>
        </w:rPr>
        <w:t xml:space="preserve">a version ajustée du cadre </w:t>
      </w:r>
      <w:r>
        <w:rPr>
          <w:rFonts w:asciiTheme="minorHAnsi" w:hAnsiTheme="minorHAnsi" w:cstheme="minorHAnsi"/>
          <w:snapToGrid w:val="0"/>
          <w:lang w:val="fr-CH"/>
        </w:rPr>
        <w:t>tenant compte</w:t>
      </w:r>
      <w:r w:rsidRPr="00DD0D86">
        <w:rPr>
          <w:rFonts w:asciiTheme="minorHAnsi" w:hAnsiTheme="minorHAnsi" w:cstheme="minorHAnsi"/>
          <w:snapToGrid w:val="0"/>
          <w:lang w:val="fr-CH"/>
        </w:rPr>
        <w:t xml:space="preserve"> des cinq objectifs stratégiqu</w:t>
      </w:r>
      <w:r>
        <w:rPr>
          <w:rFonts w:asciiTheme="minorHAnsi" w:hAnsiTheme="minorHAnsi" w:cstheme="minorHAnsi"/>
          <w:snapToGrid w:val="0"/>
          <w:lang w:val="fr-CH"/>
        </w:rPr>
        <w:t>es a été approuvée; au sujet de la description des objectifs, il conviendrait de fournir davantage de précisions et d'apporter des améliorations;</w:t>
      </w:r>
    </w:p>
    <w:p w14:paraId="2ACC4DF8" w14:textId="37D1C55F" w:rsidR="001A385C" w:rsidRDefault="001A385C" w:rsidP="00EA6D57">
      <w:pPr>
        <w:pStyle w:val="enumlev1"/>
        <w:rPr>
          <w:rFonts w:asciiTheme="minorHAnsi" w:hAnsiTheme="minorHAnsi" w:cstheme="minorHAnsi"/>
          <w:snapToGrid w:val="0"/>
          <w:lang w:val="fr-CH"/>
        </w:rPr>
      </w:pPr>
      <w:r w:rsidRPr="001A385C">
        <w:rPr>
          <w:rFonts w:asciiTheme="minorHAnsi" w:hAnsiTheme="minorHAnsi" w:cstheme="minorHAnsi"/>
          <w:snapToGrid w:val="0"/>
          <w:lang w:val="fr-CH"/>
        </w:rPr>
        <w:t>–</w:t>
      </w:r>
      <w:r>
        <w:rPr>
          <w:rFonts w:asciiTheme="minorHAnsi" w:hAnsiTheme="minorHAnsi" w:cstheme="minorHAnsi"/>
          <w:snapToGrid w:val="0"/>
          <w:lang w:val="fr-CH"/>
        </w:rPr>
        <w:tab/>
        <w:t>le cadre stratégique de gestion des risques a été présenté, ainsi que les mesures d'atténuation</w:t>
      </w:r>
      <w:r w:rsidR="00EA6D57">
        <w:rPr>
          <w:rFonts w:asciiTheme="minorHAnsi" w:hAnsiTheme="minorHAnsi" w:cstheme="minorHAnsi"/>
          <w:snapToGrid w:val="0"/>
          <w:lang w:val="fr-CH"/>
        </w:rPr>
        <w:t xml:space="preserve"> proposées</w:t>
      </w:r>
      <w:r>
        <w:rPr>
          <w:rFonts w:asciiTheme="minorHAnsi" w:hAnsiTheme="minorHAnsi" w:cstheme="minorHAnsi"/>
          <w:snapToGrid w:val="0"/>
          <w:lang w:val="fr-CH"/>
        </w:rPr>
        <w:t>;</w:t>
      </w:r>
    </w:p>
    <w:p w14:paraId="7AD7F211" w14:textId="27FFA841" w:rsidR="001A385C" w:rsidRDefault="001A385C" w:rsidP="00EA6D57">
      <w:pPr>
        <w:pStyle w:val="enumlev1"/>
        <w:rPr>
          <w:rFonts w:asciiTheme="minorHAnsi" w:hAnsiTheme="minorHAnsi" w:cstheme="minorHAnsi"/>
          <w:snapToGrid w:val="0"/>
          <w:lang w:val="fr-CH"/>
        </w:rPr>
      </w:pPr>
      <w:r w:rsidRPr="001A385C">
        <w:rPr>
          <w:rFonts w:asciiTheme="minorHAnsi" w:hAnsiTheme="minorHAnsi" w:cstheme="minorHAnsi"/>
          <w:snapToGrid w:val="0"/>
          <w:lang w:val="fr-CH"/>
        </w:rPr>
        <w:t>–</w:t>
      </w:r>
      <w:r>
        <w:rPr>
          <w:rFonts w:asciiTheme="minorHAnsi" w:hAnsiTheme="minorHAnsi" w:cstheme="minorHAnsi"/>
          <w:snapToGrid w:val="0"/>
          <w:lang w:val="fr-CH"/>
        </w:rPr>
        <w:tab/>
        <w:t xml:space="preserve">la version révisée de l'ensemble de cibles a été présentée. </w:t>
      </w:r>
      <w:r w:rsidRPr="001E2236">
        <w:rPr>
          <w:rFonts w:asciiTheme="minorHAnsi" w:hAnsiTheme="minorHAnsi" w:cstheme="minorHAnsi"/>
          <w:snapToGrid w:val="0"/>
          <w:lang w:val="fr-CH"/>
        </w:rPr>
        <w:t xml:space="preserve">Les Etats Membres ont formulé des commentaires à l'intention du Secrétariat afin que celui-ci </w:t>
      </w:r>
      <w:r w:rsidR="00EA6D57">
        <w:rPr>
          <w:rFonts w:asciiTheme="minorHAnsi" w:hAnsiTheme="minorHAnsi" w:cstheme="minorHAnsi"/>
          <w:snapToGrid w:val="0"/>
          <w:lang w:val="fr-CH"/>
        </w:rPr>
        <w:t>élabore</w:t>
      </w:r>
      <w:r w:rsidRPr="001E2236">
        <w:rPr>
          <w:rFonts w:asciiTheme="minorHAnsi" w:hAnsiTheme="minorHAnsi" w:cstheme="minorHAnsi"/>
          <w:snapToGrid w:val="0"/>
          <w:lang w:val="fr-CH"/>
        </w:rPr>
        <w:t xml:space="preserve"> davantage la proposition</w:t>
      </w:r>
      <w:r>
        <w:rPr>
          <w:rFonts w:asciiTheme="minorHAnsi" w:hAnsiTheme="minorHAnsi" w:cstheme="minorHAnsi"/>
          <w:snapToGrid w:val="0"/>
          <w:lang w:val="fr-CH"/>
        </w:rPr>
        <w:t>;</w:t>
      </w:r>
    </w:p>
    <w:p w14:paraId="496E6140" w14:textId="68A3DBC2" w:rsidR="001A385C" w:rsidRDefault="001A385C" w:rsidP="00706BC5">
      <w:pPr>
        <w:pStyle w:val="enumlev1"/>
        <w:rPr>
          <w:rFonts w:asciiTheme="minorHAnsi" w:hAnsiTheme="minorHAnsi" w:cstheme="minorHAnsi"/>
          <w:snapToGrid w:val="0"/>
          <w:lang w:val="fr-CH"/>
        </w:rPr>
      </w:pPr>
      <w:r w:rsidRPr="001A385C">
        <w:rPr>
          <w:rFonts w:asciiTheme="minorHAnsi" w:hAnsiTheme="minorHAnsi" w:cstheme="minorHAnsi"/>
          <w:snapToGrid w:val="0"/>
          <w:lang w:val="fr-CH"/>
        </w:rPr>
        <w:t>–</w:t>
      </w:r>
      <w:r>
        <w:rPr>
          <w:rFonts w:asciiTheme="minorHAnsi" w:hAnsiTheme="minorHAnsi" w:cstheme="minorHAnsi"/>
          <w:snapToGrid w:val="0"/>
          <w:lang w:val="fr-CH"/>
        </w:rPr>
        <w:tab/>
      </w:r>
      <w:r w:rsidR="001863EA" w:rsidRPr="00D3132C">
        <w:rPr>
          <w:rFonts w:asciiTheme="minorHAnsi" w:hAnsiTheme="minorHAnsi" w:cstheme="minorHAnsi"/>
          <w:snapToGrid w:val="0"/>
          <w:lang w:val="fr-CH"/>
        </w:rPr>
        <w:t xml:space="preserve">les membres du Groupe </w:t>
      </w:r>
      <w:r w:rsidR="001863EA">
        <w:rPr>
          <w:rFonts w:asciiTheme="minorHAnsi" w:hAnsiTheme="minorHAnsi" w:cstheme="minorHAnsi"/>
          <w:snapToGrid w:val="0"/>
          <w:lang w:val="fr-CH"/>
        </w:rPr>
        <w:t xml:space="preserve">ont </w:t>
      </w:r>
      <w:r w:rsidR="00EA6D57">
        <w:rPr>
          <w:rFonts w:asciiTheme="minorHAnsi" w:hAnsiTheme="minorHAnsi" w:cstheme="minorHAnsi"/>
          <w:snapToGrid w:val="0"/>
          <w:lang w:val="fr-CH"/>
        </w:rPr>
        <w:t>débattu des</w:t>
      </w:r>
      <w:r w:rsidR="001863EA" w:rsidRPr="00D3132C">
        <w:rPr>
          <w:rFonts w:asciiTheme="minorHAnsi" w:hAnsiTheme="minorHAnsi" w:cstheme="minorHAnsi"/>
          <w:snapToGrid w:val="0"/>
          <w:lang w:val="fr-CH"/>
        </w:rPr>
        <w:t xml:space="preserve"> approches proposées en vue de relier les objectifs stratégiques de l'UIT e</w:t>
      </w:r>
      <w:r w:rsidR="001863EA">
        <w:rPr>
          <w:rFonts w:asciiTheme="minorHAnsi" w:hAnsiTheme="minorHAnsi" w:cstheme="minorHAnsi"/>
          <w:snapToGrid w:val="0"/>
          <w:lang w:val="fr-CH"/>
        </w:rPr>
        <w:t xml:space="preserve">t les objectifs de développement durable, ainsi que les </w:t>
      </w:r>
      <w:r w:rsidR="00EA6D57">
        <w:rPr>
          <w:rFonts w:asciiTheme="minorHAnsi" w:hAnsiTheme="minorHAnsi" w:cstheme="minorHAnsi"/>
          <w:snapToGrid w:val="0"/>
          <w:lang w:val="fr-CH"/>
        </w:rPr>
        <w:t>g</w:t>
      </w:r>
      <w:r w:rsidR="001863EA">
        <w:rPr>
          <w:rFonts w:asciiTheme="minorHAnsi" w:hAnsiTheme="minorHAnsi" w:cstheme="minorHAnsi"/>
          <w:snapToGrid w:val="0"/>
          <w:lang w:val="fr-CH"/>
        </w:rPr>
        <w:t xml:space="preserve">randes orientations du SMSI. Une discussion approfondie a eu lieu au sujet des représentations proposées de la mise en correspondance, et l'outil de l'UIT de mise en correspondance des objectifs de développement durable a été brièvement présenté. Les membres des délégations ont discuté des objectifs de l'UIT, des </w:t>
      </w:r>
      <w:r w:rsidR="00EA6D57">
        <w:rPr>
          <w:rFonts w:asciiTheme="minorHAnsi" w:hAnsiTheme="minorHAnsi" w:cstheme="minorHAnsi"/>
          <w:snapToGrid w:val="0"/>
          <w:lang w:val="fr-CH"/>
        </w:rPr>
        <w:t>g</w:t>
      </w:r>
      <w:r w:rsidR="001863EA">
        <w:rPr>
          <w:rFonts w:asciiTheme="minorHAnsi" w:hAnsiTheme="minorHAnsi" w:cstheme="minorHAnsi"/>
          <w:snapToGrid w:val="0"/>
          <w:lang w:val="fr-CH"/>
        </w:rPr>
        <w:t>randes orientations du SMSI, des liens avec les ODD et de la manière dont chaque Secteur contribue à la réalisation des ODD et des cibles qui y sont associées. Certaines délégations ont sollicité de la part du Secrétariat de l'UIT et des trois Bureaux davantage de précisions concernan</w:t>
      </w:r>
      <w:r w:rsidR="00706BC5">
        <w:rPr>
          <w:rFonts w:asciiTheme="minorHAnsi" w:hAnsiTheme="minorHAnsi" w:cstheme="minorHAnsi"/>
          <w:snapToGrid w:val="0"/>
          <w:lang w:val="fr-CH"/>
        </w:rPr>
        <w:t>t la mise en correspondance des </w:t>
      </w:r>
      <w:r w:rsidR="001863EA">
        <w:rPr>
          <w:rFonts w:asciiTheme="minorHAnsi" w:hAnsiTheme="minorHAnsi" w:cstheme="minorHAnsi"/>
          <w:snapToGrid w:val="0"/>
          <w:lang w:val="fr-CH"/>
        </w:rPr>
        <w:t>ODD et des objectifs stratégiques telle qu'elle est proposée dans le document contenant le cadre de planification stratégique</w:t>
      </w:r>
      <w:r w:rsidR="001863EA" w:rsidRPr="00ED2430">
        <w:rPr>
          <w:rFonts w:asciiTheme="minorHAnsi" w:hAnsiTheme="minorHAnsi" w:cstheme="minorHAnsi"/>
          <w:snapToGrid w:val="0"/>
          <w:lang w:val="fr-CH"/>
        </w:rPr>
        <w:t xml:space="preserve"> (</w:t>
      </w:r>
      <w:hyperlink r:id="rId23" w:history="1">
        <w:r w:rsidR="001863EA" w:rsidRPr="001E2236">
          <w:rPr>
            <w:rStyle w:val="Hyperlink"/>
            <w:rFonts w:asciiTheme="minorHAnsi" w:hAnsiTheme="minorHAnsi" w:cstheme="minorHAnsi"/>
            <w:snapToGrid w:val="0"/>
            <w:lang w:val="fr-CH"/>
          </w:rPr>
          <w:t>CWG-SFP-2/6(R</w:t>
        </w:r>
        <w:r w:rsidR="00706BC5">
          <w:rPr>
            <w:rStyle w:val="Hyperlink"/>
            <w:rFonts w:asciiTheme="minorHAnsi" w:hAnsiTheme="minorHAnsi" w:cstheme="minorHAnsi"/>
            <w:snapToGrid w:val="0"/>
            <w:lang w:val="fr-CH"/>
          </w:rPr>
          <w:t>é</w:t>
        </w:r>
        <w:r w:rsidR="001863EA" w:rsidRPr="001E2236">
          <w:rPr>
            <w:rStyle w:val="Hyperlink"/>
            <w:rFonts w:asciiTheme="minorHAnsi" w:hAnsiTheme="minorHAnsi" w:cstheme="minorHAnsi"/>
            <w:snapToGrid w:val="0"/>
            <w:lang w:val="fr-CH"/>
          </w:rPr>
          <w:t>v.2)</w:t>
        </w:r>
      </w:hyperlink>
      <w:r w:rsidR="001863EA" w:rsidRPr="00ED2430">
        <w:rPr>
          <w:rFonts w:asciiTheme="minorHAnsi" w:hAnsiTheme="minorHAnsi" w:cstheme="minorHAnsi"/>
          <w:snapToGrid w:val="0"/>
          <w:lang w:val="fr-CH"/>
        </w:rPr>
        <w:t>)</w:t>
      </w:r>
      <w:r w:rsidR="001863EA">
        <w:rPr>
          <w:rFonts w:asciiTheme="minorHAnsi" w:hAnsiTheme="minorHAnsi" w:cstheme="minorHAnsi"/>
          <w:snapToGrid w:val="0"/>
          <w:lang w:val="fr-CH"/>
        </w:rPr>
        <w:t>;</w:t>
      </w:r>
    </w:p>
    <w:p w14:paraId="2A959D75" w14:textId="26B8696B" w:rsidR="001863EA" w:rsidRDefault="001863EA" w:rsidP="001A385C">
      <w:pPr>
        <w:pStyle w:val="enumlev1"/>
        <w:rPr>
          <w:rFonts w:asciiTheme="minorHAnsi" w:hAnsiTheme="minorHAnsi" w:cstheme="minorHAnsi"/>
          <w:snapToGrid w:val="0"/>
          <w:lang w:val="fr-CH"/>
        </w:rPr>
      </w:pPr>
      <w:r w:rsidRPr="001863EA">
        <w:rPr>
          <w:rFonts w:asciiTheme="minorHAnsi" w:hAnsiTheme="minorHAnsi" w:cstheme="minorHAnsi"/>
          <w:snapToGrid w:val="0"/>
          <w:lang w:val="fr-CH"/>
        </w:rPr>
        <w:t>–</w:t>
      </w:r>
      <w:r>
        <w:rPr>
          <w:rFonts w:asciiTheme="minorHAnsi" w:hAnsiTheme="minorHAnsi" w:cstheme="minorHAnsi"/>
          <w:snapToGrid w:val="0"/>
          <w:lang w:val="fr-CH"/>
        </w:rPr>
        <w:tab/>
        <w:t>au terme des discussions, il a été demandé au Secrétariat de l'UIT et aux trois Secteurs de revoir l'exercice de mise en correspondance et d'apporter davantage de précisions sur la manière dont chaque objectif est lié à chaque ODD. En particulier, les membres du Groupe ont invité les délégations à examiner la mise en correspondan</w:t>
      </w:r>
      <w:r w:rsidR="00EA6D57">
        <w:rPr>
          <w:rFonts w:asciiTheme="minorHAnsi" w:hAnsiTheme="minorHAnsi" w:cstheme="minorHAnsi"/>
          <w:snapToGrid w:val="0"/>
          <w:lang w:val="fr-CH"/>
        </w:rPr>
        <w:t>ce des objectifs de l'UIT-D et d</w:t>
      </w:r>
      <w:r>
        <w:rPr>
          <w:rFonts w:asciiTheme="minorHAnsi" w:hAnsiTheme="minorHAnsi" w:cstheme="minorHAnsi"/>
          <w:snapToGrid w:val="0"/>
          <w:lang w:val="fr-CH"/>
        </w:rPr>
        <w:t>es ODD et à suivre les débats pertinents lors de la CMDT-17;</w:t>
      </w:r>
    </w:p>
    <w:p w14:paraId="48C656BD" w14:textId="11B2F243" w:rsidR="001863EA" w:rsidRDefault="001863EA" w:rsidP="00EA6D57">
      <w:pPr>
        <w:pStyle w:val="enumlev1"/>
        <w:rPr>
          <w:rFonts w:asciiTheme="minorHAnsi" w:hAnsiTheme="minorHAnsi" w:cstheme="minorHAnsi"/>
          <w:snapToGrid w:val="0"/>
          <w:lang w:val="fr-CH"/>
        </w:rPr>
      </w:pPr>
      <w:r w:rsidRPr="001863EA">
        <w:rPr>
          <w:rFonts w:asciiTheme="minorHAnsi" w:hAnsiTheme="minorHAnsi" w:cstheme="minorHAnsi"/>
          <w:snapToGrid w:val="0"/>
          <w:lang w:val="fr-CH"/>
        </w:rPr>
        <w:t>–</w:t>
      </w:r>
      <w:r>
        <w:rPr>
          <w:rFonts w:asciiTheme="minorHAnsi" w:hAnsiTheme="minorHAnsi" w:cstheme="minorHAnsi"/>
          <w:snapToGrid w:val="0"/>
          <w:lang w:val="fr-CH"/>
        </w:rPr>
        <w:tab/>
      </w:r>
      <w:r w:rsidRPr="00F20F1E">
        <w:rPr>
          <w:rFonts w:asciiTheme="minorHAnsi" w:hAnsiTheme="minorHAnsi" w:cstheme="minorHAnsi"/>
          <w:snapToGrid w:val="0"/>
          <w:lang w:val="fr-CH"/>
        </w:rPr>
        <w:t xml:space="preserve">le texte et le champ d'application </w:t>
      </w:r>
      <w:r w:rsidR="00EA6D57">
        <w:rPr>
          <w:rFonts w:asciiTheme="minorHAnsi" w:hAnsiTheme="minorHAnsi" w:cstheme="minorHAnsi"/>
          <w:snapToGrid w:val="0"/>
          <w:lang w:val="fr-CH"/>
        </w:rPr>
        <w:t>proprement dits</w:t>
      </w:r>
      <w:r>
        <w:rPr>
          <w:rFonts w:asciiTheme="minorHAnsi" w:hAnsiTheme="minorHAnsi" w:cstheme="minorHAnsi"/>
          <w:snapToGrid w:val="0"/>
          <w:lang w:val="fr-CH"/>
        </w:rPr>
        <w:t xml:space="preserve"> des objectifs, des résultats et des produits </w:t>
      </w:r>
      <w:r w:rsidR="00EA6D57">
        <w:rPr>
          <w:rFonts w:asciiTheme="minorHAnsi" w:hAnsiTheme="minorHAnsi" w:cstheme="minorHAnsi"/>
          <w:snapToGrid w:val="0"/>
          <w:lang w:val="fr-CH"/>
        </w:rPr>
        <w:t xml:space="preserve">sectoriels et </w:t>
      </w:r>
      <w:r>
        <w:rPr>
          <w:rFonts w:asciiTheme="minorHAnsi" w:hAnsiTheme="minorHAnsi" w:cstheme="minorHAnsi"/>
          <w:snapToGrid w:val="0"/>
          <w:lang w:val="fr-CH"/>
        </w:rPr>
        <w:t>intersectoriels feront l'objet de discussions au c</w:t>
      </w:r>
      <w:r w:rsidR="00706BC5">
        <w:rPr>
          <w:rFonts w:asciiTheme="minorHAnsi" w:hAnsiTheme="minorHAnsi" w:cstheme="minorHAnsi"/>
          <w:snapToGrid w:val="0"/>
          <w:lang w:val="fr-CH"/>
        </w:rPr>
        <w:t>ours de la troisième réunion du </w:t>
      </w:r>
      <w:r>
        <w:rPr>
          <w:rFonts w:asciiTheme="minorHAnsi" w:hAnsiTheme="minorHAnsi" w:cstheme="minorHAnsi"/>
          <w:snapToGrid w:val="0"/>
          <w:lang w:val="fr-CH"/>
        </w:rPr>
        <w:t xml:space="preserve">GTC-SFP qui aura lieu en janvier. Le Groupe a discuté de propositions </w:t>
      </w:r>
      <w:r w:rsidR="00EA6D57">
        <w:rPr>
          <w:rFonts w:asciiTheme="minorHAnsi" w:hAnsiTheme="minorHAnsi" w:cstheme="minorHAnsi"/>
          <w:snapToGrid w:val="0"/>
          <w:lang w:val="fr-CH"/>
        </w:rPr>
        <w:t>de modification à apporter</w:t>
      </w:r>
      <w:r>
        <w:rPr>
          <w:rFonts w:asciiTheme="minorHAnsi" w:hAnsiTheme="minorHAnsi" w:cstheme="minorHAnsi"/>
          <w:snapToGrid w:val="0"/>
          <w:lang w:val="fr-CH"/>
        </w:rPr>
        <w:t xml:space="preserve"> au texte proposé. </w:t>
      </w:r>
      <w:r w:rsidRPr="00AA4966">
        <w:rPr>
          <w:rFonts w:asciiTheme="minorHAnsi" w:hAnsiTheme="minorHAnsi" w:cstheme="minorHAnsi"/>
          <w:snapToGrid w:val="0"/>
          <w:lang w:val="fr-CH"/>
        </w:rPr>
        <w:t xml:space="preserve">Les délégations ont également demandé à ce qu'un lien clair soit établi </w:t>
      </w:r>
      <w:r w:rsidR="00EA6D57">
        <w:rPr>
          <w:rFonts w:asciiTheme="minorHAnsi" w:hAnsiTheme="minorHAnsi" w:cstheme="minorHAnsi"/>
          <w:snapToGrid w:val="0"/>
          <w:lang w:val="fr-CH"/>
        </w:rPr>
        <w:t>entre les objectifs et les O</w:t>
      </w:r>
      <w:r w:rsidRPr="00AA4966">
        <w:rPr>
          <w:rFonts w:asciiTheme="minorHAnsi" w:hAnsiTheme="minorHAnsi" w:cstheme="minorHAnsi"/>
          <w:snapToGrid w:val="0"/>
          <w:lang w:val="fr-CH"/>
        </w:rPr>
        <w:t>bjectifs stratégiques, conformément à la représentation qui figure dans le plan stratégique actuel</w:t>
      </w:r>
      <w:r>
        <w:rPr>
          <w:rFonts w:asciiTheme="minorHAnsi" w:hAnsiTheme="minorHAnsi" w:cstheme="minorHAnsi"/>
          <w:snapToGrid w:val="0"/>
          <w:lang w:val="fr-CH"/>
        </w:rPr>
        <w:t>;</w:t>
      </w:r>
    </w:p>
    <w:p w14:paraId="7BFA6434" w14:textId="6D90B8D1" w:rsidR="001863EA" w:rsidRDefault="001863EA" w:rsidP="00EA6D57">
      <w:pPr>
        <w:pStyle w:val="enumlev1"/>
        <w:rPr>
          <w:rFonts w:asciiTheme="minorHAnsi" w:hAnsiTheme="minorHAnsi" w:cstheme="minorHAnsi"/>
          <w:snapToGrid w:val="0"/>
          <w:lang w:val="fr-CH"/>
        </w:rPr>
      </w:pPr>
      <w:r w:rsidRPr="001863EA">
        <w:rPr>
          <w:rFonts w:asciiTheme="minorHAnsi" w:hAnsiTheme="minorHAnsi" w:cstheme="minorHAnsi"/>
          <w:snapToGrid w:val="0"/>
          <w:lang w:val="fr-CH"/>
        </w:rPr>
        <w:t>–</w:t>
      </w:r>
      <w:r>
        <w:rPr>
          <w:rFonts w:asciiTheme="minorHAnsi" w:hAnsiTheme="minorHAnsi" w:cstheme="minorHAnsi"/>
          <w:snapToGrid w:val="0"/>
          <w:lang w:val="fr-CH"/>
        </w:rPr>
        <w:tab/>
      </w:r>
      <w:r w:rsidRPr="00454234">
        <w:rPr>
          <w:rFonts w:asciiTheme="minorHAnsi" w:hAnsiTheme="minorHAnsi" w:cstheme="minorHAnsi"/>
          <w:snapToGrid w:val="0"/>
          <w:lang w:val="fr-CH"/>
        </w:rPr>
        <w:t xml:space="preserve">les membres du Groupe ont discuté de la possibilité d'intégrer </w:t>
      </w:r>
      <w:r w:rsidR="00EA6D57">
        <w:rPr>
          <w:rFonts w:asciiTheme="minorHAnsi" w:hAnsiTheme="minorHAnsi" w:cstheme="minorHAnsi"/>
          <w:snapToGrid w:val="0"/>
          <w:lang w:val="fr-CH"/>
        </w:rPr>
        <w:t>des c</w:t>
      </w:r>
      <w:r>
        <w:rPr>
          <w:rFonts w:asciiTheme="minorHAnsi" w:hAnsiTheme="minorHAnsi" w:cstheme="minorHAnsi"/>
          <w:snapToGrid w:val="0"/>
          <w:lang w:val="fr-CH"/>
        </w:rPr>
        <w:t xml:space="preserve">atalyseurs dans les travaux des Bureaux et du Secrétariat général (le GCR et le GCNT ont déjà recommandé </w:t>
      </w:r>
      <w:r w:rsidR="00EA6D57">
        <w:rPr>
          <w:rFonts w:asciiTheme="minorHAnsi" w:hAnsiTheme="minorHAnsi" w:cstheme="minorHAnsi"/>
          <w:snapToGrid w:val="0"/>
          <w:lang w:val="fr-CH"/>
        </w:rPr>
        <w:t>l'intégration de</w:t>
      </w:r>
      <w:r>
        <w:rPr>
          <w:rFonts w:asciiTheme="minorHAnsi" w:hAnsiTheme="minorHAnsi" w:cstheme="minorHAnsi"/>
          <w:snapToGrid w:val="0"/>
          <w:lang w:val="fr-CH"/>
        </w:rPr>
        <w:t xml:space="preserve"> ces catalyseurs).</w:t>
      </w:r>
    </w:p>
    <w:p w14:paraId="4B6645BB" w14:textId="77777777" w:rsidR="00391558" w:rsidRDefault="00391558" w:rsidP="001863EA">
      <w:pPr>
        <w:pStyle w:val="Heading1"/>
      </w:pPr>
      <w:r>
        <w:br w:type="page"/>
      </w:r>
    </w:p>
    <w:p w14:paraId="4FE30D09" w14:textId="05D805E1" w:rsidR="001863EA" w:rsidRDefault="001863EA" w:rsidP="001863EA">
      <w:pPr>
        <w:pStyle w:val="Heading1"/>
      </w:pPr>
      <w:r w:rsidRPr="001863EA">
        <w:t>7</w:t>
      </w:r>
      <w:r w:rsidRPr="001863EA">
        <w:tab/>
        <w:t>Suite du processus d'élaboration du Plan stratégique et du Plan financier (</w:t>
      </w:r>
      <w:hyperlink r:id="rId24" w:history="1">
        <w:r w:rsidRPr="001863EA">
          <w:rPr>
            <w:rStyle w:val="Hyperlink"/>
          </w:rPr>
          <w:t>CWG-SFP-2/7</w:t>
        </w:r>
      </w:hyperlink>
      <w:r w:rsidRPr="001863EA">
        <w:t>)</w:t>
      </w:r>
    </w:p>
    <w:p w14:paraId="5477ECB5" w14:textId="127F37CF" w:rsidR="001863EA" w:rsidRDefault="001863EA" w:rsidP="001E6FFE">
      <w:pPr>
        <w:rPr>
          <w:rFonts w:asciiTheme="minorHAnsi" w:hAnsiTheme="minorHAnsi" w:cstheme="minorBidi"/>
          <w:snapToGrid w:val="0"/>
          <w:szCs w:val="24"/>
        </w:rPr>
      </w:pPr>
      <w:r>
        <w:t>7.1</w:t>
      </w:r>
      <w:r>
        <w:tab/>
      </w:r>
      <w:r w:rsidRPr="00FA7E19">
        <w:rPr>
          <w:rFonts w:asciiTheme="minorHAnsi" w:hAnsiTheme="minorHAnsi" w:cstheme="minorBidi"/>
          <w:snapToGrid w:val="0"/>
          <w:szCs w:val="24"/>
        </w:rPr>
        <w:t xml:space="preserve">Les participants ont discuté du contenu et des modalités d'une potentielle deuxième consultation publique. </w:t>
      </w:r>
      <w:r>
        <w:rPr>
          <w:rFonts w:asciiTheme="minorHAnsi" w:hAnsiTheme="minorHAnsi" w:cstheme="minorBidi"/>
          <w:snapToGrid w:val="0"/>
          <w:szCs w:val="24"/>
        </w:rPr>
        <w:t xml:space="preserve">Le Secrétariat a présenté différentes options en vue d'une telle consultation </w:t>
      </w:r>
      <w:r w:rsidR="00EA6D57">
        <w:rPr>
          <w:rFonts w:asciiTheme="minorHAnsi" w:hAnsiTheme="minorHAnsi" w:cstheme="minorBidi"/>
          <w:snapToGrid w:val="0"/>
          <w:szCs w:val="24"/>
        </w:rPr>
        <w:t>organisé</w:t>
      </w:r>
      <w:r w:rsidR="001E6FFE">
        <w:rPr>
          <w:rFonts w:asciiTheme="minorHAnsi" w:hAnsiTheme="minorHAnsi" w:cstheme="minorBidi"/>
          <w:snapToGrid w:val="0"/>
          <w:szCs w:val="24"/>
        </w:rPr>
        <w:t xml:space="preserve">e </w:t>
      </w:r>
      <w:r>
        <w:rPr>
          <w:rFonts w:asciiTheme="minorHAnsi" w:hAnsiTheme="minorHAnsi" w:cstheme="minorBidi"/>
          <w:snapToGrid w:val="0"/>
          <w:szCs w:val="24"/>
        </w:rPr>
        <w:t>à la suite de la deuxième réunion du GTC-SFP. Les membres du Groupe sont convenus de repousser la consultation publique après la troisième réunion du GTC-SFP, en veillan</w:t>
      </w:r>
      <w:r w:rsidR="001E6FFE">
        <w:rPr>
          <w:rFonts w:asciiTheme="minorHAnsi" w:hAnsiTheme="minorHAnsi" w:cstheme="minorBidi"/>
          <w:snapToGrid w:val="0"/>
          <w:szCs w:val="24"/>
        </w:rPr>
        <w:t>t à ce que le texte intègre les</w:t>
      </w:r>
      <w:r>
        <w:rPr>
          <w:rFonts w:asciiTheme="minorHAnsi" w:hAnsiTheme="minorHAnsi" w:cstheme="minorBidi"/>
          <w:snapToGrid w:val="0"/>
          <w:szCs w:val="24"/>
        </w:rPr>
        <w:t xml:space="preserve"> révision</w:t>
      </w:r>
      <w:r w:rsidR="001E6FFE">
        <w:rPr>
          <w:rFonts w:asciiTheme="minorHAnsi" w:hAnsiTheme="minorHAnsi" w:cstheme="minorBidi"/>
          <w:snapToGrid w:val="0"/>
          <w:szCs w:val="24"/>
        </w:rPr>
        <w:t>s</w:t>
      </w:r>
      <w:r>
        <w:rPr>
          <w:rFonts w:asciiTheme="minorHAnsi" w:hAnsiTheme="minorHAnsi" w:cstheme="minorBidi"/>
          <w:snapToGrid w:val="0"/>
          <w:szCs w:val="24"/>
        </w:rPr>
        <w:t xml:space="preserve"> qui aurai</w:t>
      </w:r>
      <w:r w:rsidR="001E6FFE">
        <w:rPr>
          <w:rFonts w:asciiTheme="minorHAnsi" w:hAnsiTheme="minorHAnsi" w:cstheme="minorBidi"/>
          <w:snapToGrid w:val="0"/>
          <w:szCs w:val="24"/>
        </w:rPr>
        <w:t>ent</w:t>
      </w:r>
      <w:r>
        <w:rPr>
          <w:rFonts w:asciiTheme="minorHAnsi" w:hAnsiTheme="minorHAnsi" w:cstheme="minorBidi"/>
          <w:snapToGrid w:val="0"/>
          <w:szCs w:val="24"/>
        </w:rPr>
        <w:t xml:space="preserve"> fait l'objet de débats et d'un accord au cours de la troisième réunion du GTC-SFP.</w:t>
      </w:r>
    </w:p>
    <w:p w14:paraId="17C0BED0" w14:textId="77777777" w:rsidR="001863EA" w:rsidRDefault="001863EA" w:rsidP="001863EA">
      <w:pPr>
        <w:rPr>
          <w:rFonts w:asciiTheme="minorHAnsi" w:hAnsiTheme="minorHAnsi" w:cstheme="minorBidi"/>
          <w:snapToGrid w:val="0"/>
          <w:szCs w:val="24"/>
        </w:rPr>
      </w:pPr>
      <w:r>
        <w:rPr>
          <w:rFonts w:asciiTheme="minorHAnsi" w:hAnsiTheme="minorHAnsi" w:cstheme="minorBidi"/>
          <w:snapToGrid w:val="0"/>
          <w:szCs w:val="24"/>
        </w:rPr>
        <w:t>7.2</w:t>
      </w:r>
      <w:r>
        <w:rPr>
          <w:rFonts w:asciiTheme="minorHAnsi" w:hAnsiTheme="minorHAnsi" w:cstheme="minorBidi"/>
          <w:snapToGrid w:val="0"/>
          <w:szCs w:val="24"/>
        </w:rPr>
        <w:tab/>
        <w:t>Le Secrétariat s'est engagé à publier le projet de texte du Plan stratégique un mois avant la troisième réunion, conformément aux procédures actuelles, mais déploiera tous les efforts possibles pour que la publication intervienne le plus tôt possible.</w:t>
      </w:r>
    </w:p>
    <w:p w14:paraId="5864E9FB" w14:textId="77777777" w:rsidR="001863EA" w:rsidRDefault="001863EA" w:rsidP="001863EA">
      <w:pPr>
        <w:pStyle w:val="Heading1"/>
      </w:pPr>
      <w:r w:rsidRPr="001863EA">
        <w:t>8</w:t>
      </w:r>
      <w:r w:rsidRPr="001863EA">
        <w:tab/>
        <w:t>Prochaine réunion</w:t>
      </w:r>
    </w:p>
    <w:p w14:paraId="327139C5" w14:textId="7B71D3E8" w:rsidR="001863EA" w:rsidRDefault="001863EA" w:rsidP="0048512C">
      <w:pPr>
        <w:rPr>
          <w:rFonts w:asciiTheme="minorHAnsi" w:hAnsiTheme="minorHAnsi" w:cstheme="minorBidi"/>
          <w:snapToGrid w:val="0"/>
          <w:szCs w:val="24"/>
        </w:rPr>
      </w:pPr>
      <w:r>
        <w:t>8.1</w:t>
      </w:r>
      <w:r>
        <w:tab/>
      </w:r>
      <w:r w:rsidRPr="00B14CF8">
        <w:rPr>
          <w:rFonts w:asciiTheme="minorHAnsi" w:hAnsiTheme="minorHAnsi" w:cstheme="minorBidi"/>
          <w:snapToGrid w:val="0"/>
          <w:szCs w:val="24"/>
        </w:rPr>
        <w:t xml:space="preserve">Pendant la session de 2017 du Conseil, il avait été décidé </w:t>
      </w:r>
      <w:r w:rsidR="00391558">
        <w:rPr>
          <w:rFonts w:asciiTheme="minorHAnsi" w:hAnsiTheme="minorHAnsi" w:cstheme="minorBidi"/>
          <w:snapToGrid w:val="0"/>
          <w:szCs w:val="24"/>
        </w:rPr>
        <w:t>que la prochaine réunion du </w:t>
      </w:r>
      <w:r w:rsidR="0048512C">
        <w:rPr>
          <w:rFonts w:asciiTheme="minorHAnsi" w:hAnsiTheme="minorHAnsi" w:cstheme="minorBidi"/>
          <w:snapToGrid w:val="0"/>
          <w:szCs w:val="24"/>
        </w:rPr>
        <w:t>GTC</w:t>
      </w:r>
      <w:r w:rsidR="0048512C" w:rsidRPr="0048512C">
        <w:rPr>
          <w:rFonts w:asciiTheme="minorHAnsi" w:hAnsiTheme="minorHAnsi" w:cstheme="minorBidi"/>
          <w:snapToGrid w:val="0"/>
          <w:szCs w:val="24"/>
        </w:rPr>
        <w:noBreakHyphen/>
      </w:r>
      <w:r w:rsidRPr="00B14CF8">
        <w:rPr>
          <w:rFonts w:asciiTheme="minorHAnsi" w:hAnsiTheme="minorHAnsi" w:cstheme="minorBidi"/>
          <w:snapToGrid w:val="0"/>
          <w:szCs w:val="24"/>
        </w:rPr>
        <w:t xml:space="preserve">FHR </w:t>
      </w:r>
      <w:r>
        <w:rPr>
          <w:rFonts w:asciiTheme="minorHAnsi" w:hAnsiTheme="minorHAnsi" w:cstheme="minorBidi"/>
          <w:snapToGrid w:val="0"/>
          <w:szCs w:val="24"/>
        </w:rPr>
        <w:t>aurait lieu les 15 et 16 janvier. Les participants ont demandé que le Secrétariat évoque avec les Présidents des autres GTC la possibilité de remettre la troisième réunion à plus tard au cours du groupe de réunions du mois de janvier.</w:t>
      </w:r>
    </w:p>
    <w:p w14:paraId="3CC21082" w14:textId="4599ED3C" w:rsidR="001863EA" w:rsidRDefault="001863EA" w:rsidP="0048512C">
      <w:pPr>
        <w:rPr>
          <w:snapToGrid w:val="0"/>
        </w:rPr>
      </w:pPr>
      <w:r>
        <w:rPr>
          <w:snapToGrid w:val="0"/>
        </w:rPr>
        <w:t>8.2</w:t>
      </w:r>
      <w:r>
        <w:rPr>
          <w:snapToGrid w:val="0"/>
        </w:rPr>
        <w:tab/>
      </w:r>
      <w:r w:rsidRPr="0024591C">
        <w:rPr>
          <w:snapToGrid w:val="0"/>
        </w:rPr>
        <w:t xml:space="preserve">Le Secrétariat de l'UIT a </w:t>
      </w:r>
      <w:r>
        <w:rPr>
          <w:snapToGrid w:val="0"/>
        </w:rPr>
        <w:t>procédé à des consultations et a co</w:t>
      </w:r>
      <w:r w:rsidR="00391558">
        <w:rPr>
          <w:snapToGrid w:val="0"/>
        </w:rPr>
        <w:t>nclu qu'il serait impossible de </w:t>
      </w:r>
      <w:r>
        <w:rPr>
          <w:snapToGrid w:val="0"/>
        </w:rPr>
        <w:t>déplacer la date de la troisième réunion du GTC-SFP. Par conséquent, celle-ci aura lieu l</w:t>
      </w:r>
      <w:r w:rsidR="00391558">
        <w:rPr>
          <w:snapToGrid w:val="0"/>
        </w:rPr>
        <w:t>es </w:t>
      </w:r>
      <w:r w:rsidR="0048512C">
        <w:rPr>
          <w:snapToGrid w:val="0"/>
        </w:rPr>
        <w:t>15 et 16 </w:t>
      </w:r>
      <w:r>
        <w:rPr>
          <w:snapToGrid w:val="0"/>
        </w:rPr>
        <w:t>janvier 2018.</w:t>
      </w:r>
    </w:p>
    <w:p w14:paraId="7C00322D" w14:textId="77777777" w:rsidR="001863EA" w:rsidRDefault="001863EA" w:rsidP="0032202E">
      <w:pPr>
        <w:pStyle w:val="Reasons"/>
      </w:pPr>
    </w:p>
    <w:p w14:paraId="2E91D838" w14:textId="77777777" w:rsidR="001863EA" w:rsidRDefault="001863EA">
      <w:pPr>
        <w:jc w:val="center"/>
      </w:pPr>
      <w:r>
        <w:t>______________</w:t>
      </w:r>
    </w:p>
    <w:sectPr w:rsidR="001863EA" w:rsidSect="005C3890">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2126" w14:textId="77777777" w:rsidR="00014578" w:rsidRDefault="00014578">
      <w:r>
        <w:separator/>
      </w:r>
    </w:p>
  </w:endnote>
  <w:endnote w:type="continuationSeparator" w:id="0">
    <w:p w14:paraId="558FC4E3" w14:textId="77777777" w:rsidR="00014578" w:rsidRDefault="0001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A2A1" w14:textId="77777777" w:rsidR="00732045" w:rsidRDefault="00F12232">
    <w:pPr>
      <w:pStyle w:val="Footer"/>
    </w:pPr>
    <w:r>
      <w:fldChar w:fldCharType="begin"/>
    </w:r>
    <w:r>
      <w:instrText xml:space="preserve"> FILENAME \p \* MERGEFORMAT </w:instrText>
    </w:r>
    <w:r>
      <w:fldChar w:fldCharType="separate"/>
    </w:r>
    <w:r w:rsidR="00B3197E">
      <w:t>P:\FRA\SG\CONSEIL\CWG-SFP\CWG-SFP2\000\011F.docx</w:t>
    </w:r>
    <w:r>
      <w:fldChar w:fldCharType="end"/>
    </w:r>
    <w:r w:rsidR="00732045">
      <w:tab/>
    </w:r>
    <w:r w:rsidR="002F1B76">
      <w:fldChar w:fldCharType="begin"/>
    </w:r>
    <w:r w:rsidR="00732045">
      <w:instrText xml:space="preserve"> savedate \@ dd.MM.yy </w:instrText>
    </w:r>
    <w:r w:rsidR="002F1B76">
      <w:fldChar w:fldCharType="separate"/>
    </w:r>
    <w:r w:rsidR="002E0680">
      <w:t>04.10.17</w:t>
    </w:r>
    <w:r w:rsidR="002F1B76">
      <w:fldChar w:fldCharType="end"/>
    </w:r>
    <w:r w:rsidR="00732045">
      <w:tab/>
    </w:r>
    <w:r w:rsidR="002F1B76">
      <w:fldChar w:fldCharType="begin"/>
    </w:r>
    <w:r w:rsidR="00732045">
      <w:instrText xml:space="preserve"> printdate \@ dd.MM.yy </w:instrText>
    </w:r>
    <w:r w:rsidR="002F1B76">
      <w:fldChar w:fldCharType="separate"/>
    </w:r>
    <w:r w:rsidR="00B3197E">
      <w:t>03.10.17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A006C" w14:textId="43B963BA" w:rsidR="00732045" w:rsidRPr="005C491B" w:rsidRDefault="00292D3D" w:rsidP="001E6FFE">
    <w:pPr>
      <w:pStyle w:val="Footer"/>
      <w:rPr>
        <w:lang w:val="en-US"/>
      </w:rPr>
    </w:pPr>
    <w:r>
      <w:fldChar w:fldCharType="begin"/>
    </w:r>
    <w:r w:rsidRPr="005C491B">
      <w:rPr>
        <w:lang w:val="en-US"/>
      </w:rPr>
      <w:instrText xml:space="preserve"> FILENAME \p \* MERGEFORMAT </w:instrText>
    </w:r>
    <w:r>
      <w:fldChar w:fldCharType="separate"/>
    </w:r>
    <w:r w:rsidR="00B3197E">
      <w:rPr>
        <w:lang w:val="en-US"/>
      </w:rPr>
      <w:t>P:\FRA\SG\CONSEIL\CWG-SFP\CWG-SFP2\000\011F.docx</w:t>
    </w:r>
    <w:r>
      <w:fldChar w:fldCharType="end"/>
    </w:r>
    <w:r w:rsidR="001E6FFE">
      <w:rPr>
        <w:lang w:val="en-US"/>
      </w:rPr>
      <w:t xml:space="preserve"> (424745</w:t>
    </w:r>
    <w:r w:rsidR="008C5036" w:rsidRPr="005C491B">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583B2" w14:textId="77777777" w:rsidR="00732045" w:rsidRDefault="00732045">
    <w:pPr>
      <w:spacing w:after="120"/>
      <w:jc w:val="center"/>
    </w:pPr>
    <w:r>
      <w:t xml:space="preserve">• </w:t>
    </w:r>
    <w:hyperlink r:id="rId1" w:history="1">
      <w:r>
        <w:rPr>
          <w:rStyle w:val="Hyperlink"/>
        </w:rPr>
        <w:t>http://www.itu.int/council</w:t>
      </w:r>
    </w:hyperlink>
    <w:r>
      <w:t xml:space="preserve"> •</w:t>
    </w:r>
  </w:p>
  <w:p w14:paraId="50BA01DB" w14:textId="2EA0FF87" w:rsidR="00732045" w:rsidRPr="005C491B" w:rsidRDefault="00292D3D" w:rsidP="00D05712">
    <w:pPr>
      <w:pStyle w:val="Footer"/>
    </w:pPr>
    <w:r>
      <w:fldChar w:fldCharType="begin"/>
    </w:r>
    <w:r w:rsidRPr="005C491B">
      <w:instrText xml:space="preserve"> FILENAME \p \* MERGEFORMAT </w:instrText>
    </w:r>
    <w:r>
      <w:fldChar w:fldCharType="separate"/>
    </w:r>
    <w:r w:rsidR="00B3197E">
      <w:t>P:\FRA\SG\CONSEIL\CWG-SFP\CWG-SFP2\000\011F.docx</w:t>
    </w:r>
    <w:r>
      <w:fldChar w:fldCharType="end"/>
    </w:r>
    <w:r w:rsidR="00D05712">
      <w:t xml:space="preserve"> (424745</w:t>
    </w:r>
    <w:r w:rsidR="00D76368" w:rsidRPr="005C491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65ED" w14:textId="77777777" w:rsidR="00014578" w:rsidRDefault="00014578">
      <w:r>
        <w:t>____________________</w:t>
      </w:r>
    </w:p>
  </w:footnote>
  <w:footnote w:type="continuationSeparator" w:id="0">
    <w:p w14:paraId="429EBAB4" w14:textId="77777777" w:rsidR="00014578" w:rsidRDefault="0001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719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D0DB8D2"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33540" w14:textId="77777777" w:rsidR="00732045" w:rsidRDefault="00C27A7C" w:rsidP="00515660">
    <w:pPr>
      <w:pStyle w:val="Header"/>
    </w:pPr>
    <w:r>
      <w:fldChar w:fldCharType="begin"/>
    </w:r>
    <w:r>
      <w:instrText>PAGE</w:instrText>
    </w:r>
    <w:r>
      <w:fldChar w:fldCharType="separate"/>
    </w:r>
    <w:r w:rsidR="00F1223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C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7203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4C5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47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4E5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22D0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4A68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66A3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F2C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457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A2583"/>
    <w:multiLevelType w:val="hybridMultilevel"/>
    <w:tmpl w:val="4A809434"/>
    <w:lvl w:ilvl="0" w:tplc="3884825C">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14578"/>
    <w:rsid w:val="00033613"/>
    <w:rsid w:val="00040350"/>
    <w:rsid w:val="000A1C76"/>
    <w:rsid w:val="000B045B"/>
    <w:rsid w:val="000B65C9"/>
    <w:rsid w:val="000D0D0A"/>
    <w:rsid w:val="000F4084"/>
    <w:rsid w:val="00103163"/>
    <w:rsid w:val="00115D93"/>
    <w:rsid w:val="001179D8"/>
    <w:rsid w:val="00120FC8"/>
    <w:rsid w:val="001247A8"/>
    <w:rsid w:val="001378C0"/>
    <w:rsid w:val="001863EA"/>
    <w:rsid w:val="0018694A"/>
    <w:rsid w:val="00197210"/>
    <w:rsid w:val="001A3287"/>
    <w:rsid w:val="001A385C"/>
    <w:rsid w:val="001A6508"/>
    <w:rsid w:val="001B2FBE"/>
    <w:rsid w:val="001D25EB"/>
    <w:rsid w:val="001D4C31"/>
    <w:rsid w:val="001E4D21"/>
    <w:rsid w:val="001E6FFE"/>
    <w:rsid w:val="002062F3"/>
    <w:rsid w:val="00207CD1"/>
    <w:rsid w:val="002477A2"/>
    <w:rsid w:val="00263A51"/>
    <w:rsid w:val="00267E02"/>
    <w:rsid w:val="00283F65"/>
    <w:rsid w:val="00292D3D"/>
    <w:rsid w:val="002A5D44"/>
    <w:rsid w:val="002C45E6"/>
    <w:rsid w:val="002E0680"/>
    <w:rsid w:val="002E0BC4"/>
    <w:rsid w:val="002F1B76"/>
    <w:rsid w:val="0034495A"/>
    <w:rsid w:val="00355FF5"/>
    <w:rsid w:val="003612B3"/>
    <w:rsid w:val="00361350"/>
    <w:rsid w:val="00391558"/>
    <w:rsid w:val="004038CB"/>
    <w:rsid w:val="0040546F"/>
    <w:rsid w:val="0042404A"/>
    <w:rsid w:val="0042573A"/>
    <w:rsid w:val="00441C34"/>
    <w:rsid w:val="0044407D"/>
    <w:rsid w:val="0044618F"/>
    <w:rsid w:val="0046769A"/>
    <w:rsid w:val="00475FB3"/>
    <w:rsid w:val="0048512C"/>
    <w:rsid w:val="00493466"/>
    <w:rsid w:val="004B590C"/>
    <w:rsid w:val="004C37A9"/>
    <w:rsid w:val="004F259E"/>
    <w:rsid w:val="00511F1D"/>
    <w:rsid w:val="00515660"/>
    <w:rsid w:val="00520F36"/>
    <w:rsid w:val="00540615"/>
    <w:rsid w:val="00540A6D"/>
    <w:rsid w:val="00571EEA"/>
    <w:rsid w:val="00575417"/>
    <w:rsid w:val="005768E1"/>
    <w:rsid w:val="00586980"/>
    <w:rsid w:val="005C178C"/>
    <w:rsid w:val="005C3890"/>
    <w:rsid w:val="005C491B"/>
    <w:rsid w:val="005F7BFE"/>
    <w:rsid w:val="00600017"/>
    <w:rsid w:val="006235CA"/>
    <w:rsid w:val="00644CF6"/>
    <w:rsid w:val="006643AB"/>
    <w:rsid w:val="00706BC5"/>
    <w:rsid w:val="00720F7A"/>
    <w:rsid w:val="007210CD"/>
    <w:rsid w:val="00732045"/>
    <w:rsid w:val="007369DB"/>
    <w:rsid w:val="007475BB"/>
    <w:rsid w:val="00756E95"/>
    <w:rsid w:val="00792E35"/>
    <w:rsid w:val="007956C2"/>
    <w:rsid w:val="007A187E"/>
    <w:rsid w:val="007C72C2"/>
    <w:rsid w:val="007D4436"/>
    <w:rsid w:val="007F257A"/>
    <w:rsid w:val="007F3665"/>
    <w:rsid w:val="00800037"/>
    <w:rsid w:val="00847D6A"/>
    <w:rsid w:val="00861D73"/>
    <w:rsid w:val="008A4E87"/>
    <w:rsid w:val="008C5036"/>
    <w:rsid w:val="008C78E6"/>
    <w:rsid w:val="008D76E6"/>
    <w:rsid w:val="00903908"/>
    <w:rsid w:val="0092392D"/>
    <w:rsid w:val="0093234A"/>
    <w:rsid w:val="009C307F"/>
    <w:rsid w:val="00A2113E"/>
    <w:rsid w:val="00A23A51"/>
    <w:rsid w:val="00A24607"/>
    <w:rsid w:val="00A25B90"/>
    <w:rsid w:val="00A25CD3"/>
    <w:rsid w:val="00A82767"/>
    <w:rsid w:val="00AA332F"/>
    <w:rsid w:val="00AA7BBB"/>
    <w:rsid w:val="00AB64A8"/>
    <w:rsid w:val="00AC0266"/>
    <w:rsid w:val="00AD24EC"/>
    <w:rsid w:val="00AE57BE"/>
    <w:rsid w:val="00B309F9"/>
    <w:rsid w:val="00B3197E"/>
    <w:rsid w:val="00B32B60"/>
    <w:rsid w:val="00B61619"/>
    <w:rsid w:val="00B72DC6"/>
    <w:rsid w:val="00BA3817"/>
    <w:rsid w:val="00BB4545"/>
    <w:rsid w:val="00BD5873"/>
    <w:rsid w:val="00BE35A7"/>
    <w:rsid w:val="00C04BE3"/>
    <w:rsid w:val="00C25D29"/>
    <w:rsid w:val="00C27A7C"/>
    <w:rsid w:val="00CA08ED"/>
    <w:rsid w:val="00CC63B2"/>
    <w:rsid w:val="00CF183B"/>
    <w:rsid w:val="00CF5A33"/>
    <w:rsid w:val="00CF6D35"/>
    <w:rsid w:val="00D05712"/>
    <w:rsid w:val="00D168DD"/>
    <w:rsid w:val="00D375CD"/>
    <w:rsid w:val="00D553A2"/>
    <w:rsid w:val="00D70651"/>
    <w:rsid w:val="00D73C53"/>
    <w:rsid w:val="00D76368"/>
    <w:rsid w:val="00D774D3"/>
    <w:rsid w:val="00D904E8"/>
    <w:rsid w:val="00DA08C3"/>
    <w:rsid w:val="00DB5A3E"/>
    <w:rsid w:val="00DC22AA"/>
    <w:rsid w:val="00DD5A89"/>
    <w:rsid w:val="00DF74DD"/>
    <w:rsid w:val="00E10843"/>
    <w:rsid w:val="00E25AD0"/>
    <w:rsid w:val="00E61DBD"/>
    <w:rsid w:val="00EA6D57"/>
    <w:rsid w:val="00EB6350"/>
    <w:rsid w:val="00F12232"/>
    <w:rsid w:val="00F15B57"/>
    <w:rsid w:val="00F3232A"/>
    <w:rsid w:val="00F332DF"/>
    <w:rsid w:val="00F427DB"/>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A661899"/>
  <w15:docId w15:val="{F7DFDD0D-59CA-4C79-AD2B-1601993C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WGSPF2-C-0002/fr" TargetMode="External"/><Relationship Id="rId18" Type="http://schemas.openxmlformats.org/officeDocument/2006/relationships/hyperlink" Target="http://www.itu.int/md/S17-CLCWGSPF2-INF-0001/f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S17-CLCWGSPF2-C-0006/fr" TargetMode="External"/><Relationship Id="rId7" Type="http://schemas.openxmlformats.org/officeDocument/2006/relationships/endnotes" Target="endnotes.xml"/><Relationship Id="rId12" Type="http://schemas.openxmlformats.org/officeDocument/2006/relationships/hyperlink" Target="https://www.itu.int/md/S17-CLCWGSPF2-C-0001/fr" TargetMode="External"/><Relationship Id="rId17" Type="http://schemas.openxmlformats.org/officeDocument/2006/relationships/hyperlink" Target="http://www.itu.int/md/S17-CLCWGSPF2-C-0005/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7-CLCWGSPF2-C-0004/fr" TargetMode="External"/><Relationship Id="rId20" Type="http://schemas.openxmlformats.org/officeDocument/2006/relationships/hyperlink" Target="https://www.itu.int/md/S17-CLCWGSPF2-C-0009/f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WGSPF2-C-0009/fr" TargetMode="External"/><Relationship Id="rId24" Type="http://schemas.openxmlformats.org/officeDocument/2006/relationships/hyperlink" Target="http://www.itu.int/md/S17-CLCWGSPF2-C-0007/fr" TargetMode="External"/><Relationship Id="rId5" Type="http://schemas.openxmlformats.org/officeDocument/2006/relationships/webSettings" Target="webSettings.xml"/><Relationship Id="rId15" Type="http://schemas.openxmlformats.org/officeDocument/2006/relationships/hyperlink" Target="https://www.itu.int/md/S17-CLCWGSPF2-C-0010/fr" TargetMode="External"/><Relationship Id="rId23" Type="http://schemas.openxmlformats.org/officeDocument/2006/relationships/hyperlink" Target="http://www.itu.int/md/S17-CLCWGSPF2-C-0006/fr" TargetMode="External"/><Relationship Id="rId28" Type="http://schemas.openxmlformats.org/officeDocument/2006/relationships/footer" Target="footer2.xml"/><Relationship Id="rId10" Type="http://schemas.openxmlformats.org/officeDocument/2006/relationships/hyperlink" Target="https://www.itu.int/md/S17-CLCWGSPF2-C-0010/fr" TargetMode="External"/><Relationship Id="rId19" Type="http://schemas.openxmlformats.org/officeDocument/2006/relationships/hyperlink" Target="http://www.itu.int/md/S17-CLCWGSPF2-INF-0002/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7-CLCWGSPF2-C-0001/fr" TargetMode="External"/><Relationship Id="rId14" Type="http://schemas.openxmlformats.org/officeDocument/2006/relationships/hyperlink" Target="https://www.itu.int/md/S17-CLCWGSPF2-C-0003/fr" TargetMode="External"/><Relationship Id="rId22" Type="http://schemas.openxmlformats.org/officeDocument/2006/relationships/hyperlink" Target="http://www.itu.int/md/S17-CLCWGSPF2-C-0008/fr"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441E-AC27-4C04-BE6F-DE6C7893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2066</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14148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
  <cp:lastModifiedBy>Janin</cp:lastModifiedBy>
  <cp:revision>3</cp:revision>
  <cp:lastPrinted>2017-10-03T13:57:00Z</cp:lastPrinted>
  <dcterms:created xsi:type="dcterms:W3CDTF">2017-12-11T15:20:00Z</dcterms:created>
  <dcterms:modified xsi:type="dcterms:W3CDTF">2017-12-11T15:21:00Z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