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45"/>
        <w:tblW w:w="10173" w:type="dxa"/>
        <w:tblLayout w:type="fixed"/>
        <w:tblLook w:val="0000" w:firstRow="0" w:lastRow="0" w:firstColumn="0" w:lastColumn="0" w:noHBand="0" w:noVBand="0"/>
      </w:tblPr>
      <w:tblGrid>
        <w:gridCol w:w="6912"/>
        <w:gridCol w:w="3261"/>
      </w:tblGrid>
      <w:tr w:rsidR="00093EEB" w:rsidRPr="0015382F" w14:paraId="4853CB8C" w14:textId="77777777">
        <w:trPr>
          <w:cantSplit/>
        </w:trPr>
        <w:tc>
          <w:tcPr>
            <w:tcW w:w="6912" w:type="dxa"/>
          </w:tcPr>
          <w:p w14:paraId="1D07A335" w14:textId="77777777" w:rsidR="007E3CAD" w:rsidRPr="0015382F" w:rsidRDefault="007E3CAD" w:rsidP="007E3CAD">
            <w:pPr>
              <w:rPr>
                <w:b/>
                <w:bCs/>
                <w:sz w:val="26"/>
                <w:szCs w:val="26"/>
              </w:rPr>
            </w:pPr>
            <w:bookmarkStart w:id="0" w:name="dbluepink" w:colFirst="0" w:colLast="0"/>
            <w:r w:rsidRPr="0015382F">
              <w:rPr>
                <w:b/>
                <w:bCs/>
                <w:sz w:val="30"/>
                <w:szCs w:val="30"/>
              </w:rPr>
              <w:t>Grupo de Trabajo del Consejo sobre los Planes Estratégico y Financiero de la Unión para 2020-2023</w:t>
            </w:r>
          </w:p>
          <w:p w14:paraId="490CE82B" w14:textId="51822840" w:rsidR="00093EEB" w:rsidRPr="0015382F" w:rsidRDefault="001D30AB" w:rsidP="001D30AB">
            <w:pPr>
              <w:rPr>
                <w:szCs w:val="24"/>
              </w:rPr>
            </w:pPr>
            <w:r w:rsidRPr="0015382F">
              <w:rPr>
                <w:b/>
                <w:bCs/>
                <w:szCs w:val="24"/>
              </w:rPr>
              <w:t>Cuarta</w:t>
            </w:r>
            <w:r w:rsidR="007E3CAD" w:rsidRPr="0015382F">
              <w:rPr>
                <w:b/>
                <w:bCs/>
                <w:szCs w:val="24"/>
              </w:rPr>
              <w:t xml:space="preserve"> reunión – Ginebra, 16 de </w:t>
            </w:r>
            <w:r w:rsidRPr="0015382F">
              <w:rPr>
                <w:b/>
                <w:bCs/>
                <w:szCs w:val="24"/>
              </w:rPr>
              <w:t>abril</w:t>
            </w:r>
            <w:r w:rsidR="007E3CAD" w:rsidRPr="0015382F">
              <w:rPr>
                <w:b/>
                <w:bCs/>
                <w:szCs w:val="24"/>
              </w:rPr>
              <w:t xml:space="preserve"> de 201</w:t>
            </w:r>
            <w:r w:rsidR="008604B2" w:rsidRPr="0015382F">
              <w:rPr>
                <w:b/>
                <w:bCs/>
                <w:szCs w:val="24"/>
              </w:rPr>
              <w:t>8</w:t>
            </w:r>
          </w:p>
        </w:tc>
        <w:tc>
          <w:tcPr>
            <w:tcW w:w="3261" w:type="dxa"/>
          </w:tcPr>
          <w:p w14:paraId="0F339124" w14:textId="77777777" w:rsidR="00093EEB" w:rsidRPr="0015382F" w:rsidRDefault="00093EEB" w:rsidP="00093EEB">
            <w:pPr>
              <w:spacing w:before="0"/>
              <w:jc w:val="right"/>
              <w:rPr>
                <w:szCs w:val="24"/>
              </w:rPr>
            </w:pPr>
            <w:bookmarkStart w:id="1" w:name="ditulogo"/>
            <w:bookmarkEnd w:id="1"/>
            <w:r w:rsidRPr="0015382F">
              <w:rPr>
                <w:rFonts w:cstheme="minorHAnsi"/>
                <w:b/>
                <w:bCs/>
                <w:noProof/>
                <w:szCs w:val="24"/>
                <w:lang w:eastAsia="zh-CN"/>
              </w:rPr>
              <w:drawing>
                <wp:inline distT="0" distB="0" distL="0" distR="0" wp14:anchorId="3E716CEF" wp14:editId="206CE7FA">
                  <wp:extent cx="1771650" cy="695325"/>
                  <wp:effectExtent l="0" t="0" r="0" b="9525"/>
                  <wp:docPr id="2" name="Picture 2"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093EEB" w:rsidRPr="0015382F" w14:paraId="1967969F" w14:textId="77777777">
        <w:trPr>
          <w:cantSplit/>
          <w:trHeight w:val="20"/>
        </w:trPr>
        <w:tc>
          <w:tcPr>
            <w:tcW w:w="10173" w:type="dxa"/>
            <w:gridSpan w:val="2"/>
            <w:tcBorders>
              <w:bottom w:val="single" w:sz="12" w:space="0" w:color="auto"/>
            </w:tcBorders>
          </w:tcPr>
          <w:p w14:paraId="51B49FE9" w14:textId="77777777" w:rsidR="00093EEB" w:rsidRPr="0015382F" w:rsidRDefault="00093EEB">
            <w:pPr>
              <w:spacing w:before="0"/>
              <w:rPr>
                <w:b/>
                <w:bCs/>
                <w:szCs w:val="24"/>
              </w:rPr>
            </w:pPr>
          </w:p>
        </w:tc>
      </w:tr>
      <w:tr w:rsidR="00093EEB" w:rsidRPr="0015382F" w14:paraId="4C7709FB" w14:textId="77777777">
        <w:trPr>
          <w:cantSplit/>
          <w:trHeight w:val="20"/>
        </w:trPr>
        <w:tc>
          <w:tcPr>
            <w:tcW w:w="6912" w:type="dxa"/>
            <w:tcBorders>
              <w:top w:val="single" w:sz="12" w:space="0" w:color="auto"/>
            </w:tcBorders>
          </w:tcPr>
          <w:p w14:paraId="360A1799" w14:textId="77777777" w:rsidR="00093EEB" w:rsidRPr="0015382F" w:rsidRDefault="00093EEB">
            <w:pPr>
              <w:tabs>
                <w:tab w:val="clear" w:pos="2268"/>
                <w:tab w:val="left" w:pos="1560"/>
                <w:tab w:val="left" w:pos="2269"/>
                <w:tab w:val="left" w:pos="3544"/>
                <w:tab w:val="left" w:pos="3969"/>
              </w:tabs>
              <w:spacing w:before="0" w:line="240" w:lineRule="atLeast"/>
              <w:rPr>
                <w:b/>
                <w:smallCaps/>
                <w:szCs w:val="24"/>
              </w:rPr>
            </w:pPr>
          </w:p>
        </w:tc>
        <w:tc>
          <w:tcPr>
            <w:tcW w:w="3261" w:type="dxa"/>
            <w:tcBorders>
              <w:top w:val="single" w:sz="12" w:space="0" w:color="auto"/>
            </w:tcBorders>
          </w:tcPr>
          <w:p w14:paraId="3C380726" w14:textId="77777777" w:rsidR="00093EEB" w:rsidRPr="0015382F" w:rsidRDefault="00093EEB">
            <w:pPr>
              <w:spacing w:before="0"/>
              <w:rPr>
                <w:b/>
                <w:bCs/>
                <w:szCs w:val="24"/>
              </w:rPr>
            </w:pPr>
          </w:p>
        </w:tc>
      </w:tr>
      <w:tr w:rsidR="00093EEB" w:rsidRPr="0015382F" w14:paraId="16CFA28F" w14:textId="77777777">
        <w:trPr>
          <w:cantSplit/>
          <w:trHeight w:val="20"/>
        </w:trPr>
        <w:tc>
          <w:tcPr>
            <w:tcW w:w="6912" w:type="dxa"/>
            <w:shd w:val="clear" w:color="auto" w:fill="auto"/>
          </w:tcPr>
          <w:p w14:paraId="0DC6BF79" w14:textId="77777777" w:rsidR="00093EEB" w:rsidRPr="0015382F" w:rsidRDefault="00093EEB">
            <w:pPr>
              <w:tabs>
                <w:tab w:val="clear" w:pos="2268"/>
                <w:tab w:val="left" w:pos="1560"/>
                <w:tab w:val="left" w:pos="2269"/>
                <w:tab w:val="left" w:pos="3544"/>
                <w:tab w:val="left" w:pos="3969"/>
              </w:tabs>
              <w:spacing w:before="0" w:line="240" w:lineRule="atLeast"/>
              <w:rPr>
                <w:rFonts w:cs="Times"/>
                <w:b/>
                <w:szCs w:val="24"/>
              </w:rPr>
            </w:pPr>
            <w:bookmarkStart w:id="2" w:name="dnum" w:colFirst="1" w:colLast="1"/>
            <w:bookmarkStart w:id="3" w:name="dmeeting" w:colFirst="0" w:colLast="0"/>
          </w:p>
        </w:tc>
        <w:tc>
          <w:tcPr>
            <w:tcW w:w="3261" w:type="dxa"/>
          </w:tcPr>
          <w:p w14:paraId="1CAC3DE8" w14:textId="2608284B" w:rsidR="001D30AB" w:rsidRPr="0015382F" w:rsidRDefault="00093EEB" w:rsidP="00EF4472">
            <w:pPr>
              <w:spacing w:before="0"/>
              <w:rPr>
                <w:b/>
                <w:bCs/>
                <w:szCs w:val="24"/>
              </w:rPr>
            </w:pPr>
            <w:r w:rsidRPr="0015382F">
              <w:rPr>
                <w:b/>
                <w:bCs/>
                <w:szCs w:val="24"/>
              </w:rPr>
              <w:t xml:space="preserve">Documento </w:t>
            </w:r>
            <w:r w:rsidR="007E3CAD" w:rsidRPr="0015382F">
              <w:rPr>
                <w:b/>
                <w:bCs/>
                <w:szCs w:val="24"/>
              </w:rPr>
              <w:t>CWG-SFP-</w:t>
            </w:r>
            <w:r w:rsidR="001D30AB" w:rsidRPr="0015382F">
              <w:rPr>
                <w:b/>
                <w:bCs/>
                <w:szCs w:val="24"/>
              </w:rPr>
              <w:t>4</w:t>
            </w:r>
            <w:r w:rsidR="007E3CAD" w:rsidRPr="0015382F">
              <w:rPr>
                <w:b/>
                <w:bCs/>
                <w:szCs w:val="24"/>
              </w:rPr>
              <w:t>/</w:t>
            </w:r>
            <w:r w:rsidR="00EF4472" w:rsidRPr="0015382F">
              <w:rPr>
                <w:b/>
                <w:bCs/>
                <w:szCs w:val="24"/>
              </w:rPr>
              <w:t>10</w:t>
            </w:r>
            <w:r w:rsidR="007E3CAD" w:rsidRPr="0015382F">
              <w:rPr>
                <w:b/>
                <w:bCs/>
                <w:szCs w:val="24"/>
              </w:rPr>
              <w:t>-S</w:t>
            </w:r>
          </w:p>
        </w:tc>
      </w:tr>
      <w:tr w:rsidR="00093EEB" w:rsidRPr="0015382F" w14:paraId="64E07441" w14:textId="77777777">
        <w:trPr>
          <w:cantSplit/>
          <w:trHeight w:val="20"/>
        </w:trPr>
        <w:tc>
          <w:tcPr>
            <w:tcW w:w="6912" w:type="dxa"/>
            <w:shd w:val="clear" w:color="auto" w:fill="auto"/>
          </w:tcPr>
          <w:p w14:paraId="369C010C" w14:textId="77777777" w:rsidR="00093EEB" w:rsidRPr="0015382F" w:rsidRDefault="00093EEB">
            <w:pPr>
              <w:shd w:val="solid" w:color="FFFFFF" w:fill="FFFFFF"/>
              <w:spacing w:before="0"/>
              <w:rPr>
                <w:smallCaps/>
                <w:szCs w:val="24"/>
              </w:rPr>
            </w:pPr>
            <w:bookmarkStart w:id="4" w:name="ddate" w:colFirst="1" w:colLast="1"/>
            <w:bookmarkEnd w:id="2"/>
            <w:bookmarkEnd w:id="3"/>
          </w:p>
        </w:tc>
        <w:tc>
          <w:tcPr>
            <w:tcW w:w="3261" w:type="dxa"/>
          </w:tcPr>
          <w:p w14:paraId="19E0EC93" w14:textId="3E2477F1" w:rsidR="00093EEB" w:rsidRPr="0015382F" w:rsidRDefault="00EF4472" w:rsidP="001D30AB">
            <w:pPr>
              <w:spacing w:before="0"/>
              <w:rPr>
                <w:b/>
                <w:bCs/>
                <w:szCs w:val="24"/>
              </w:rPr>
            </w:pPr>
            <w:r w:rsidRPr="0015382F">
              <w:rPr>
                <w:b/>
                <w:bCs/>
                <w:szCs w:val="24"/>
              </w:rPr>
              <w:t>4 de abril</w:t>
            </w:r>
            <w:r w:rsidR="007E3CAD" w:rsidRPr="0015382F">
              <w:rPr>
                <w:b/>
                <w:bCs/>
                <w:szCs w:val="24"/>
              </w:rPr>
              <w:t xml:space="preserve"> de 201</w:t>
            </w:r>
            <w:r w:rsidR="001D30AB" w:rsidRPr="0015382F">
              <w:rPr>
                <w:b/>
                <w:bCs/>
                <w:szCs w:val="24"/>
              </w:rPr>
              <w:t>7</w:t>
            </w:r>
          </w:p>
        </w:tc>
      </w:tr>
      <w:tr w:rsidR="00093EEB" w:rsidRPr="0015382F" w14:paraId="3F735EE6" w14:textId="77777777">
        <w:trPr>
          <w:cantSplit/>
          <w:trHeight w:val="20"/>
        </w:trPr>
        <w:tc>
          <w:tcPr>
            <w:tcW w:w="6912" w:type="dxa"/>
            <w:shd w:val="clear" w:color="auto" w:fill="auto"/>
          </w:tcPr>
          <w:p w14:paraId="11D8CBF1" w14:textId="77777777" w:rsidR="00093EEB" w:rsidRPr="0015382F" w:rsidRDefault="00093EEB">
            <w:pPr>
              <w:shd w:val="solid" w:color="FFFFFF" w:fill="FFFFFF"/>
              <w:spacing w:before="0"/>
              <w:rPr>
                <w:smallCaps/>
                <w:szCs w:val="24"/>
              </w:rPr>
            </w:pPr>
            <w:bookmarkStart w:id="5" w:name="dorlang" w:colFirst="1" w:colLast="1"/>
            <w:bookmarkEnd w:id="4"/>
          </w:p>
        </w:tc>
        <w:tc>
          <w:tcPr>
            <w:tcW w:w="3261" w:type="dxa"/>
          </w:tcPr>
          <w:p w14:paraId="4514865C" w14:textId="77777777" w:rsidR="00093EEB" w:rsidRPr="0015382F" w:rsidRDefault="00093EEB" w:rsidP="00093EEB">
            <w:pPr>
              <w:spacing w:before="0"/>
              <w:rPr>
                <w:b/>
                <w:bCs/>
                <w:szCs w:val="24"/>
              </w:rPr>
            </w:pPr>
            <w:r w:rsidRPr="0015382F">
              <w:rPr>
                <w:b/>
                <w:bCs/>
                <w:szCs w:val="24"/>
              </w:rPr>
              <w:t>Original: inglés</w:t>
            </w:r>
          </w:p>
        </w:tc>
      </w:tr>
      <w:tr w:rsidR="00A23B17" w:rsidRPr="0015382F" w14:paraId="1289D1F7" w14:textId="77777777" w:rsidTr="00EC3C8A">
        <w:trPr>
          <w:cantSplit/>
        </w:trPr>
        <w:tc>
          <w:tcPr>
            <w:tcW w:w="10173" w:type="dxa"/>
            <w:gridSpan w:val="2"/>
          </w:tcPr>
          <w:p w14:paraId="192744DF" w14:textId="7A945F93" w:rsidR="00A23B17" w:rsidRPr="0015382F" w:rsidRDefault="00A23B17" w:rsidP="00EC3C8A">
            <w:pPr>
              <w:pStyle w:val="Source"/>
            </w:pPr>
            <w:bookmarkStart w:id="6" w:name="_Toc406754312"/>
            <w:bookmarkEnd w:id="0"/>
            <w:bookmarkEnd w:id="5"/>
            <w:r w:rsidRPr="0015382F">
              <w:rPr>
                <w:szCs w:val="32"/>
              </w:rPr>
              <w:t>Informe del Secretario General</w:t>
            </w:r>
          </w:p>
        </w:tc>
      </w:tr>
      <w:tr w:rsidR="00A23B17" w:rsidRPr="0015382F" w14:paraId="2140CEA0" w14:textId="77777777" w:rsidTr="00EC3C8A">
        <w:trPr>
          <w:cantSplit/>
        </w:trPr>
        <w:tc>
          <w:tcPr>
            <w:tcW w:w="10173" w:type="dxa"/>
            <w:gridSpan w:val="2"/>
          </w:tcPr>
          <w:p w14:paraId="1CC734C9" w14:textId="2366048E" w:rsidR="00A23B17" w:rsidRPr="0015382F" w:rsidRDefault="00A23B17" w:rsidP="00EC3C8A">
            <w:pPr>
              <w:pStyle w:val="Title1"/>
            </w:pPr>
            <w:bookmarkStart w:id="7" w:name="lt_pId009"/>
            <w:r w:rsidRPr="0015382F">
              <w:rPr>
                <w:bCs/>
                <w:szCs w:val="32"/>
              </w:rPr>
              <w:t>Proyecto de Plan Financiero para 2020-2023</w:t>
            </w:r>
            <w:bookmarkEnd w:id="7"/>
          </w:p>
        </w:tc>
      </w:tr>
      <w:tr w:rsidR="00BA4BCC" w:rsidRPr="0015382F" w14:paraId="6F51C075" w14:textId="77777777" w:rsidTr="00EC3C8A">
        <w:trPr>
          <w:cantSplit/>
        </w:trPr>
        <w:tc>
          <w:tcPr>
            <w:tcW w:w="10173" w:type="dxa"/>
            <w:gridSpan w:val="2"/>
          </w:tcPr>
          <w:p w14:paraId="466016A6" w14:textId="77777777" w:rsidR="00BA4BCC" w:rsidRPr="0015382F" w:rsidRDefault="00BA4BCC" w:rsidP="00EC3C8A">
            <w:pPr>
              <w:pStyle w:val="Title1"/>
              <w:rPr>
                <w:bCs/>
                <w:szCs w:val="32"/>
              </w:rPr>
            </w:pPr>
          </w:p>
        </w:tc>
      </w:tr>
    </w:tbl>
    <w:p w14:paraId="7E6A3216" w14:textId="77777777" w:rsidR="00A23B17" w:rsidRPr="0015382F" w:rsidRDefault="00A23B17" w:rsidP="00DE21F6">
      <w:pPr>
        <w:pStyle w:val="Normalaftertitle"/>
      </w:pPr>
      <w:bookmarkStart w:id="8" w:name="lt_pId010"/>
      <w:r w:rsidRPr="0015382F">
        <w:t>El presente documento contiene el proyecto de Plan Financiero para 2020-2023.</w:t>
      </w:r>
      <w:bookmarkEnd w:id="8"/>
    </w:p>
    <w:p w14:paraId="744D7D3A" w14:textId="72F745D4" w:rsidR="00BA4BCC" w:rsidRPr="0015382F" w:rsidRDefault="00BA4BCC" w:rsidP="00BA4BCC">
      <w:r w:rsidRPr="0015382F">
        <w:br w:type="page"/>
      </w:r>
    </w:p>
    <w:bookmarkEnd w:id="6"/>
    <w:p w14:paraId="0CC55BF3" w14:textId="0729F0D1" w:rsidR="00A23B17" w:rsidRPr="0015382F" w:rsidRDefault="003A4045" w:rsidP="003A4045">
      <w:pPr>
        <w:pStyle w:val="Heading1"/>
      </w:pPr>
      <w:r w:rsidRPr="0015382F">
        <w:t>1</w:t>
      </w:r>
      <w:r w:rsidRPr="0015382F">
        <w:tab/>
      </w:r>
      <w:r w:rsidR="00A23B17" w:rsidRPr="0015382F">
        <w:t>Contexto</w:t>
      </w:r>
    </w:p>
    <w:p w14:paraId="66E8947B" w14:textId="1F75A16D" w:rsidR="00A23B17" w:rsidRPr="0015382F" w:rsidRDefault="002D08D8" w:rsidP="002D08D8">
      <w:pPr>
        <w:pStyle w:val="Heading2"/>
      </w:pPr>
      <w:r w:rsidRPr="0015382F">
        <w:t>a)</w:t>
      </w:r>
      <w:r w:rsidRPr="0015382F">
        <w:tab/>
      </w:r>
      <w:r w:rsidR="00A23B17" w:rsidRPr="0015382F">
        <w:t>¿Qué es el Plan Financiero?</w:t>
      </w:r>
    </w:p>
    <w:p w14:paraId="0B69BBB0" w14:textId="77777777" w:rsidR="00A23B17" w:rsidRPr="0015382F" w:rsidRDefault="00A23B17" w:rsidP="00814E76">
      <w:r w:rsidRPr="0015382F">
        <w:t>1.1</w:t>
      </w:r>
      <w:r w:rsidRPr="0015382F">
        <w:tab/>
      </w:r>
      <w:bookmarkStart w:id="9" w:name="lt_pId014"/>
      <w:r w:rsidRPr="0015382F">
        <w:t>En pocas palabras, el Plan Financiero para 2020-2023 tiene por objeto ofrecer a la Conferencia de Plenipotenciarios de 2018 un instrumento para fijar las bases de la preparación de los presupuestos para 2020-2021 y 2022-2023.</w:t>
      </w:r>
      <w:bookmarkEnd w:id="9"/>
    </w:p>
    <w:p w14:paraId="4E72D6D8" w14:textId="5A4B79E4" w:rsidR="00A23B17" w:rsidRPr="0015382F" w:rsidRDefault="00A23B17" w:rsidP="00062F57">
      <w:r w:rsidRPr="0015382F">
        <w:t>1.2</w:t>
      </w:r>
      <w:r w:rsidRPr="0015382F">
        <w:tab/>
      </w:r>
      <w:bookmarkStart w:id="10" w:name="lt_pId016"/>
      <w:r w:rsidR="00062F57" w:rsidRPr="0015382F">
        <w:t>F</w:t>
      </w:r>
      <w:r w:rsidRPr="0015382F">
        <w:t>ijar el importe de la unidad contributiva para el periodo 2020-2023, permite determinar los correspondientes límites financieros hasta la siguiente Conferencia de Plenipotenciarios después de considerar todos los aspectos pertinentes de las actividade</w:t>
      </w:r>
      <w:r w:rsidR="00F74103" w:rsidRPr="0015382F">
        <w:t>s de la Unión durante dicho peri</w:t>
      </w:r>
      <w:r w:rsidRPr="0015382F">
        <w:t>odo</w:t>
      </w:r>
      <w:bookmarkEnd w:id="10"/>
      <w:r w:rsidR="00F74103" w:rsidRPr="0015382F">
        <w:t>.</w:t>
      </w:r>
    </w:p>
    <w:p w14:paraId="3C11F9F5" w14:textId="133888E7" w:rsidR="00A23B17" w:rsidRPr="0015382F" w:rsidRDefault="0065169A" w:rsidP="0065169A">
      <w:pPr>
        <w:pStyle w:val="Heading2"/>
      </w:pPr>
      <w:bookmarkStart w:id="11" w:name="lt_pId017"/>
      <w:r w:rsidRPr="0015382F">
        <w:t>b)</w:t>
      </w:r>
      <w:r w:rsidRPr="0015382F">
        <w:tab/>
      </w:r>
      <w:r w:rsidR="00A23B17" w:rsidRPr="0015382F">
        <w:t>Bases legales</w:t>
      </w:r>
      <w:bookmarkEnd w:id="11"/>
    </w:p>
    <w:p w14:paraId="0BA2D69D" w14:textId="565A08EE" w:rsidR="00A23B17" w:rsidRPr="0015382F" w:rsidRDefault="00A23B17" w:rsidP="00444532">
      <w:r w:rsidRPr="0015382F">
        <w:t>1.3</w:t>
      </w:r>
      <w:r w:rsidRPr="0015382F">
        <w:tab/>
        <w:t>La preparación del Plan Financiero se rige por e</w:t>
      </w:r>
      <w:r w:rsidR="00444532" w:rsidRPr="0015382F">
        <w:t>l punto 51 del Artículo 8 de la </w:t>
      </w:r>
      <w:r w:rsidRPr="0015382F">
        <w:t>Constitución</w:t>
      </w:r>
      <w:bookmarkStart w:id="12" w:name="lt_pId019"/>
      <w:r w:rsidRPr="0015382F">
        <w:t>.</w:t>
      </w:r>
      <w:bookmarkEnd w:id="12"/>
    </w:p>
    <w:p w14:paraId="5BB51729" w14:textId="52EDE1A8" w:rsidR="00A23B17" w:rsidRPr="0015382F" w:rsidRDefault="00EA6775" w:rsidP="00EA6775">
      <w:bookmarkStart w:id="13" w:name="lt_pId021"/>
      <w:r w:rsidRPr="0015382F">
        <w:t>1.4</w:t>
      </w:r>
      <w:r w:rsidRPr="0015382F">
        <w:tab/>
      </w:r>
      <w:r w:rsidR="00A23B17" w:rsidRPr="0015382F">
        <w:t>El Plan Financiero es aprobado por la Conferencia de Plenipotenciarios en la Decisión 5, en la que se recoge el nuevo Plan Financiero y toda la información conexa.</w:t>
      </w:r>
      <w:bookmarkEnd w:id="13"/>
    </w:p>
    <w:p w14:paraId="1E2FA6F8" w14:textId="34F6CAF3" w:rsidR="00A23B17" w:rsidRPr="0015382F" w:rsidRDefault="005A4DD7" w:rsidP="005A4DD7">
      <w:pPr>
        <w:pStyle w:val="Heading2"/>
      </w:pPr>
      <w:bookmarkStart w:id="14" w:name="lt_pId022"/>
      <w:r w:rsidRPr="0015382F">
        <w:t>c)</w:t>
      </w:r>
      <w:r w:rsidRPr="0015382F">
        <w:tab/>
      </w:r>
      <w:r w:rsidR="00A23B17" w:rsidRPr="0015382F">
        <w:t>Vinculación con el Plan Estratégico</w:t>
      </w:r>
      <w:bookmarkEnd w:id="14"/>
    </w:p>
    <w:p w14:paraId="2304782A" w14:textId="626D1A32" w:rsidR="00A23B17" w:rsidRPr="0015382F" w:rsidRDefault="009B0E9F" w:rsidP="009B0E9F">
      <w:bookmarkStart w:id="15" w:name="lt_pId024"/>
      <w:r w:rsidRPr="0015382F">
        <w:t>1.5</w:t>
      </w:r>
      <w:r w:rsidRPr="0015382F">
        <w:tab/>
      </w:r>
      <w:r w:rsidR="00A23B17" w:rsidRPr="0015382F">
        <w:t>El Plan Financiero está vinculado con el Plan Estratégico y con las metas, los objetivos y los productos consignados en el mismo.</w:t>
      </w:r>
      <w:bookmarkEnd w:id="15"/>
    </w:p>
    <w:p w14:paraId="281AAF5A" w14:textId="77777777" w:rsidR="00F546DE" w:rsidRPr="0015382F" w:rsidRDefault="00A23B17" w:rsidP="00F546DE">
      <w:r w:rsidRPr="0015382F">
        <w:t>1.6</w:t>
      </w:r>
      <w:r w:rsidRPr="0015382F">
        <w:tab/>
      </w:r>
      <w:bookmarkStart w:id="16" w:name="lt_pId026"/>
      <w:r w:rsidRPr="0015382F">
        <w:t>El Plan Financiero tiene dos planteamientos y configuraciones:</w:t>
      </w:r>
      <w:bookmarkEnd w:id="16"/>
    </w:p>
    <w:p w14:paraId="590AFE2C" w14:textId="5124F388" w:rsidR="00A23B17" w:rsidRPr="0015382F" w:rsidRDefault="00A23B17" w:rsidP="00F546DE">
      <w:pPr>
        <w:pStyle w:val="enumlev2"/>
      </w:pPr>
      <w:r w:rsidRPr="0015382F">
        <w:t>•</w:t>
      </w:r>
      <w:r w:rsidRPr="0015382F">
        <w:tab/>
      </w:r>
      <w:bookmarkStart w:id="17" w:name="lt_pId028"/>
      <w:r w:rsidRPr="0015382F">
        <w:t>Financiero (para seguir las estructuras de ingresos/gastos indicados en el Reglamento Financiero)</w:t>
      </w:r>
      <w:bookmarkEnd w:id="17"/>
      <w:r w:rsidR="00286E88" w:rsidRPr="0015382F">
        <w:t>.</w:t>
      </w:r>
    </w:p>
    <w:p w14:paraId="15C5B069" w14:textId="77777777" w:rsidR="00A23B17" w:rsidRPr="0015382F" w:rsidRDefault="00A23B17" w:rsidP="00F546DE">
      <w:pPr>
        <w:pStyle w:val="enumlev2"/>
      </w:pPr>
      <w:r w:rsidRPr="0015382F">
        <w:t>•</w:t>
      </w:r>
      <w:r w:rsidRPr="0015382F">
        <w:tab/>
      </w:r>
      <w:bookmarkStart w:id="18" w:name="lt_pId030"/>
      <w:r w:rsidRPr="0015382F">
        <w:t>Basado en los resultados (para seguir la estructura del Plan Estratégico).</w:t>
      </w:r>
      <w:bookmarkEnd w:id="18"/>
    </w:p>
    <w:p w14:paraId="06FAB55F" w14:textId="4C066565" w:rsidR="00A23B17" w:rsidRPr="0015382F" w:rsidRDefault="00DF4726" w:rsidP="007208FC">
      <w:pPr>
        <w:pStyle w:val="Heading2"/>
      </w:pPr>
      <w:bookmarkStart w:id="19" w:name="lt_pId031"/>
      <w:r w:rsidRPr="0015382F">
        <w:t>d)</w:t>
      </w:r>
      <w:r w:rsidRPr="0015382F">
        <w:tab/>
      </w:r>
      <w:r w:rsidR="00A23B17" w:rsidRPr="0015382F">
        <w:t xml:space="preserve">Principales </w:t>
      </w:r>
      <w:r w:rsidR="007208FC" w:rsidRPr="0015382F">
        <w:t>parámetros/</w:t>
      </w:r>
      <w:r w:rsidR="00A23B17" w:rsidRPr="0015382F">
        <w:t>factores</w:t>
      </w:r>
      <w:r w:rsidR="007208FC" w:rsidRPr="0015382F">
        <w:t xml:space="preserve"> </w:t>
      </w:r>
      <w:r w:rsidR="00A23B17" w:rsidRPr="0015382F">
        <w:t>determinantes</w:t>
      </w:r>
      <w:bookmarkEnd w:id="19"/>
    </w:p>
    <w:p w14:paraId="0F61FD6F" w14:textId="11D6F27B" w:rsidR="00A23B17" w:rsidRPr="0015382F" w:rsidRDefault="006B3EE4" w:rsidP="00406C31">
      <w:bookmarkStart w:id="20" w:name="lt_pId033"/>
      <w:r w:rsidRPr="0015382F">
        <w:t>1.7</w:t>
      </w:r>
      <w:r w:rsidRPr="0015382F">
        <w:tab/>
      </w:r>
      <w:r w:rsidR="00A23B17" w:rsidRPr="0015382F">
        <w:t xml:space="preserve">Los principales </w:t>
      </w:r>
      <w:r w:rsidR="00406C31" w:rsidRPr="0015382F">
        <w:t xml:space="preserve">parámetros/factores determinantes </w:t>
      </w:r>
      <w:r w:rsidR="00A23B17" w:rsidRPr="0015382F">
        <w:t>de la preparación del Plan Financiero han sido los siguientes:</w:t>
      </w:r>
      <w:bookmarkEnd w:id="20"/>
    </w:p>
    <w:p w14:paraId="7D161C8E" w14:textId="5344E2C9" w:rsidR="00A23B17" w:rsidRPr="0015382F" w:rsidRDefault="00A23B17" w:rsidP="00A51506">
      <w:pPr>
        <w:pStyle w:val="enumlev2"/>
      </w:pPr>
      <w:r w:rsidRPr="0015382F">
        <w:t>•</w:t>
      </w:r>
      <w:r w:rsidRPr="0015382F">
        <w:tab/>
      </w:r>
      <w:bookmarkStart w:id="21" w:name="lt_pId035"/>
      <w:r w:rsidRPr="0015382F">
        <w:t>El proyecto de Plan Estratégico para 2020-2023</w:t>
      </w:r>
      <w:bookmarkEnd w:id="21"/>
      <w:r w:rsidR="00A51506" w:rsidRPr="0015382F">
        <w:t>.</w:t>
      </w:r>
    </w:p>
    <w:p w14:paraId="54527F54" w14:textId="66E2DF79" w:rsidR="00A23B17" w:rsidRPr="0015382F" w:rsidRDefault="00A23B17" w:rsidP="00081B9E">
      <w:pPr>
        <w:pStyle w:val="enumlev2"/>
      </w:pPr>
      <w:r w:rsidRPr="0015382F">
        <w:t>•</w:t>
      </w:r>
      <w:r w:rsidRPr="0015382F">
        <w:tab/>
      </w:r>
      <w:bookmarkStart w:id="22" w:name="lt_pId037"/>
      <w:r w:rsidRPr="0015382F">
        <w:t>El importe</w:t>
      </w:r>
      <w:r w:rsidR="00081B9E" w:rsidRPr="0015382F">
        <w:t xml:space="preserve"> de la unidad contributiva (318 </w:t>
      </w:r>
      <w:r w:rsidRPr="0015382F">
        <w:t>000 CHF)</w:t>
      </w:r>
      <w:bookmarkEnd w:id="22"/>
      <w:r w:rsidR="00081B9E" w:rsidRPr="0015382F">
        <w:t>.</w:t>
      </w:r>
    </w:p>
    <w:p w14:paraId="7BEB8A36" w14:textId="3F86F262" w:rsidR="00A23B17" w:rsidRPr="0015382F" w:rsidRDefault="00A23B17" w:rsidP="00A51506">
      <w:pPr>
        <w:pStyle w:val="enumlev2"/>
      </w:pPr>
      <w:r w:rsidRPr="0015382F">
        <w:t>•</w:t>
      </w:r>
      <w:r w:rsidRPr="0015382F">
        <w:tab/>
      </w:r>
      <w:bookmarkStart w:id="23" w:name="lt_pId039"/>
      <w:r w:rsidRPr="0015382F">
        <w:t>El nivel de ingresos (tope)</w:t>
      </w:r>
      <w:bookmarkEnd w:id="23"/>
      <w:r w:rsidR="00FA4260" w:rsidRPr="0015382F">
        <w:t>.</w:t>
      </w:r>
    </w:p>
    <w:p w14:paraId="16222B83" w14:textId="77777777" w:rsidR="00A23B17" w:rsidRPr="0015382F" w:rsidRDefault="00A23B17" w:rsidP="00A51506">
      <w:pPr>
        <w:pStyle w:val="enumlev2"/>
      </w:pPr>
      <w:r w:rsidRPr="0015382F">
        <w:t>•</w:t>
      </w:r>
      <w:r w:rsidRPr="0015382F">
        <w:tab/>
      </w:r>
      <w:bookmarkStart w:id="24" w:name="lt_pId041"/>
      <w:r w:rsidRPr="0015382F">
        <w:t>El programa de trabajo.</w:t>
      </w:r>
      <w:bookmarkEnd w:id="24"/>
    </w:p>
    <w:p w14:paraId="0FEE9B77" w14:textId="77777777" w:rsidR="008C5297" w:rsidRPr="0015382F" w:rsidRDefault="008C5297" w:rsidP="00E519D6">
      <w:pPr>
        <w:pStyle w:val="Heading1"/>
      </w:pPr>
      <w:bookmarkStart w:id="25" w:name="lt_pId042"/>
      <w:r w:rsidRPr="0015382F">
        <w:br w:type="page"/>
      </w:r>
    </w:p>
    <w:p w14:paraId="7288FBA3" w14:textId="0EA5F682" w:rsidR="00A23B17" w:rsidRPr="0015382F" w:rsidRDefault="00E519D6" w:rsidP="00E519D6">
      <w:pPr>
        <w:pStyle w:val="Heading1"/>
      </w:pPr>
      <w:r w:rsidRPr="0015382F">
        <w:t>2</w:t>
      </w:r>
      <w:r w:rsidRPr="0015382F">
        <w:tab/>
      </w:r>
      <w:r w:rsidR="00A23B17" w:rsidRPr="0015382F">
        <w:t>Bases/hipótesis</w:t>
      </w:r>
      <w:bookmarkEnd w:id="25"/>
    </w:p>
    <w:p w14:paraId="58C851BD" w14:textId="77777777" w:rsidR="00A23B17" w:rsidRPr="0015382F" w:rsidRDefault="00A23B17" w:rsidP="00483BC8">
      <w:r w:rsidRPr="0015382F">
        <w:t>2.1</w:t>
      </w:r>
      <w:r w:rsidRPr="0015382F">
        <w:tab/>
      </w:r>
      <w:bookmarkStart w:id="26" w:name="lt_pId044"/>
      <w:r w:rsidRPr="0015382F">
        <w:t>El presupuesto para 2018-2019 es la base fundamental de la preparación del proyecto de Plan Financiero para 2020-2023, en lo que respecta a los niveles de ingresos y gastos.</w:t>
      </w:r>
      <w:bookmarkEnd w:id="26"/>
    </w:p>
    <w:p w14:paraId="200A5A25" w14:textId="334D5515" w:rsidR="00A23B17" w:rsidRPr="0015382F" w:rsidRDefault="00A23B17" w:rsidP="00C500C3">
      <w:r w:rsidRPr="0015382F">
        <w:t>2.2</w:t>
      </w:r>
      <w:r w:rsidRPr="0015382F">
        <w:tab/>
      </w:r>
      <w:bookmarkStart w:id="27" w:name="lt_pId046"/>
      <w:r w:rsidRPr="0015382F">
        <w:t>El nivel de ingresos refleja la situación imperante al 1 de enero de 2018 para las contribuciones previstas (Estados Miembros, Miembros de Se</w:t>
      </w:r>
      <w:r w:rsidR="00280B0A" w:rsidRPr="0015382F">
        <w:t>ctor, Asociados e Instituciones Académicas</w:t>
      </w:r>
      <w:r w:rsidRPr="0015382F">
        <w:t>).</w:t>
      </w:r>
      <w:bookmarkEnd w:id="27"/>
    </w:p>
    <w:p w14:paraId="1BADB57B" w14:textId="4F7B5323" w:rsidR="00A23B17" w:rsidRPr="0015382F" w:rsidRDefault="00A23B17" w:rsidP="0070027A">
      <w:r w:rsidRPr="0015382F">
        <w:t>2.3</w:t>
      </w:r>
      <w:r w:rsidRPr="0015382F">
        <w:tab/>
      </w:r>
      <w:bookmarkStart w:id="28" w:name="lt_pId048"/>
      <w:r w:rsidRPr="0015382F">
        <w:t>La disminución de</w:t>
      </w:r>
      <w:r w:rsidR="008825E2" w:rsidRPr="0015382F">
        <w:t>l</w:t>
      </w:r>
      <w:r w:rsidRPr="0015382F">
        <w:t xml:space="preserve"> 5,2% de los gastos en concepto de sueldos para las categorías profesional y superior ha quedado reflejad</w:t>
      </w:r>
      <w:r w:rsidR="0070027A" w:rsidRPr="0015382F">
        <w:t>a</w:t>
      </w:r>
      <w:r w:rsidRPr="0015382F">
        <w:t xml:space="preserve"> en el proyecto de Plan Financiero a consecuencia de la decisión de la CAPI referente al ajuste por lugar de destino para Ginebra (equivalente a 11,9 millones CHF).</w:t>
      </w:r>
      <w:bookmarkEnd w:id="28"/>
    </w:p>
    <w:p w14:paraId="1C04AFF4" w14:textId="77777777" w:rsidR="00A23B17" w:rsidRPr="0015382F" w:rsidRDefault="00A23B17" w:rsidP="00C500C3">
      <w:r w:rsidRPr="0015382F">
        <w:t>2.4</w:t>
      </w:r>
      <w:r w:rsidRPr="0015382F">
        <w:tab/>
      </w:r>
      <w:bookmarkStart w:id="29" w:name="lt_pId050"/>
      <w:r w:rsidRPr="0015382F">
        <w:t>Un aumento de 1,1 millones CHF de la contribución al seguro de salud para compensar la disminución correspondiente provocada por la referida disminución de sueldos.</w:t>
      </w:r>
      <w:bookmarkEnd w:id="29"/>
    </w:p>
    <w:p w14:paraId="542E51B4" w14:textId="5A7DB1D5" w:rsidR="00A23B17" w:rsidRPr="0015382F" w:rsidRDefault="00A23B17" w:rsidP="00C500C3">
      <w:r w:rsidRPr="0015382F">
        <w:t>2.5</w:t>
      </w:r>
      <w:r w:rsidRPr="0015382F">
        <w:tab/>
      </w:r>
      <w:bookmarkStart w:id="30" w:name="lt_pId052"/>
      <w:r w:rsidRPr="0015382F">
        <w:t>Del mismo modo que en los presupuestos de 2016-2017 y 2018-2019, se aplica una tasa de vacante de</w:t>
      </w:r>
      <w:r w:rsidR="000F313E" w:rsidRPr="0015382F">
        <w:t>l</w:t>
      </w:r>
      <w:r w:rsidRPr="0015382F">
        <w:t xml:space="preserve"> 5% en toda la Unión para el periodo 2020-2023.</w:t>
      </w:r>
      <w:bookmarkEnd w:id="30"/>
    </w:p>
    <w:p w14:paraId="1DF5477C" w14:textId="77777777" w:rsidR="00A23B17" w:rsidRPr="0015382F" w:rsidRDefault="00A23B17" w:rsidP="00C500C3">
      <w:r w:rsidRPr="0015382F">
        <w:t>2.6</w:t>
      </w:r>
      <w:r w:rsidRPr="0015382F">
        <w:tab/>
      </w:r>
      <w:bookmarkStart w:id="31" w:name="lt_pId054"/>
      <w:r w:rsidRPr="0015382F">
        <w:t>Posibles futuros aumentos/disminuciones de costes para 2020-2023 (como inflación, aumentos de sueldos, aumento de los costes del seguro médico, etc.) no han quedado reflejados en este proyecto de Plan Financiero y se tendrán en cuenta durante la preparación de los presupuestos para 2020-2021 y 2022-2023.</w:t>
      </w:r>
      <w:bookmarkEnd w:id="31"/>
    </w:p>
    <w:p w14:paraId="2E840979" w14:textId="36FD5606" w:rsidR="00A23B17" w:rsidRPr="0015382F" w:rsidRDefault="00D706F7" w:rsidP="00D706F7">
      <w:pPr>
        <w:pStyle w:val="Heading1"/>
      </w:pPr>
      <w:bookmarkStart w:id="32" w:name="lt_pId055"/>
      <w:r w:rsidRPr="0015382F">
        <w:t>3</w:t>
      </w:r>
      <w:r w:rsidRPr="0015382F">
        <w:tab/>
      </w:r>
      <w:r w:rsidR="00A23B17" w:rsidRPr="0015382F">
        <w:t>Variación del programa y aumentos/disminuciones de costes</w:t>
      </w:r>
      <w:bookmarkEnd w:id="32"/>
    </w:p>
    <w:p w14:paraId="44A5B34D" w14:textId="50C0161E" w:rsidR="00A23B17" w:rsidRPr="0015382F" w:rsidRDefault="00A23B17" w:rsidP="00C70B1E">
      <w:pPr>
        <w:tabs>
          <w:tab w:val="left" w:pos="851"/>
          <w:tab w:val="right" w:leader="dot" w:pos="8789"/>
        </w:tabs>
        <w:snapToGrid w:val="0"/>
        <w:rPr>
          <w:bCs/>
        </w:rPr>
      </w:pPr>
      <w:r w:rsidRPr="0015382F">
        <w:t>3.1</w:t>
      </w:r>
      <w:r w:rsidRPr="0015382F">
        <w:tab/>
      </w:r>
      <w:bookmarkStart w:id="33" w:name="lt_pId057"/>
      <w:r w:rsidRPr="0015382F">
        <w:t>En comparación con el presupuesto de 2018-2019, la var</w:t>
      </w:r>
      <w:r w:rsidR="00C70B1E" w:rsidRPr="0015382F">
        <w:t xml:space="preserve">iación del programa asciende a </w:t>
      </w:r>
      <w:r w:rsidR="00C70B1E" w:rsidRPr="0015382F">
        <w:rPr>
          <w:bCs/>
        </w:rPr>
        <w:t>5</w:t>
      </w:r>
      <w:r w:rsidRPr="0015382F">
        <w:rPr>
          <w:bCs/>
        </w:rPr>
        <w:t>,0 millones CHF, desglosados como sigue</w:t>
      </w:r>
      <w:bookmarkStart w:id="34" w:name="lt_pId058"/>
      <w:bookmarkEnd w:id="33"/>
      <w:r w:rsidRPr="0015382F">
        <w:rPr>
          <w:bCs/>
        </w:rPr>
        <w:t>:</w:t>
      </w:r>
      <w:bookmarkEnd w:id="34"/>
    </w:p>
    <w:p w14:paraId="59484740" w14:textId="077EA46A" w:rsidR="00A23B17" w:rsidRPr="0015382F" w:rsidRDefault="00E441C9" w:rsidP="00E441C9">
      <w:pPr>
        <w:pStyle w:val="enumlev2"/>
      </w:pPr>
      <w:bookmarkStart w:id="35" w:name="lt_pId059"/>
      <w:r w:rsidRPr="0015382F">
        <w:t>•</w:t>
      </w:r>
      <w:r w:rsidRPr="0015382F">
        <w:tab/>
      </w:r>
      <w:r w:rsidR="00A23B17" w:rsidRPr="0015382F">
        <w:t>1,6 millones CHF debido al calendario de conferencias para 2020-2023</w:t>
      </w:r>
      <w:bookmarkEnd w:id="35"/>
      <w:r w:rsidR="00C562AA" w:rsidRPr="0015382F">
        <w:t>.</w:t>
      </w:r>
    </w:p>
    <w:p w14:paraId="44E254F7" w14:textId="3893CB41" w:rsidR="00A23B17" w:rsidRPr="0015382F" w:rsidRDefault="00E441C9" w:rsidP="00E441C9">
      <w:pPr>
        <w:pStyle w:val="enumlev2"/>
      </w:pPr>
      <w:bookmarkStart w:id="36" w:name="lt_pId060"/>
      <w:r w:rsidRPr="0015382F">
        <w:t>•</w:t>
      </w:r>
      <w:r w:rsidRPr="0015382F">
        <w:tab/>
      </w:r>
      <w:r w:rsidR="00A23B17" w:rsidRPr="0015382F">
        <w:t>10,8 millones CHF de disminución neta de costes</w:t>
      </w:r>
      <w:bookmarkEnd w:id="36"/>
      <w:r w:rsidR="00B224BF" w:rsidRPr="0015382F">
        <w:t>.</w:t>
      </w:r>
    </w:p>
    <w:p w14:paraId="39E26518" w14:textId="14266BB7" w:rsidR="00A23B17" w:rsidRPr="0015382F" w:rsidRDefault="00E441C9" w:rsidP="00E441C9">
      <w:pPr>
        <w:pStyle w:val="enumlev2"/>
      </w:pPr>
      <w:bookmarkStart w:id="37" w:name="lt_pId061"/>
      <w:r w:rsidRPr="0015382F">
        <w:t>•</w:t>
      </w:r>
      <w:r w:rsidRPr="0015382F">
        <w:tab/>
      </w:r>
      <w:r w:rsidR="00A23B17" w:rsidRPr="0015382F">
        <w:t>10,4 millones CHF de variación real del programa.</w:t>
      </w:r>
      <w:bookmarkEnd w:id="37"/>
    </w:p>
    <w:p w14:paraId="4F77635E" w14:textId="77777777" w:rsidR="00A23B17" w:rsidRPr="0015382F" w:rsidRDefault="00A23B17" w:rsidP="00A23B17">
      <w:pPr>
        <w:tabs>
          <w:tab w:val="left" w:pos="851"/>
          <w:tab w:val="right" w:leader="dot" w:pos="8789"/>
        </w:tabs>
        <w:snapToGrid w:val="0"/>
      </w:pPr>
      <w:r w:rsidRPr="0015382F">
        <w:t>3.2</w:t>
      </w:r>
      <w:r w:rsidRPr="0015382F">
        <w:tab/>
      </w:r>
      <w:bookmarkStart w:id="38" w:name="lt_pId063"/>
      <w:r w:rsidRPr="0015382F">
        <w:t>Principales elementos de la variación del programa:</w:t>
      </w:r>
      <w:bookmarkEnd w:id="38"/>
    </w:p>
    <w:p w14:paraId="5A2F3F3C" w14:textId="2518548D" w:rsidR="00A23B17" w:rsidRPr="0015382F" w:rsidRDefault="00EE5E02" w:rsidP="00EE5E02">
      <w:pPr>
        <w:pStyle w:val="enumlev2"/>
      </w:pPr>
      <w:bookmarkStart w:id="39" w:name="lt_pId064"/>
      <w:r w:rsidRPr="0015382F">
        <w:t>•</w:t>
      </w:r>
      <w:r w:rsidRPr="0015382F">
        <w:tab/>
      </w:r>
      <w:r w:rsidR="00A23B17" w:rsidRPr="0015382F">
        <w:t>Migración de ERP y CRM a una nueva tecnología: 2,0 millones CHF</w:t>
      </w:r>
      <w:bookmarkEnd w:id="39"/>
      <w:r w:rsidR="005D6C03" w:rsidRPr="0015382F">
        <w:t>.</w:t>
      </w:r>
    </w:p>
    <w:p w14:paraId="6199C9C5" w14:textId="74CFD766" w:rsidR="00A23B17" w:rsidRPr="0015382F" w:rsidRDefault="00EE5E02" w:rsidP="00EE5E02">
      <w:pPr>
        <w:pStyle w:val="enumlev2"/>
      </w:pPr>
      <w:bookmarkStart w:id="40" w:name="lt_pId065"/>
      <w:r w:rsidRPr="0015382F">
        <w:t>•</w:t>
      </w:r>
      <w:r w:rsidRPr="0015382F">
        <w:tab/>
      </w:r>
      <w:r w:rsidR="00A23B17" w:rsidRPr="0015382F">
        <w:t>Primera cuota del nuevo edificio en 2023: 3,0 millones CHF</w:t>
      </w:r>
      <w:bookmarkEnd w:id="40"/>
      <w:r w:rsidR="0064553E" w:rsidRPr="0015382F">
        <w:t>.</w:t>
      </w:r>
    </w:p>
    <w:p w14:paraId="63DE76C3" w14:textId="6FB0BF29" w:rsidR="00A23B17" w:rsidRPr="0015382F" w:rsidRDefault="00EE5E02" w:rsidP="00EE5E02">
      <w:pPr>
        <w:pStyle w:val="enumlev2"/>
      </w:pPr>
      <w:bookmarkStart w:id="41" w:name="lt_pId066"/>
      <w:r w:rsidRPr="0015382F">
        <w:t>•</w:t>
      </w:r>
      <w:r w:rsidRPr="0015382F">
        <w:tab/>
      </w:r>
      <w:r w:rsidR="00A23B17" w:rsidRPr="0015382F">
        <w:t xml:space="preserve">Iniciativas </w:t>
      </w:r>
      <w:r w:rsidR="00491329" w:rsidRPr="0015382F">
        <w:t>Regionales</w:t>
      </w:r>
      <w:r w:rsidR="00A23B17" w:rsidRPr="0015382F">
        <w:t>: 3,0 millones CHF</w:t>
      </w:r>
      <w:bookmarkEnd w:id="41"/>
      <w:r w:rsidR="0033660F" w:rsidRPr="0015382F">
        <w:t>.</w:t>
      </w:r>
    </w:p>
    <w:p w14:paraId="687EFBC4" w14:textId="20BCF295" w:rsidR="00A23B17" w:rsidRPr="0015382F" w:rsidRDefault="00EE5E02" w:rsidP="00EE5E02">
      <w:pPr>
        <w:pStyle w:val="enumlev2"/>
      </w:pPr>
      <w:bookmarkStart w:id="42" w:name="lt_pId067"/>
      <w:r w:rsidRPr="0015382F">
        <w:t>•</w:t>
      </w:r>
      <w:r w:rsidRPr="0015382F">
        <w:tab/>
      </w:r>
      <w:r w:rsidR="00A23B17" w:rsidRPr="0015382F">
        <w:t>Nueva estructura de la Oficina Regional de Moscú (D1, P4, G6): 1 millón CHF</w:t>
      </w:r>
      <w:bookmarkEnd w:id="42"/>
      <w:r w:rsidR="00D83DA7" w:rsidRPr="0015382F">
        <w:t>.</w:t>
      </w:r>
    </w:p>
    <w:p w14:paraId="6A8D81BE" w14:textId="2559BC5B" w:rsidR="00A23B17" w:rsidRPr="0015382F" w:rsidRDefault="00EE5E02" w:rsidP="00EE5E02">
      <w:pPr>
        <w:pStyle w:val="enumlev2"/>
      </w:pPr>
      <w:bookmarkStart w:id="43" w:name="lt_pId068"/>
      <w:r w:rsidRPr="0015382F">
        <w:t>•</w:t>
      </w:r>
      <w:r w:rsidRPr="0015382F">
        <w:tab/>
      </w:r>
      <w:r w:rsidR="00A23B17" w:rsidRPr="0015382F">
        <w:t xml:space="preserve">Oficina de Radiocomunicaciones a nivel de los presupuestos </w:t>
      </w:r>
      <w:r w:rsidR="00B34015" w:rsidRPr="0015382F">
        <w:t xml:space="preserve">para </w:t>
      </w:r>
      <w:r w:rsidR="00A23B17" w:rsidRPr="0015382F">
        <w:t>2016-2019: 0,9 millones CHF</w:t>
      </w:r>
      <w:bookmarkEnd w:id="43"/>
      <w:r w:rsidR="00BB799A" w:rsidRPr="0015382F">
        <w:t>.</w:t>
      </w:r>
    </w:p>
    <w:p w14:paraId="51B7334F" w14:textId="11EB4A8C" w:rsidR="00A23B17" w:rsidRPr="0015382F" w:rsidRDefault="00EE5E02" w:rsidP="00EE5E02">
      <w:pPr>
        <w:pStyle w:val="enumlev2"/>
      </w:pPr>
      <w:bookmarkStart w:id="44" w:name="lt_pId069"/>
      <w:r w:rsidRPr="0015382F">
        <w:t>•</w:t>
      </w:r>
      <w:r w:rsidRPr="0015382F">
        <w:tab/>
      </w:r>
      <w:r w:rsidR="00A23B17" w:rsidRPr="0015382F">
        <w:t>RPC del UIT-R, RRB y reuniones de Comisiones de Estudio: 0,5 millones CHF.</w:t>
      </w:r>
      <w:bookmarkEnd w:id="44"/>
    </w:p>
    <w:p w14:paraId="1489515E" w14:textId="2D75ED74" w:rsidR="00A23B17" w:rsidRPr="0015382F" w:rsidRDefault="00A23B17" w:rsidP="00112911">
      <w:pPr>
        <w:keepNext/>
        <w:keepLines/>
        <w:tabs>
          <w:tab w:val="left" w:pos="851"/>
          <w:tab w:val="right" w:leader="dot" w:pos="8789"/>
        </w:tabs>
        <w:snapToGrid w:val="0"/>
      </w:pPr>
      <w:r w:rsidRPr="0015382F">
        <w:t>3.3</w:t>
      </w:r>
      <w:r w:rsidRPr="0015382F">
        <w:tab/>
      </w:r>
      <w:bookmarkStart w:id="45" w:name="lt_pId071"/>
      <w:r w:rsidRPr="0015382F">
        <w:t>La disminución de</w:t>
      </w:r>
      <w:r w:rsidR="00A03AD9" w:rsidRPr="0015382F">
        <w:t>l</w:t>
      </w:r>
      <w:r w:rsidRPr="0015382F">
        <w:t xml:space="preserve"> 5,2% de los sueldos de las categorías profesional y superior queda reflejada en el proyecto de Pla</w:t>
      </w:r>
      <w:r w:rsidR="00F53D41" w:rsidRPr="0015382F">
        <w:t xml:space="preserve">n Financiero por un importe de </w:t>
      </w:r>
      <w:r w:rsidRPr="0015382F">
        <w:t>11,9 millones CHF, compensado en parte por un aumento de 1,1 millones CHF de contribución al seguro de salud a fin de compensar la correspondiente disminución provocada por la disminución de sueldos. La disminución</w:t>
      </w:r>
      <w:r w:rsidR="00F53D41" w:rsidRPr="0015382F">
        <w:t xml:space="preserve"> neta de los costes asciende a </w:t>
      </w:r>
      <w:r w:rsidRPr="0015382F">
        <w:t>10,8 millones CHF en el periodo 2020-2023</w:t>
      </w:r>
      <w:bookmarkEnd w:id="45"/>
      <w:r w:rsidRPr="0015382F">
        <w:t>.</w:t>
      </w:r>
    </w:p>
    <w:p w14:paraId="5E2DDFF7" w14:textId="035F99FE" w:rsidR="00A23B17" w:rsidRPr="0015382F" w:rsidRDefault="006C1C43" w:rsidP="006C1C43">
      <w:pPr>
        <w:pStyle w:val="Heading1"/>
      </w:pPr>
      <w:bookmarkStart w:id="46" w:name="lt_pId075"/>
      <w:r w:rsidRPr="0015382F">
        <w:t>4</w:t>
      </w:r>
      <w:r w:rsidRPr="0015382F">
        <w:tab/>
      </w:r>
      <w:r w:rsidR="00A23B17" w:rsidRPr="0015382F">
        <w:t>Ingresos previstos para 2020-2023</w:t>
      </w:r>
      <w:bookmarkEnd w:id="46"/>
    </w:p>
    <w:p w14:paraId="1877DBE1" w14:textId="77777777" w:rsidR="00A23B17" w:rsidRPr="0015382F" w:rsidRDefault="00A23B17" w:rsidP="00A23B17">
      <w:pPr>
        <w:tabs>
          <w:tab w:val="left" w:pos="851"/>
          <w:tab w:val="right" w:leader="dot" w:pos="8789"/>
        </w:tabs>
        <w:snapToGrid w:val="0"/>
      </w:pPr>
      <w:r w:rsidRPr="0015382F">
        <w:t>4.1</w:t>
      </w:r>
      <w:r w:rsidRPr="0015382F">
        <w:tab/>
      </w:r>
      <w:bookmarkStart w:id="47" w:name="lt_pId077"/>
      <w:r w:rsidRPr="0015382F">
        <w:t>El proyecto de Plan Financiero para 2020-2023 se basa en los ingresos que estarán disponibles durante el periodo 2020-2023. El nivel de ingresos es un parámetro fundamental de la preparación del Plan Financiero</w:t>
      </w:r>
      <w:bookmarkStart w:id="48" w:name="lt_pId078"/>
      <w:bookmarkEnd w:id="47"/>
      <w:r w:rsidRPr="0015382F">
        <w:t>.</w:t>
      </w:r>
      <w:bookmarkEnd w:id="48"/>
    </w:p>
    <w:p w14:paraId="1082E494" w14:textId="13D7E52E" w:rsidR="00A23B17" w:rsidRPr="0015382F" w:rsidRDefault="00A23B17" w:rsidP="00B12D90">
      <w:pPr>
        <w:tabs>
          <w:tab w:val="left" w:pos="851"/>
          <w:tab w:val="right" w:leader="dot" w:pos="8789"/>
        </w:tabs>
        <w:snapToGrid w:val="0"/>
      </w:pPr>
      <w:r w:rsidRPr="0015382F">
        <w:t>4.2</w:t>
      </w:r>
      <w:r w:rsidRPr="0015382F">
        <w:tab/>
      </w:r>
      <w:bookmarkStart w:id="49" w:name="lt_pId080"/>
      <w:r w:rsidRPr="0015382F">
        <w:t>Las contribuciones previstas representan más de 3/4 de los ingresos de la Unión. Cualquier cambio del número de unidades contributivas repercutirá en las previsiones de ingresos para 2020-2023 y, por lo tanto, habrá que ajustar las previsiones de gastos en consecuencia</w:t>
      </w:r>
      <w:bookmarkStart w:id="50" w:name="lt_pId081"/>
      <w:bookmarkEnd w:id="49"/>
      <w:r w:rsidRPr="0015382F">
        <w:t>.</w:t>
      </w:r>
      <w:bookmarkEnd w:id="50"/>
      <w:r w:rsidR="00B12D90" w:rsidRPr="0015382F">
        <w:t xml:space="preserve"> </w:t>
      </w:r>
      <w:bookmarkStart w:id="51" w:name="lt_pId083"/>
      <w:r w:rsidRPr="0015382F">
        <w:t>Las previsiones se basan en el número de unidades contributivas a enero de 2018. Se basan en el nivel de ingresos presupuestados para 2018-2019 en concepto de recuperación de costes y otros ingresos</w:t>
      </w:r>
      <w:bookmarkStart w:id="52" w:name="lt_pId084"/>
      <w:bookmarkEnd w:id="51"/>
      <w:r w:rsidRPr="0015382F">
        <w:t>.</w:t>
      </w:r>
      <w:bookmarkEnd w:id="52"/>
    </w:p>
    <w:p w14:paraId="59A8588A" w14:textId="4DF410BA" w:rsidR="00A23B17" w:rsidRPr="0015382F" w:rsidRDefault="00A23B17" w:rsidP="0049201B">
      <w:pPr>
        <w:tabs>
          <w:tab w:val="left" w:pos="851"/>
          <w:tab w:val="right" w:leader="dot" w:pos="8789"/>
        </w:tabs>
        <w:snapToGrid w:val="0"/>
      </w:pPr>
      <w:r w:rsidRPr="0015382F">
        <w:t>4.</w:t>
      </w:r>
      <w:r w:rsidR="00697F30" w:rsidRPr="0015382F">
        <w:t>3</w:t>
      </w:r>
      <w:r w:rsidRPr="0015382F">
        <w:tab/>
      </w:r>
      <w:bookmarkStart w:id="53" w:name="lt_pId086"/>
      <w:r w:rsidRPr="0015382F">
        <w:t>Las previsiones se pueden actualizar posteriormente para reflejar los cambios del número de unidades contributivas. Los ingresos previstos para el periodo 2020-2023 ascienden a 64</w:t>
      </w:r>
      <w:r w:rsidR="0049201B" w:rsidRPr="0015382F">
        <w:t>4</w:t>
      </w:r>
      <w:r w:rsidRPr="0015382F">
        <w:t>,2 millones CHF</w:t>
      </w:r>
      <w:bookmarkStart w:id="54" w:name="lt_pId087"/>
      <w:bookmarkEnd w:id="53"/>
      <w:r w:rsidRPr="0015382F">
        <w:t>.</w:t>
      </w:r>
      <w:bookmarkEnd w:id="54"/>
    </w:p>
    <w:p w14:paraId="47417D1C" w14:textId="70012A07" w:rsidR="00A23B17" w:rsidRPr="0015382F" w:rsidRDefault="00A23B17" w:rsidP="00A53331">
      <w:pPr>
        <w:tabs>
          <w:tab w:val="left" w:pos="851"/>
          <w:tab w:val="right" w:leader="dot" w:pos="8789"/>
        </w:tabs>
        <w:snapToGrid w:val="0"/>
      </w:pPr>
      <w:r w:rsidRPr="0015382F">
        <w:t>4.</w:t>
      </w:r>
      <w:r w:rsidR="00A53331" w:rsidRPr="0015382F">
        <w:t>4</w:t>
      </w:r>
      <w:r w:rsidRPr="0015382F">
        <w:tab/>
      </w:r>
      <w:bookmarkStart w:id="55" w:name="lt_pId089"/>
      <w:r w:rsidRPr="0015382F">
        <w:t>En el Cuadro 1 se presentan las previsiones de ingresos para el periodo 2020-2023.</w:t>
      </w:r>
      <w:bookmarkEnd w:id="55"/>
    </w:p>
    <w:p w14:paraId="089DB00A" w14:textId="2F63FDF7" w:rsidR="00A23B17" w:rsidRPr="0015382F" w:rsidRDefault="0061201D" w:rsidP="0061201D">
      <w:pPr>
        <w:pStyle w:val="Heading1"/>
      </w:pPr>
      <w:bookmarkStart w:id="56" w:name="lt_pId090"/>
      <w:r w:rsidRPr="0015382F">
        <w:t>5</w:t>
      </w:r>
      <w:r w:rsidRPr="0015382F">
        <w:tab/>
      </w:r>
      <w:r w:rsidR="00A23B17" w:rsidRPr="0015382F">
        <w:t>Gastos previstos para 2020-2023</w:t>
      </w:r>
      <w:bookmarkEnd w:id="56"/>
    </w:p>
    <w:p w14:paraId="09347EBA" w14:textId="77777777" w:rsidR="00A23B17" w:rsidRPr="0015382F" w:rsidRDefault="00A23B17" w:rsidP="008801C7">
      <w:pPr>
        <w:tabs>
          <w:tab w:val="left" w:pos="851"/>
          <w:tab w:val="right" w:leader="dot" w:pos="8789"/>
        </w:tabs>
        <w:snapToGrid w:val="0"/>
      </w:pPr>
      <w:r w:rsidRPr="0015382F">
        <w:t>5.1</w:t>
      </w:r>
      <w:r w:rsidRPr="0015382F">
        <w:tab/>
      </w:r>
      <w:bookmarkStart w:id="57" w:name="lt_pId092"/>
      <w:r w:rsidRPr="0015382F">
        <w:t>Los gastos previstos presentados en el Cuadro 2 se basan en el presupuesto aprobado para 2018-2019. Al preparar esas estimaciones se han tenido en cuenta las variaciones del programa, el calendario de eventos y los aumentos/disminuciones de costes</w:t>
      </w:r>
      <w:bookmarkStart w:id="58" w:name="lt_pId094"/>
      <w:bookmarkEnd w:id="57"/>
      <w:r w:rsidRPr="0015382F">
        <w:t>.</w:t>
      </w:r>
      <w:bookmarkEnd w:id="58"/>
    </w:p>
    <w:p w14:paraId="7D116510" w14:textId="7325982E" w:rsidR="00A23B17" w:rsidRPr="0015382F" w:rsidRDefault="00A23B17" w:rsidP="009E167F">
      <w:pPr>
        <w:tabs>
          <w:tab w:val="left" w:pos="851"/>
          <w:tab w:val="right" w:leader="dot" w:pos="8789"/>
        </w:tabs>
        <w:snapToGrid w:val="0"/>
      </w:pPr>
      <w:r w:rsidRPr="0015382F">
        <w:t>5.2</w:t>
      </w:r>
      <w:r w:rsidRPr="0015382F">
        <w:tab/>
      </w:r>
      <w:bookmarkStart w:id="59" w:name="lt_pId096"/>
      <w:r w:rsidRPr="0015382F">
        <w:t>Los gastos totales previstos para el periodo en cuestión ascienden a 64</w:t>
      </w:r>
      <w:r w:rsidR="006E73A4" w:rsidRPr="0015382F">
        <w:t>4</w:t>
      </w:r>
      <w:r w:rsidRPr="0015382F">
        <w:t>,2 millones CHF, que corresponden a los ingresos previstos de 64</w:t>
      </w:r>
      <w:r w:rsidR="009E167F" w:rsidRPr="0015382F">
        <w:t>4</w:t>
      </w:r>
      <w:r w:rsidRPr="0015382F">
        <w:t>,2 millones CHF, lo cual da lugar a un Plan Financiero equilibrado</w:t>
      </w:r>
      <w:bookmarkStart w:id="60" w:name="lt_pId097"/>
      <w:bookmarkEnd w:id="59"/>
      <w:r w:rsidRPr="0015382F">
        <w:t>.</w:t>
      </w:r>
      <w:bookmarkEnd w:id="60"/>
    </w:p>
    <w:p w14:paraId="1A7C2ED0" w14:textId="5AAD98F5" w:rsidR="00A23B17" w:rsidRPr="0015382F" w:rsidRDefault="00A23B17" w:rsidP="00C9448E">
      <w:pPr>
        <w:tabs>
          <w:tab w:val="left" w:pos="851"/>
          <w:tab w:val="right" w:leader="dot" w:pos="8789"/>
        </w:tabs>
        <w:snapToGrid w:val="0"/>
      </w:pPr>
      <w:r w:rsidRPr="0015382F">
        <w:t>5.3</w:t>
      </w:r>
      <w:r w:rsidRPr="0015382F">
        <w:tab/>
      </w:r>
      <w:bookmarkStart w:id="61" w:name="lt_pId099"/>
      <w:r w:rsidRPr="0015382F">
        <w:t>El proyecto de Plan Financiero para 2020-2023 comprende una provisión de 2,7 millones CHF para las consecuencias financieras de la AMNT-16</w:t>
      </w:r>
      <w:r w:rsidR="00C9448E" w:rsidRPr="0015382F">
        <w:t xml:space="preserve">. </w:t>
      </w:r>
      <w:r w:rsidRPr="0015382F">
        <w:t xml:space="preserve">No se tienen en cuenta las posibles consecuencias financieras de </w:t>
      </w:r>
      <w:r w:rsidR="00CD0142" w:rsidRPr="0015382F">
        <w:t>la CMDT-17</w:t>
      </w:r>
      <w:r w:rsidR="00CD0142" w:rsidRPr="0015382F">
        <w:t xml:space="preserve">, </w:t>
      </w:r>
      <w:r w:rsidRPr="0015382F">
        <w:t>la CMR-19, la AMNT-20 y la CMDT 21, que se tendrán en cuenta durante la preparación de los presupuestos para 2020-2021 y 2022-2023</w:t>
      </w:r>
      <w:bookmarkStart w:id="62" w:name="lt_pId102"/>
      <w:bookmarkEnd w:id="61"/>
      <w:r w:rsidRPr="0015382F">
        <w:t>.</w:t>
      </w:r>
      <w:bookmarkEnd w:id="62"/>
    </w:p>
    <w:p w14:paraId="47FBD8E6" w14:textId="77777777" w:rsidR="00A23B17" w:rsidRPr="0015382F" w:rsidRDefault="00A23B17" w:rsidP="008801C7">
      <w:pPr>
        <w:tabs>
          <w:tab w:val="left" w:pos="851"/>
          <w:tab w:val="right" w:leader="dot" w:pos="8789"/>
        </w:tabs>
        <w:snapToGrid w:val="0"/>
      </w:pPr>
      <w:r w:rsidRPr="0015382F">
        <w:t>5.4</w:t>
      </w:r>
      <w:r w:rsidRPr="0015382F">
        <w:tab/>
      </w:r>
      <w:bookmarkStart w:id="63" w:name="lt_pId104"/>
      <w:r w:rsidRPr="0015382F">
        <w:t>En el Cuadro 2 se presentan las previsiones de ingresos para el periodo 2020-2023.</w:t>
      </w:r>
      <w:bookmarkStart w:id="64" w:name="_GoBack"/>
      <w:bookmarkEnd w:id="63"/>
      <w:bookmarkEnd w:id="64"/>
    </w:p>
    <w:p w14:paraId="23BCDB4E" w14:textId="77777777" w:rsidR="00A23B17" w:rsidRPr="0015382F" w:rsidRDefault="00A23B17" w:rsidP="00A23B17">
      <w:pPr>
        <w:rPr>
          <w:bCs/>
        </w:rPr>
      </w:pPr>
      <w:r w:rsidRPr="0015382F">
        <w:rPr>
          <w:bCs/>
        </w:rPr>
        <w:br w:type="page"/>
      </w:r>
    </w:p>
    <w:p w14:paraId="1F35FA75" w14:textId="77777777" w:rsidR="00A23B17" w:rsidRPr="0015382F" w:rsidRDefault="00A23B17" w:rsidP="00EE494A">
      <w:pPr>
        <w:pStyle w:val="TableNo"/>
      </w:pPr>
      <w:bookmarkStart w:id="65" w:name="lt_pId105"/>
      <w:r w:rsidRPr="0015382F">
        <w:t>Cuadro 1</w:t>
      </w:r>
      <w:bookmarkEnd w:id="65"/>
    </w:p>
    <w:p w14:paraId="7A40A074" w14:textId="366F79B7" w:rsidR="002E28AB" w:rsidRPr="0015382F" w:rsidRDefault="004320F1" w:rsidP="002E28AB">
      <w:pPr>
        <w:pStyle w:val="Tabletext"/>
      </w:pPr>
      <w:r w:rsidRPr="0015382F">
        <w:drawing>
          <wp:inline distT="0" distB="0" distL="0" distR="0" wp14:anchorId="524417B3" wp14:editId="76C6647A">
            <wp:extent cx="6252486" cy="607893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54640" cy="6081025"/>
                    </a:xfrm>
                    <a:prstGeom prst="rect">
                      <a:avLst/>
                    </a:prstGeom>
                    <a:noFill/>
                    <a:ln>
                      <a:noFill/>
                    </a:ln>
                  </pic:spPr>
                </pic:pic>
              </a:graphicData>
            </a:graphic>
          </wp:inline>
        </w:drawing>
      </w:r>
    </w:p>
    <w:p w14:paraId="49C56E6B" w14:textId="77777777" w:rsidR="00A23B17" w:rsidRPr="0015382F" w:rsidRDefault="00A23B17" w:rsidP="002E28AB">
      <w:pPr>
        <w:pStyle w:val="TableNo"/>
      </w:pPr>
      <w:bookmarkStart w:id="66" w:name="lt_pId106"/>
      <w:r w:rsidRPr="0015382F">
        <w:t>Cuadro 2</w:t>
      </w:r>
      <w:bookmarkEnd w:id="66"/>
    </w:p>
    <w:p w14:paraId="2963BEEF" w14:textId="402BEF1D" w:rsidR="00845AC6" w:rsidRPr="0015382F" w:rsidRDefault="00845AC6" w:rsidP="00845AC6">
      <w:pPr>
        <w:pStyle w:val="Heading1"/>
        <w:spacing w:before="60" w:after="60"/>
      </w:pPr>
      <w:bookmarkStart w:id="67" w:name="lt_pId108"/>
      <w:r w:rsidRPr="0015382F">
        <w:drawing>
          <wp:inline distT="0" distB="0" distL="0" distR="0" wp14:anchorId="5D8F3718" wp14:editId="46D16C7D">
            <wp:extent cx="6297502" cy="7300570"/>
            <wp:effectExtent l="0" t="0" r="825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03521" cy="7307548"/>
                    </a:xfrm>
                    <a:prstGeom prst="rect">
                      <a:avLst/>
                    </a:prstGeom>
                    <a:noFill/>
                    <a:ln>
                      <a:noFill/>
                    </a:ln>
                  </pic:spPr>
                </pic:pic>
              </a:graphicData>
            </a:graphic>
          </wp:inline>
        </w:drawing>
      </w:r>
    </w:p>
    <w:p w14:paraId="362B05FF" w14:textId="639DA031" w:rsidR="00A23B17" w:rsidRPr="0015382F" w:rsidRDefault="003D2C2E" w:rsidP="003D2C2E">
      <w:pPr>
        <w:pStyle w:val="Heading1"/>
      </w:pPr>
      <w:r w:rsidRPr="0015382F">
        <w:t>6</w:t>
      </w:r>
      <w:r w:rsidRPr="0015382F">
        <w:tab/>
      </w:r>
      <w:r w:rsidR="00A23B17" w:rsidRPr="0015382F">
        <w:t>Presentación basada en los resultados del p</w:t>
      </w:r>
      <w:r w:rsidRPr="0015382F">
        <w:t>royecto de Plan Financiero para </w:t>
      </w:r>
      <w:r w:rsidR="00A23B17" w:rsidRPr="0015382F">
        <w:t>2020</w:t>
      </w:r>
      <w:r w:rsidR="00A23B17" w:rsidRPr="0015382F">
        <w:noBreakHyphen/>
        <w:t>2023</w:t>
      </w:r>
      <w:bookmarkEnd w:id="67"/>
    </w:p>
    <w:p w14:paraId="14F2C212" w14:textId="77777777" w:rsidR="00A23B17" w:rsidRPr="0015382F" w:rsidRDefault="00A23B17" w:rsidP="003D2C2E">
      <w:pPr>
        <w:tabs>
          <w:tab w:val="left" w:pos="851"/>
          <w:tab w:val="right" w:leader="dot" w:pos="8789"/>
        </w:tabs>
        <w:snapToGrid w:val="0"/>
      </w:pPr>
      <w:r w:rsidRPr="0015382F">
        <w:t>6.1</w:t>
      </w:r>
      <w:r w:rsidRPr="0015382F">
        <w:tab/>
      </w:r>
      <w:bookmarkStart w:id="68" w:name="lt_pId110"/>
      <w:r w:rsidRPr="0015382F">
        <w:t>La presente sección contiene los detalles de los costes totales desglosados por meta. La estimación de esos costes se basa en el método de atribución de costes aprobado por el Consejo en su Acuerdo 535 (MOD)</w:t>
      </w:r>
      <w:bookmarkStart w:id="69" w:name="lt_pId111"/>
      <w:bookmarkEnd w:id="68"/>
      <w:r w:rsidRPr="0015382F">
        <w:t>.</w:t>
      </w:r>
      <w:bookmarkEnd w:id="69"/>
    </w:p>
    <w:p w14:paraId="24587736" w14:textId="77777777" w:rsidR="00A23B17" w:rsidRPr="0015382F" w:rsidRDefault="00A23B17" w:rsidP="00957ABD">
      <w:pPr>
        <w:tabs>
          <w:tab w:val="left" w:pos="851"/>
          <w:tab w:val="right" w:leader="dot" w:pos="8789"/>
        </w:tabs>
        <w:snapToGrid w:val="0"/>
      </w:pPr>
      <w:r w:rsidRPr="0015382F">
        <w:t>6.2</w:t>
      </w:r>
      <w:r w:rsidRPr="0015382F">
        <w:tab/>
      </w:r>
      <w:bookmarkStart w:id="70" w:name="lt_pId113"/>
      <w:r w:rsidRPr="0015382F">
        <w:t>Estas cifras todavía son provisionales y preliminares.</w:t>
      </w:r>
      <w:bookmarkEnd w:id="70"/>
    </w:p>
    <w:p w14:paraId="2C9FFAE8" w14:textId="54B5C386" w:rsidR="00A23B17" w:rsidRPr="0015382F" w:rsidRDefault="00A23B17" w:rsidP="00575A87">
      <w:pPr>
        <w:tabs>
          <w:tab w:val="left" w:pos="851"/>
          <w:tab w:val="right" w:leader="dot" w:pos="8789"/>
        </w:tabs>
        <w:snapToGrid w:val="0"/>
      </w:pPr>
      <w:r w:rsidRPr="0015382F">
        <w:t>6.3</w:t>
      </w:r>
      <w:r w:rsidRPr="0015382F">
        <w:tab/>
      </w:r>
      <w:bookmarkStart w:id="71" w:name="lt_pId115"/>
      <w:r w:rsidRPr="0015382F">
        <w:t xml:space="preserve">En esta etapa de la preparación del proyecto de Plan Estratégico para 2020-2023 y en comparación con el plan actual para 2016-2019, se propone separar la actual cuarta meta </w:t>
      </w:r>
      <w:r w:rsidR="005D4924" w:rsidRPr="0015382F">
        <w:t>"</w:t>
      </w:r>
      <w:r w:rsidRPr="0015382F">
        <w:t>Innovación y asociación</w:t>
      </w:r>
      <w:r w:rsidR="005D4924" w:rsidRPr="0015382F">
        <w:t>"</w:t>
      </w:r>
      <w:r w:rsidRPr="0015382F">
        <w:t xml:space="preserve"> en dos nuevas metas:</w:t>
      </w:r>
      <w:bookmarkEnd w:id="71"/>
    </w:p>
    <w:p w14:paraId="10695CF1" w14:textId="41281255" w:rsidR="00A23B17" w:rsidRPr="0015382F" w:rsidRDefault="00A23B17" w:rsidP="00541D8E">
      <w:pPr>
        <w:pStyle w:val="enumlev2"/>
      </w:pPr>
      <w:r w:rsidRPr="0015382F">
        <w:t>•</w:t>
      </w:r>
      <w:r w:rsidRPr="0015382F">
        <w:tab/>
      </w:r>
      <w:bookmarkStart w:id="72" w:name="lt_pId117"/>
      <w:r w:rsidRPr="0015382F">
        <w:t>Meta 4: Innovación</w:t>
      </w:r>
      <w:bookmarkEnd w:id="72"/>
      <w:r w:rsidR="00541D8E" w:rsidRPr="0015382F">
        <w:t>.</w:t>
      </w:r>
    </w:p>
    <w:p w14:paraId="351F480B" w14:textId="77777777" w:rsidR="00A23B17" w:rsidRPr="0015382F" w:rsidRDefault="00A23B17" w:rsidP="00541D8E">
      <w:pPr>
        <w:pStyle w:val="enumlev2"/>
      </w:pPr>
      <w:r w:rsidRPr="0015382F">
        <w:t>•</w:t>
      </w:r>
      <w:r w:rsidRPr="0015382F">
        <w:tab/>
      </w:r>
      <w:bookmarkStart w:id="73" w:name="lt_pId119"/>
      <w:r w:rsidRPr="0015382F">
        <w:t>Meta 5: Asociación.</w:t>
      </w:r>
      <w:bookmarkEnd w:id="73"/>
    </w:p>
    <w:p w14:paraId="1911704D" w14:textId="77777777" w:rsidR="00A23B17" w:rsidRPr="0015382F" w:rsidRDefault="00A23B17" w:rsidP="007815A0">
      <w:pPr>
        <w:tabs>
          <w:tab w:val="left" w:pos="851"/>
          <w:tab w:val="right" w:leader="dot" w:pos="8789"/>
        </w:tabs>
        <w:snapToGrid w:val="0"/>
      </w:pPr>
      <w:r w:rsidRPr="0015382F">
        <w:t>6.4</w:t>
      </w:r>
      <w:r w:rsidRPr="0015382F">
        <w:tab/>
      </w:r>
      <w:bookmarkStart w:id="74" w:name="lt_pId121"/>
      <w:r w:rsidRPr="0015382F">
        <w:t>El Gráfico 1 y el Cuadro 3 son una presentación basada en los resultados del proyecto de Plan Financiero para 2020-2023.</w:t>
      </w:r>
      <w:bookmarkEnd w:id="74"/>
    </w:p>
    <w:p w14:paraId="330304A3" w14:textId="77777777" w:rsidR="00A23B17" w:rsidRPr="0015382F" w:rsidRDefault="00A23B17" w:rsidP="00DD64BD">
      <w:pPr>
        <w:pStyle w:val="FigureNo"/>
      </w:pPr>
      <w:bookmarkStart w:id="75" w:name="lt_pId122"/>
      <w:r w:rsidRPr="0015382F">
        <w:t>Gráfico 1</w:t>
      </w:r>
      <w:bookmarkEnd w:id="75"/>
    </w:p>
    <w:p w14:paraId="43617BE4" w14:textId="77777777" w:rsidR="00E9005C" w:rsidRPr="0015382F" w:rsidRDefault="00E9005C" w:rsidP="00E9005C">
      <w:pPr>
        <w:pStyle w:val="Figuretitle"/>
      </w:pPr>
      <w:r w:rsidRPr="0015382F">
        <w:rPr>
          <w:rFonts w:eastAsiaTheme="minorEastAsia"/>
        </w:rPr>
        <w:t>Presentación basada en los resultados</w:t>
      </w:r>
      <w:r w:rsidRPr="0015382F">
        <w:rPr>
          <w:rFonts w:eastAsiaTheme="minorEastAsia"/>
        </w:rPr>
        <w:br/>
        <w:t>Proyecto de Plan Financiero para 2020-2023</w:t>
      </w:r>
    </w:p>
    <w:p w14:paraId="57C1134C" w14:textId="2A7982E0" w:rsidR="00430C29" w:rsidRPr="0015382F" w:rsidRDefault="00430C29" w:rsidP="00430C29">
      <w:pPr>
        <w:spacing w:after="160" w:line="259" w:lineRule="auto"/>
        <w:jc w:val="center"/>
        <w:rPr>
          <w:b/>
        </w:rPr>
      </w:pPr>
      <w:r w:rsidRPr="0015382F">
        <w:rPr>
          <w:b/>
        </w:rPr>
        <w:drawing>
          <wp:inline distT="0" distB="0" distL="0" distR="0" wp14:anchorId="59978E98" wp14:editId="11045111">
            <wp:extent cx="4879238" cy="3513252"/>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29E855F" w14:textId="77777777" w:rsidR="00430C29" w:rsidRPr="0015382F" w:rsidRDefault="00430C29" w:rsidP="00430C29">
      <w:pPr>
        <w:spacing w:after="160" w:line="259" w:lineRule="auto"/>
        <w:rPr>
          <w:b/>
        </w:rPr>
      </w:pPr>
    </w:p>
    <w:p w14:paraId="0D05139D" w14:textId="77777777" w:rsidR="00A23B17" w:rsidRPr="0015382F" w:rsidRDefault="00A23B17" w:rsidP="00A23B17">
      <w:pPr>
        <w:snapToGrid w:val="0"/>
        <w:jc w:val="center"/>
        <w:rPr>
          <w:b/>
        </w:rPr>
        <w:sectPr w:rsidR="00A23B17" w:rsidRPr="0015382F" w:rsidSect="001A5BB7">
          <w:headerReference w:type="default" r:id="rId12"/>
          <w:footerReference w:type="default" r:id="rId13"/>
          <w:footerReference w:type="first" r:id="rId14"/>
          <w:pgSz w:w="12240" w:h="15840"/>
          <w:pgMar w:top="1440" w:right="1440" w:bottom="1440" w:left="1440" w:header="708" w:footer="708" w:gutter="0"/>
          <w:cols w:space="708"/>
          <w:titlePg/>
          <w:docGrid w:linePitch="360"/>
        </w:sectPr>
      </w:pPr>
    </w:p>
    <w:p w14:paraId="4AA97C6C" w14:textId="77777777" w:rsidR="00A23B17" w:rsidRPr="0015382F" w:rsidRDefault="00A23B17" w:rsidP="002231B8">
      <w:pPr>
        <w:pStyle w:val="TableNo"/>
      </w:pPr>
      <w:bookmarkStart w:id="76" w:name="lt_pId124"/>
      <w:r w:rsidRPr="0015382F">
        <w:t>Cuadro 3</w:t>
      </w:r>
      <w:bookmarkEnd w:id="76"/>
    </w:p>
    <w:p w14:paraId="28A9D32D" w14:textId="768DFC98" w:rsidR="00A85BE8" w:rsidRPr="0015382F" w:rsidRDefault="00A85BE8" w:rsidP="0032202E">
      <w:pPr>
        <w:pStyle w:val="Reasons"/>
      </w:pPr>
      <w:r w:rsidRPr="0015382F">
        <w:drawing>
          <wp:inline distT="0" distB="0" distL="0" distR="0" wp14:anchorId="5324AF68" wp14:editId="304DD9D7">
            <wp:extent cx="9124217" cy="2604211"/>
            <wp:effectExtent l="0" t="0" r="1270" b="571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150377" cy="2611677"/>
                    </a:xfrm>
                    <a:prstGeom prst="rect">
                      <a:avLst/>
                    </a:prstGeom>
                    <a:noFill/>
                    <a:ln>
                      <a:noFill/>
                    </a:ln>
                  </pic:spPr>
                </pic:pic>
              </a:graphicData>
            </a:graphic>
          </wp:inline>
        </w:drawing>
      </w:r>
    </w:p>
    <w:p w14:paraId="35AADA48" w14:textId="77777777" w:rsidR="00A85BE8" w:rsidRPr="0015382F" w:rsidRDefault="00A85BE8" w:rsidP="0032202E">
      <w:pPr>
        <w:pStyle w:val="Reasons"/>
      </w:pPr>
    </w:p>
    <w:p w14:paraId="7684D970" w14:textId="77777777" w:rsidR="00A85BE8" w:rsidRPr="0015382F" w:rsidRDefault="00A85BE8">
      <w:pPr>
        <w:jc w:val="center"/>
      </w:pPr>
      <w:r w:rsidRPr="0015382F">
        <w:t>______________</w:t>
      </w:r>
    </w:p>
    <w:sectPr w:rsidR="00A85BE8" w:rsidRPr="0015382F" w:rsidSect="00AC2C2B">
      <w:headerReference w:type="default" r:id="rId16"/>
      <w:footerReference w:type="default" r:id="rId17"/>
      <w:headerReference w:type="first" r:id="rId18"/>
      <w:footerReference w:type="first" r:id="rId19"/>
      <w:pgSz w:w="16834" w:h="11907" w:orient="landscape"/>
      <w:pgMar w:top="1134" w:right="1418" w:bottom="1134" w:left="1418" w:header="720" w:footer="720" w:gutter="0"/>
      <w:paperSrc w:first="15" w:other="15"/>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A901FC" w14:textId="77777777" w:rsidR="00EC6EB1" w:rsidRDefault="00EC6EB1">
      <w:r>
        <w:separator/>
      </w:r>
    </w:p>
  </w:endnote>
  <w:endnote w:type="continuationSeparator" w:id="0">
    <w:p w14:paraId="12133B73" w14:textId="77777777" w:rsidR="00EC6EB1" w:rsidRDefault="00EC6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548998" w14:textId="77777777" w:rsidR="00A23B17" w:rsidRDefault="00A23B17" w:rsidP="00A23B17">
    <w:pPr>
      <w:pStyle w:val="Footer"/>
    </w:pPr>
    <w:r>
      <w:rPr>
        <w:noProof w:val="0"/>
        <w:sz w:val="24"/>
      </w:rPr>
      <w:fldChar w:fldCharType="begin"/>
    </w:r>
    <w:r>
      <w:instrText xml:space="preserve"> FILENAME \p  \* MERGEFORMAT </w:instrText>
    </w:r>
    <w:r>
      <w:rPr>
        <w:noProof w:val="0"/>
        <w:sz w:val="24"/>
      </w:rPr>
      <w:fldChar w:fldCharType="separate"/>
    </w:r>
    <w:r>
      <w:t>P:\ESP\SG\CONSEIL\CWG-SFP\CWG-SFP4\000\010S.docx</w:t>
    </w:r>
    <w:r>
      <w:fldChar w:fldCharType="end"/>
    </w:r>
    <w:r>
      <w:t xml:space="preserve"> (433977)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140295" w14:textId="77777777" w:rsidR="00A23B17" w:rsidRDefault="00A23B17" w:rsidP="00A23B17">
    <w:pPr>
      <w:spacing w:after="120"/>
      <w:jc w:val="center"/>
    </w:pPr>
    <w:r>
      <w:t xml:space="preserve">• </w:t>
    </w:r>
    <w:hyperlink r:id="rId1" w:history="1">
      <w:r>
        <w:rPr>
          <w:rStyle w:val="Hyperlink"/>
        </w:rPr>
        <w:t>http://www.itu.int/council</w:t>
      </w:r>
    </w:hyperlink>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9A8264" w14:textId="6384A8C0" w:rsidR="00AC2944" w:rsidRPr="00A5076C" w:rsidRDefault="00AC2944" w:rsidP="00AC2944">
    <w:pPr>
      <w:pStyle w:val="Footer"/>
      <w:rPr>
        <w:lang w:val="en-US"/>
      </w:rPr>
    </w:pPr>
    <w:r w:rsidRPr="00AC2944">
      <w:rPr>
        <w:lang w:val="en-US"/>
      </w:rPr>
      <w:fldChar w:fldCharType="begin"/>
    </w:r>
    <w:r w:rsidRPr="00AC2944">
      <w:rPr>
        <w:lang w:val="en-US"/>
      </w:rPr>
      <w:instrText xml:space="preserve"> FILENAME \p  \* MERGEFORMAT </w:instrText>
    </w:r>
    <w:r w:rsidRPr="00AC2944">
      <w:rPr>
        <w:lang w:val="en-US"/>
      </w:rPr>
      <w:fldChar w:fldCharType="separate"/>
    </w:r>
    <w:r w:rsidR="00950B42">
      <w:rPr>
        <w:lang w:val="en-US"/>
      </w:rPr>
      <w:t>P:\ESP\SG\CONSEIL\CWG-SFP\CWG-SFP4\000\009S.docx</w:t>
    </w:r>
    <w:r w:rsidRPr="00AC2944">
      <w:rPr>
        <w:lang w:val="en-US"/>
      </w:rPr>
      <w:fldChar w:fldCharType="end"/>
    </w:r>
    <w:r>
      <w:rPr>
        <w:lang w:val="en-US"/>
      </w:rPr>
      <w:t xml:space="preserve"> (433653</w:t>
    </w:r>
    <w:r w:rsidRPr="00AC2944">
      <w:rPr>
        <w:lang w:val="en-US"/>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72707A" w14:textId="77777777" w:rsidR="00AC2C2B" w:rsidRDefault="00AC2C2B" w:rsidP="00AC2C2B">
    <w:pPr>
      <w:pStyle w:val="Footer"/>
    </w:pPr>
    <w:r>
      <w:rPr>
        <w:noProof w:val="0"/>
        <w:sz w:val="24"/>
      </w:rPr>
      <w:fldChar w:fldCharType="begin"/>
    </w:r>
    <w:r>
      <w:instrText xml:space="preserve"> FILENAME \p  \* MERGEFORMAT </w:instrText>
    </w:r>
    <w:r>
      <w:rPr>
        <w:noProof w:val="0"/>
        <w:sz w:val="24"/>
      </w:rPr>
      <w:fldChar w:fldCharType="separate"/>
    </w:r>
    <w:r>
      <w:t>P:\ESP\SG\CONSEIL\CWG-SFP\CWG-SFP4\000\010S.docx</w:t>
    </w:r>
    <w:r>
      <w:fldChar w:fldCharType="end"/>
    </w:r>
    <w:r>
      <w:t xml:space="preserve"> (433977)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2183EF" w14:textId="77777777" w:rsidR="00EC6EB1" w:rsidRDefault="00EC6EB1">
      <w:r>
        <w:t>____________________</w:t>
      </w:r>
    </w:p>
  </w:footnote>
  <w:footnote w:type="continuationSeparator" w:id="0">
    <w:p w14:paraId="52AA86E5" w14:textId="77777777" w:rsidR="00EC6EB1" w:rsidRDefault="00EC6E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48324A" w14:textId="77777777" w:rsidR="00A23B17" w:rsidRDefault="00A23B17" w:rsidP="00A23B17">
    <w:pPr>
      <w:pStyle w:val="Header"/>
    </w:pPr>
    <w:r>
      <w:fldChar w:fldCharType="begin"/>
    </w:r>
    <w:r>
      <w:instrText>PAGE</w:instrText>
    </w:r>
    <w:r>
      <w:fldChar w:fldCharType="separate"/>
    </w:r>
    <w:r w:rsidR="0015382F">
      <w:rPr>
        <w:noProof/>
      </w:rPr>
      <w:t>5</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ED14B2" w14:textId="77777777" w:rsidR="00EC6EB1" w:rsidRDefault="00EC6EB1" w:rsidP="007657F0">
    <w:pPr>
      <w:pStyle w:val="Header"/>
    </w:pPr>
    <w:r>
      <w:fldChar w:fldCharType="begin"/>
    </w:r>
    <w:r>
      <w:instrText>PAGE</w:instrText>
    </w:r>
    <w:r>
      <w:fldChar w:fldCharType="separate"/>
    </w:r>
    <w:r w:rsidR="00A23B17">
      <w:rPr>
        <w:noProof/>
      </w:rPr>
      <w:t>4</w:t>
    </w:r>
    <w:r>
      <w:rPr>
        <w:noProof/>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9637F9" w14:textId="77777777" w:rsidR="0034086D" w:rsidRDefault="0034086D" w:rsidP="00AC2C2B">
    <w:pPr>
      <w:pStyle w:val="Header"/>
    </w:pPr>
    <w:r>
      <w:fldChar w:fldCharType="begin"/>
    </w:r>
    <w:r>
      <w:instrText>PAGE</w:instrText>
    </w:r>
    <w:r>
      <w:fldChar w:fldCharType="separate"/>
    </w:r>
    <w:r w:rsidR="0015382F">
      <w:rPr>
        <w:noProof/>
      </w:rPr>
      <w:t>8</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B1CFF"/>
    <w:multiLevelType w:val="hybridMultilevel"/>
    <w:tmpl w:val="84EA8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3F60DF"/>
    <w:multiLevelType w:val="hybridMultilevel"/>
    <w:tmpl w:val="BDF294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E700FEC"/>
    <w:multiLevelType w:val="hybridMultilevel"/>
    <w:tmpl w:val="41360916"/>
    <w:lvl w:ilvl="0" w:tplc="6F34C1E0">
      <w:numFmt w:val="bullet"/>
      <w:lvlText w:val="•"/>
      <w:lvlJc w:val="left"/>
      <w:pPr>
        <w:ind w:left="1268" w:hanging="984"/>
      </w:pPr>
      <w:rPr>
        <w:rFonts w:ascii="Calibri" w:eastAsiaTheme="minorEastAsia" w:hAnsi="Calibri" w:cstheme="minorBidi" w:hint="default"/>
      </w:rPr>
    </w:lvl>
    <w:lvl w:ilvl="1" w:tplc="3E9C49BC" w:tentative="1">
      <w:start w:val="1"/>
      <w:numFmt w:val="bullet"/>
      <w:lvlText w:val="o"/>
      <w:lvlJc w:val="left"/>
      <w:pPr>
        <w:ind w:left="1364" w:hanging="360"/>
      </w:pPr>
      <w:rPr>
        <w:rFonts w:ascii="Courier New" w:hAnsi="Courier New" w:cs="Courier New" w:hint="default"/>
      </w:rPr>
    </w:lvl>
    <w:lvl w:ilvl="2" w:tplc="37727352" w:tentative="1">
      <w:start w:val="1"/>
      <w:numFmt w:val="bullet"/>
      <w:lvlText w:val=""/>
      <w:lvlJc w:val="left"/>
      <w:pPr>
        <w:ind w:left="2084" w:hanging="360"/>
      </w:pPr>
      <w:rPr>
        <w:rFonts w:ascii="Wingdings" w:hAnsi="Wingdings" w:hint="default"/>
      </w:rPr>
    </w:lvl>
    <w:lvl w:ilvl="3" w:tplc="97F87AEE" w:tentative="1">
      <w:start w:val="1"/>
      <w:numFmt w:val="bullet"/>
      <w:lvlText w:val=""/>
      <w:lvlJc w:val="left"/>
      <w:pPr>
        <w:ind w:left="2804" w:hanging="360"/>
      </w:pPr>
      <w:rPr>
        <w:rFonts w:ascii="Symbol" w:hAnsi="Symbol" w:hint="default"/>
      </w:rPr>
    </w:lvl>
    <w:lvl w:ilvl="4" w:tplc="5CBCEABA" w:tentative="1">
      <w:start w:val="1"/>
      <w:numFmt w:val="bullet"/>
      <w:lvlText w:val="o"/>
      <w:lvlJc w:val="left"/>
      <w:pPr>
        <w:ind w:left="3524" w:hanging="360"/>
      </w:pPr>
      <w:rPr>
        <w:rFonts w:ascii="Courier New" w:hAnsi="Courier New" w:cs="Courier New" w:hint="default"/>
      </w:rPr>
    </w:lvl>
    <w:lvl w:ilvl="5" w:tplc="8ECC8C2A" w:tentative="1">
      <w:start w:val="1"/>
      <w:numFmt w:val="bullet"/>
      <w:lvlText w:val=""/>
      <w:lvlJc w:val="left"/>
      <w:pPr>
        <w:ind w:left="4244" w:hanging="360"/>
      </w:pPr>
      <w:rPr>
        <w:rFonts w:ascii="Wingdings" w:hAnsi="Wingdings" w:hint="default"/>
      </w:rPr>
    </w:lvl>
    <w:lvl w:ilvl="6" w:tplc="9EC6C1C2" w:tentative="1">
      <w:start w:val="1"/>
      <w:numFmt w:val="bullet"/>
      <w:lvlText w:val=""/>
      <w:lvlJc w:val="left"/>
      <w:pPr>
        <w:ind w:left="4964" w:hanging="360"/>
      </w:pPr>
      <w:rPr>
        <w:rFonts w:ascii="Symbol" w:hAnsi="Symbol" w:hint="default"/>
      </w:rPr>
    </w:lvl>
    <w:lvl w:ilvl="7" w:tplc="D7EE8636" w:tentative="1">
      <w:start w:val="1"/>
      <w:numFmt w:val="bullet"/>
      <w:lvlText w:val="o"/>
      <w:lvlJc w:val="left"/>
      <w:pPr>
        <w:ind w:left="5684" w:hanging="360"/>
      </w:pPr>
      <w:rPr>
        <w:rFonts w:ascii="Courier New" w:hAnsi="Courier New" w:cs="Courier New" w:hint="default"/>
      </w:rPr>
    </w:lvl>
    <w:lvl w:ilvl="8" w:tplc="59BA91C2" w:tentative="1">
      <w:start w:val="1"/>
      <w:numFmt w:val="bullet"/>
      <w:lvlText w:val=""/>
      <w:lvlJc w:val="left"/>
      <w:pPr>
        <w:ind w:left="6404" w:hanging="360"/>
      </w:pPr>
      <w:rPr>
        <w:rFonts w:ascii="Wingdings" w:hAnsi="Wingdings" w:hint="default"/>
      </w:rPr>
    </w:lvl>
  </w:abstractNum>
  <w:abstractNum w:abstractNumId="3" w15:restartNumberingAfterBreak="0">
    <w:nsid w:val="4C686B86"/>
    <w:multiLevelType w:val="hybridMultilevel"/>
    <w:tmpl w:val="A738A4DA"/>
    <w:lvl w:ilvl="0" w:tplc="D54C8702">
      <w:start w:val="1"/>
      <w:numFmt w:val="bullet"/>
      <w:lvlText w:val=""/>
      <w:lvlJc w:val="left"/>
      <w:pPr>
        <w:ind w:left="720" w:hanging="360"/>
      </w:pPr>
      <w:rPr>
        <w:rFonts w:ascii="Symbol" w:hAnsi="Symbol" w:hint="default"/>
      </w:rPr>
    </w:lvl>
    <w:lvl w:ilvl="1" w:tplc="C142A302" w:tentative="1">
      <w:start w:val="1"/>
      <w:numFmt w:val="bullet"/>
      <w:lvlText w:val="o"/>
      <w:lvlJc w:val="left"/>
      <w:pPr>
        <w:ind w:left="1440" w:hanging="360"/>
      </w:pPr>
      <w:rPr>
        <w:rFonts w:ascii="Courier New" w:hAnsi="Courier New" w:cs="Courier New" w:hint="default"/>
      </w:rPr>
    </w:lvl>
    <w:lvl w:ilvl="2" w:tplc="29A875EC" w:tentative="1">
      <w:start w:val="1"/>
      <w:numFmt w:val="bullet"/>
      <w:lvlText w:val=""/>
      <w:lvlJc w:val="left"/>
      <w:pPr>
        <w:ind w:left="2160" w:hanging="360"/>
      </w:pPr>
      <w:rPr>
        <w:rFonts w:ascii="Wingdings" w:hAnsi="Wingdings" w:hint="default"/>
      </w:rPr>
    </w:lvl>
    <w:lvl w:ilvl="3" w:tplc="5CA0DAB2" w:tentative="1">
      <w:start w:val="1"/>
      <w:numFmt w:val="bullet"/>
      <w:lvlText w:val=""/>
      <w:lvlJc w:val="left"/>
      <w:pPr>
        <w:ind w:left="2880" w:hanging="360"/>
      </w:pPr>
      <w:rPr>
        <w:rFonts w:ascii="Symbol" w:hAnsi="Symbol" w:hint="default"/>
      </w:rPr>
    </w:lvl>
    <w:lvl w:ilvl="4" w:tplc="6448BEEE" w:tentative="1">
      <w:start w:val="1"/>
      <w:numFmt w:val="bullet"/>
      <w:lvlText w:val="o"/>
      <w:lvlJc w:val="left"/>
      <w:pPr>
        <w:ind w:left="3600" w:hanging="360"/>
      </w:pPr>
      <w:rPr>
        <w:rFonts w:ascii="Courier New" w:hAnsi="Courier New" w:cs="Courier New" w:hint="default"/>
      </w:rPr>
    </w:lvl>
    <w:lvl w:ilvl="5" w:tplc="22A45ED8" w:tentative="1">
      <w:start w:val="1"/>
      <w:numFmt w:val="bullet"/>
      <w:lvlText w:val=""/>
      <w:lvlJc w:val="left"/>
      <w:pPr>
        <w:ind w:left="4320" w:hanging="360"/>
      </w:pPr>
      <w:rPr>
        <w:rFonts w:ascii="Wingdings" w:hAnsi="Wingdings" w:hint="default"/>
      </w:rPr>
    </w:lvl>
    <w:lvl w:ilvl="6" w:tplc="1AB02D7C" w:tentative="1">
      <w:start w:val="1"/>
      <w:numFmt w:val="bullet"/>
      <w:lvlText w:val=""/>
      <w:lvlJc w:val="left"/>
      <w:pPr>
        <w:ind w:left="5040" w:hanging="360"/>
      </w:pPr>
      <w:rPr>
        <w:rFonts w:ascii="Symbol" w:hAnsi="Symbol" w:hint="default"/>
      </w:rPr>
    </w:lvl>
    <w:lvl w:ilvl="7" w:tplc="48986654" w:tentative="1">
      <w:start w:val="1"/>
      <w:numFmt w:val="bullet"/>
      <w:lvlText w:val="o"/>
      <w:lvlJc w:val="left"/>
      <w:pPr>
        <w:ind w:left="5760" w:hanging="360"/>
      </w:pPr>
      <w:rPr>
        <w:rFonts w:ascii="Courier New" w:hAnsi="Courier New" w:cs="Courier New" w:hint="default"/>
      </w:rPr>
    </w:lvl>
    <w:lvl w:ilvl="8" w:tplc="14B6FD80" w:tentative="1">
      <w:start w:val="1"/>
      <w:numFmt w:val="bullet"/>
      <w:lvlText w:val=""/>
      <w:lvlJc w:val="left"/>
      <w:pPr>
        <w:ind w:left="6480" w:hanging="360"/>
      </w:pPr>
      <w:rPr>
        <w:rFonts w:ascii="Wingdings" w:hAnsi="Wingdings" w:hint="default"/>
      </w:rPr>
    </w:lvl>
  </w:abstractNum>
  <w:abstractNum w:abstractNumId="4" w15:restartNumberingAfterBreak="0">
    <w:nsid w:val="6965078C"/>
    <w:multiLevelType w:val="hybridMultilevel"/>
    <w:tmpl w:val="E82ED62C"/>
    <w:lvl w:ilvl="0" w:tplc="9B1A9F6A">
      <w:start w:val="1"/>
      <w:numFmt w:val="decimal"/>
      <w:lvlText w:val="%1."/>
      <w:lvlJc w:val="left"/>
      <w:pPr>
        <w:ind w:left="720" w:hanging="360"/>
      </w:pPr>
      <w:rPr>
        <w:rFonts w:hint="default"/>
      </w:rPr>
    </w:lvl>
    <w:lvl w:ilvl="1" w:tplc="261EC63A">
      <w:start w:val="1"/>
      <w:numFmt w:val="lowerLetter"/>
      <w:lvlText w:val="%2."/>
      <w:lvlJc w:val="left"/>
      <w:pPr>
        <w:ind w:left="1440" w:hanging="360"/>
      </w:pPr>
    </w:lvl>
    <w:lvl w:ilvl="2" w:tplc="54606E6A" w:tentative="1">
      <w:start w:val="1"/>
      <w:numFmt w:val="lowerRoman"/>
      <w:lvlText w:val="%3."/>
      <w:lvlJc w:val="right"/>
      <w:pPr>
        <w:ind w:left="2160" w:hanging="180"/>
      </w:pPr>
    </w:lvl>
    <w:lvl w:ilvl="3" w:tplc="6E82EEB2" w:tentative="1">
      <w:start w:val="1"/>
      <w:numFmt w:val="decimal"/>
      <w:lvlText w:val="%4."/>
      <w:lvlJc w:val="left"/>
      <w:pPr>
        <w:ind w:left="2880" w:hanging="360"/>
      </w:pPr>
    </w:lvl>
    <w:lvl w:ilvl="4" w:tplc="BBB6D822" w:tentative="1">
      <w:start w:val="1"/>
      <w:numFmt w:val="lowerLetter"/>
      <w:lvlText w:val="%5."/>
      <w:lvlJc w:val="left"/>
      <w:pPr>
        <w:ind w:left="3600" w:hanging="360"/>
      </w:pPr>
    </w:lvl>
    <w:lvl w:ilvl="5" w:tplc="179866A6" w:tentative="1">
      <w:start w:val="1"/>
      <w:numFmt w:val="lowerRoman"/>
      <w:lvlText w:val="%6."/>
      <w:lvlJc w:val="right"/>
      <w:pPr>
        <w:ind w:left="4320" w:hanging="180"/>
      </w:pPr>
    </w:lvl>
    <w:lvl w:ilvl="6" w:tplc="82AA37E2" w:tentative="1">
      <w:start w:val="1"/>
      <w:numFmt w:val="decimal"/>
      <w:lvlText w:val="%7."/>
      <w:lvlJc w:val="left"/>
      <w:pPr>
        <w:ind w:left="5040" w:hanging="360"/>
      </w:pPr>
    </w:lvl>
    <w:lvl w:ilvl="7" w:tplc="29FE3E2A" w:tentative="1">
      <w:start w:val="1"/>
      <w:numFmt w:val="lowerLetter"/>
      <w:lvlText w:val="%8."/>
      <w:lvlJc w:val="left"/>
      <w:pPr>
        <w:ind w:left="5760" w:hanging="360"/>
      </w:pPr>
    </w:lvl>
    <w:lvl w:ilvl="8" w:tplc="5DD41C42"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3686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CAD"/>
    <w:rsid w:val="00000F46"/>
    <w:rsid w:val="0005019B"/>
    <w:rsid w:val="00057D32"/>
    <w:rsid w:val="00062F57"/>
    <w:rsid w:val="00077888"/>
    <w:rsid w:val="00081B9E"/>
    <w:rsid w:val="00093EEB"/>
    <w:rsid w:val="000B0D00"/>
    <w:rsid w:val="000B30F0"/>
    <w:rsid w:val="000B7C15"/>
    <w:rsid w:val="000D1D0F"/>
    <w:rsid w:val="000E207D"/>
    <w:rsid w:val="000E6D91"/>
    <w:rsid w:val="000F209A"/>
    <w:rsid w:val="000F313E"/>
    <w:rsid w:val="000F5290"/>
    <w:rsid w:val="0010165C"/>
    <w:rsid w:val="00107BE1"/>
    <w:rsid w:val="00112911"/>
    <w:rsid w:val="0011613D"/>
    <w:rsid w:val="001179D6"/>
    <w:rsid w:val="0013034A"/>
    <w:rsid w:val="00134426"/>
    <w:rsid w:val="00136637"/>
    <w:rsid w:val="00146BFB"/>
    <w:rsid w:val="0015382F"/>
    <w:rsid w:val="00171B3F"/>
    <w:rsid w:val="001B31C4"/>
    <w:rsid w:val="001B7544"/>
    <w:rsid w:val="001D30AB"/>
    <w:rsid w:val="001D5E10"/>
    <w:rsid w:val="001D6ACD"/>
    <w:rsid w:val="001F14A2"/>
    <w:rsid w:val="001F3CFA"/>
    <w:rsid w:val="001F5904"/>
    <w:rsid w:val="00200510"/>
    <w:rsid w:val="002231B8"/>
    <w:rsid w:val="00252214"/>
    <w:rsid w:val="00267C82"/>
    <w:rsid w:val="00270B45"/>
    <w:rsid w:val="002801AA"/>
    <w:rsid w:val="00280B0A"/>
    <w:rsid w:val="00286E88"/>
    <w:rsid w:val="002A7B9E"/>
    <w:rsid w:val="002C0763"/>
    <w:rsid w:val="002C4676"/>
    <w:rsid w:val="002C70B0"/>
    <w:rsid w:val="002D08D8"/>
    <w:rsid w:val="002E28AB"/>
    <w:rsid w:val="002F2E7F"/>
    <w:rsid w:val="002F3CC4"/>
    <w:rsid w:val="00310377"/>
    <w:rsid w:val="00312E15"/>
    <w:rsid w:val="00316C95"/>
    <w:rsid w:val="00325A4B"/>
    <w:rsid w:val="00332335"/>
    <w:rsid w:val="0033543F"/>
    <w:rsid w:val="0033660F"/>
    <w:rsid w:val="0034086D"/>
    <w:rsid w:val="003505D7"/>
    <w:rsid w:val="00366F1F"/>
    <w:rsid w:val="00382130"/>
    <w:rsid w:val="00387990"/>
    <w:rsid w:val="003A4045"/>
    <w:rsid w:val="003B69D0"/>
    <w:rsid w:val="003D2C2E"/>
    <w:rsid w:val="003E236F"/>
    <w:rsid w:val="003F1E15"/>
    <w:rsid w:val="004002A1"/>
    <w:rsid w:val="00406C31"/>
    <w:rsid w:val="004102BF"/>
    <w:rsid w:val="004115BA"/>
    <w:rsid w:val="00426705"/>
    <w:rsid w:val="00430C29"/>
    <w:rsid w:val="00431866"/>
    <w:rsid w:val="00431ED5"/>
    <w:rsid w:val="004320F1"/>
    <w:rsid w:val="00443AA6"/>
    <w:rsid w:val="00444532"/>
    <w:rsid w:val="004660AB"/>
    <w:rsid w:val="00483BC8"/>
    <w:rsid w:val="00491329"/>
    <w:rsid w:val="0049201B"/>
    <w:rsid w:val="004B2F4F"/>
    <w:rsid w:val="004C2B54"/>
    <w:rsid w:val="004C6309"/>
    <w:rsid w:val="004E20F7"/>
    <w:rsid w:val="004F3BD7"/>
    <w:rsid w:val="005065A5"/>
    <w:rsid w:val="00513630"/>
    <w:rsid w:val="00541D8E"/>
    <w:rsid w:val="00560125"/>
    <w:rsid w:val="00571B03"/>
    <w:rsid w:val="00575A87"/>
    <w:rsid w:val="00577353"/>
    <w:rsid w:val="00581B28"/>
    <w:rsid w:val="00585553"/>
    <w:rsid w:val="00585E6B"/>
    <w:rsid w:val="00591112"/>
    <w:rsid w:val="00593BAF"/>
    <w:rsid w:val="005A4DD7"/>
    <w:rsid w:val="005A7030"/>
    <w:rsid w:val="005B34D9"/>
    <w:rsid w:val="005B42B7"/>
    <w:rsid w:val="005D082A"/>
    <w:rsid w:val="005D0CCF"/>
    <w:rsid w:val="005D0D0A"/>
    <w:rsid w:val="005D4924"/>
    <w:rsid w:val="005D6C03"/>
    <w:rsid w:val="005F3BCB"/>
    <w:rsid w:val="005F410F"/>
    <w:rsid w:val="005F6F2B"/>
    <w:rsid w:val="0060149A"/>
    <w:rsid w:val="00601924"/>
    <w:rsid w:val="00610E21"/>
    <w:rsid w:val="0061201D"/>
    <w:rsid w:val="00637B5E"/>
    <w:rsid w:val="00637F60"/>
    <w:rsid w:val="006447EA"/>
    <w:rsid w:val="0064553E"/>
    <w:rsid w:val="0064731F"/>
    <w:rsid w:val="0065169A"/>
    <w:rsid w:val="0065361E"/>
    <w:rsid w:val="00656927"/>
    <w:rsid w:val="00662BE7"/>
    <w:rsid w:val="006710F6"/>
    <w:rsid w:val="00682769"/>
    <w:rsid w:val="00687069"/>
    <w:rsid w:val="00697F30"/>
    <w:rsid w:val="006B3EE4"/>
    <w:rsid w:val="006B4BC6"/>
    <w:rsid w:val="006C1B56"/>
    <w:rsid w:val="006C1C43"/>
    <w:rsid w:val="006D4761"/>
    <w:rsid w:val="006E73A4"/>
    <w:rsid w:val="006F0C06"/>
    <w:rsid w:val="006F6677"/>
    <w:rsid w:val="0070027A"/>
    <w:rsid w:val="00703AAB"/>
    <w:rsid w:val="007208FC"/>
    <w:rsid w:val="00720C2A"/>
    <w:rsid w:val="00724CDC"/>
    <w:rsid w:val="00726872"/>
    <w:rsid w:val="0073024E"/>
    <w:rsid w:val="00760F1C"/>
    <w:rsid w:val="007629B6"/>
    <w:rsid w:val="007634EF"/>
    <w:rsid w:val="007657F0"/>
    <w:rsid w:val="0076797E"/>
    <w:rsid w:val="0077252D"/>
    <w:rsid w:val="007815A0"/>
    <w:rsid w:val="007A2606"/>
    <w:rsid w:val="007C178E"/>
    <w:rsid w:val="007C6F47"/>
    <w:rsid w:val="007E3CAD"/>
    <w:rsid w:val="007E5DD3"/>
    <w:rsid w:val="007F350B"/>
    <w:rsid w:val="007F775C"/>
    <w:rsid w:val="00814E76"/>
    <w:rsid w:val="00820BE4"/>
    <w:rsid w:val="00824DF1"/>
    <w:rsid w:val="0083107C"/>
    <w:rsid w:val="0084036B"/>
    <w:rsid w:val="008451E8"/>
    <w:rsid w:val="00845AC6"/>
    <w:rsid w:val="008604B2"/>
    <w:rsid w:val="008619C7"/>
    <w:rsid w:val="0086523F"/>
    <w:rsid w:val="00865738"/>
    <w:rsid w:val="00874DBF"/>
    <w:rsid w:val="008801C7"/>
    <w:rsid w:val="00882151"/>
    <w:rsid w:val="008825E2"/>
    <w:rsid w:val="0089535D"/>
    <w:rsid w:val="008A4F3F"/>
    <w:rsid w:val="008B4E46"/>
    <w:rsid w:val="008C3679"/>
    <w:rsid w:val="008C5297"/>
    <w:rsid w:val="008D7E69"/>
    <w:rsid w:val="008E3D55"/>
    <w:rsid w:val="0090255B"/>
    <w:rsid w:val="009139BD"/>
    <w:rsid w:val="00913B9C"/>
    <w:rsid w:val="00927F7D"/>
    <w:rsid w:val="00950B42"/>
    <w:rsid w:val="00956E77"/>
    <w:rsid w:val="00957ABD"/>
    <w:rsid w:val="009933CF"/>
    <w:rsid w:val="009A3239"/>
    <w:rsid w:val="009A6C1B"/>
    <w:rsid w:val="009B0E9F"/>
    <w:rsid w:val="009B2E52"/>
    <w:rsid w:val="009B57CF"/>
    <w:rsid w:val="009D5C1E"/>
    <w:rsid w:val="009E0240"/>
    <w:rsid w:val="009E167F"/>
    <w:rsid w:val="009E304E"/>
    <w:rsid w:val="009E3CC5"/>
    <w:rsid w:val="009E5004"/>
    <w:rsid w:val="009E5AB9"/>
    <w:rsid w:val="009F4811"/>
    <w:rsid w:val="00A03AD9"/>
    <w:rsid w:val="00A06296"/>
    <w:rsid w:val="00A23B17"/>
    <w:rsid w:val="00A5076C"/>
    <w:rsid w:val="00A51506"/>
    <w:rsid w:val="00A53331"/>
    <w:rsid w:val="00A54EFE"/>
    <w:rsid w:val="00A76A84"/>
    <w:rsid w:val="00A836DF"/>
    <w:rsid w:val="00A85BE8"/>
    <w:rsid w:val="00A94416"/>
    <w:rsid w:val="00A97275"/>
    <w:rsid w:val="00AA390C"/>
    <w:rsid w:val="00AA39D5"/>
    <w:rsid w:val="00AC2944"/>
    <w:rsid w:val="00AC2C2B"/>
    <w:rsid w:val="00AE0A0E"/>
    <w:rsid w:val="00AF7EB5"/>
    <w:rsid w:val="00B0200A"/>
    <w:rsid w:val="00B040D6"/>
    <w:rsid w:val="00B12D90"/>
    <w:rsid w:val="00B20F51"/>
    <w:rsid w:val="00B2112D"/>
    <w:rsid w:val="00B224BF"/>
    <w:rsid w:val="00B30309"/>
    <w:rsid w:val="00B338BF"/>
    <w:rsid w:val="00B34015"/>
    <w:rsid w:val="00B47A75"/>
    <w:rsid w:val="00B574DB"/>
    <w:rsid w:val="00B63174"/>
    <w:rsid w:val="00B826C2"/>
    <w:rsid w:val="00B8298E"/>
    <w:rsid w:val="00BA4BCC"/>
    <w:rsid w:val="00BB476B"/>
    <w:rsid w:val="00BB760B"/>
    <w:rsid w:val="00BB799A"/>
    <w:rsid w:val="00BD0723"/>
    <w:rsid w:val="00BD2518"/>
    <w:rsid w:val="00BD351A"/>
    <w:rsid w:val="00BF1D1C"/>
    <w:rsid w:val="00BF2B03"/>
    <w:rsid w:val="00C14689"/>
    <w:rsid w:val="00C20C59"/>
    <w:rsid w:val="00C239FC"/>
    <w:rsid w:val="00C500C3"/>
    <w:rsid w:val="00C51C13"/>
    <w:rsid w:val="00C55B1F"/>
    <w:rsid w:val="00C562AA"/>
    <w:rsid w:val="00C60DA0"/>
    <w:rsid w:val="00C70B1E"/>
    <w:rsid w:val="00C71066"/>
    <w:rsid w:val="00C82A57"/>
    <w:rsid w:val="00C9448E"/>
    <w:rsid w:val="00CC21CD"/>
    <w:rsid w:val="00CD0142"/>
    <w:rsid w:val="00CD627A"/>
    <w:rsid w:val="00CE056C"/>
    <w:rsid w:val="00CE6918"/>
    <w:rsid w:val="00CF1A67"/>
    <w:rsid w:val="00D24B7C"/>
    <w:rsid w:val="00D2750E"/>
    <w:rsid w:val="00D30CE2"/>
    <w:rsid w:val="00D3460B"/>
    <w:rsid w:val="00D44CE1"/>
    <w:rsid w:val="00D56A06"/>
    <w:rsid w:val="00D62446"/>
    <w:rsid w:val="00D706F7"/>
    <w:rsid w:val="00D72D26"/>
    <w:rsid w:val="00D771FA"/>
    <w:rsid w:val="00D83DA7"/>
    <w:rsid w:val="00D95C4E"/>
    <w:rsid w:val="00DA4EA2"/>
    <w:rsid w:val="00DC0AC4"/>
    <w:rsid w:val="00DC3D3E"/>
    <w:rsid w:val="00DC7309"/>
    <w:rsid w:val="00DD64BD"/>
    <w:rsid w:val="00DE21F6"/>
    <w:rsid w:val="00DE2C90"/>
    <w:rsid w:val="00DE3B24"/>
    <w:rsid w:val="00DF4726"/>
    <w:rsid w:val="00E06947"/>
    <w:rsid w:val="00E1655A"/>
    <w:rsid w:val="00E3592D"/>
    <w:rsid w:val="00E35C59"/>
    <w:rsid w:val="00E441C9"/>
    <w:rsid w:val="00E47141"/>
    <w:rsid w:val="00E5137B"/>
    <w:rsid w:val="00E519D6"/>
    <w:rsid w:val="00E67DB9"/>
    <w:rsid w:val="00E744E2"/>
    <w:rsid w:val="00E752DD"/>
    <w:rsid w:val="00E87D18"/>
    <w:rsid w:val="00E9005C"/>
    <w:rsid w:val="00E92669"/>
    <w:rsid w:val="00E92DE8"/>
    <w:rsid w:val="00EA08E6"/>
    <w:rsid w:val="00EA36CF"/>
    <w:rsid w:val="00EA6775"/>
    <w:rsid w:val="00EB1212"/>
    <w:rsid w:val="00EB3C8B"/>
    <w:rsid w:val="00EC2B60"/>
    <w:rsid w:val="00EC6EB1"/>
    <w:rsid w:val="00ED1A88"/>
    <w:rsid w:val="00ED65AB"/>
    <w:rsid w:val="00EE494A"/>
    <w:rsid w:val="00EE5E02"/>
    <w:rsid w:val="00EF4472"/>
    <w:rsid w:val="00EF5BFE"/>
    <w:rsid w:val="00F017E5"/>
    <w:rsid w:val="00F01C04"/>
    <w:rsid w:val="00F12850"/>
    <w:rsid w:val="00F33BF4"/>
    <w:rsid w:val="00F35F7D"/>
    <w:rsid w:val="00F44AB4"/>
    <w:rsid w:val="00F53D41"/>
    <w:rsid w:val="00F546DE"/>
    <w:rsid w:val="00F577CA"/>
    <w:rsid w:val="00F7105E"/>
    <w:rsid w:val="00F74103"/>
    <w:rsid w:val="00F75F57"/>
    <w:rsid w:val="00F80721"/>
    <w:rsid w:val="00F82093"/>
    <w:rsid w:val="00F82FEE"/>
    <w:rsid w:val="00F87797"/>
    <w:rsid w:val="00F95516"/>
    <w:rsid w:val="00F968BB"/>
    <w:rsid w:val="00FA4260"/>
    <w:rsid w:val="00FB010F"/>
    <w:rsid w:val="00FD57D3"/>
    <w:rsid w:val="00FF11B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35EE59B7"/>
  <w15:docId w15:val="{DD13A7DB-4F85-49E2-8183-558D031E9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D0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0B0D00"/>
    <w:pPr>
      <w:keepNext/>
      <w:keepLines/>
      <w:spacing w:before="480"/>
      <w:ind w:left="567" w:hanging="567"/>
      <w:outlineLvl w:val="0"/>
    </w:pPr>
    <w:rPr>
      <w:b/>
      <w:sz w:val="28"/>
    </w:rPr>
  </w:style>
  <w:style w:type="paragraph" w:styleId="Heading2">
    <w:name w:val="heading 2"/>
    <w:basedOn w:val="Heading1"/>
    <w:next w:val="Normal"/>
    <w:qFormat/>
    <w:rsid w:val="000B0D00"/>
    <w:pPr>
      <w:spacing w:before="320"/>
      <w:outlineLvl w:val="1"/>
    </w:pPr>
    <w:rPr>
      <w:sz w:val="24"/>
    </w:rPr>
  </w:style>
  <w:style w:type="paragraph" w:styleId="Heading3">
    <w:name w:val="heading 3"/>
    <w:basedOn w:val="Heading1"/>
    <w:next w:val="Normal"/>
    <w:qFormat/>
    <w:rsid w:val="000B0D00"/>
    <w:pPr>
      <w:spacing w:before="200"/>
      <w:outlineLvl w:val="2"/>
    </w:pPr>
    <w:rPr>
      <w:sz w:val="24"/>
    </w:rPr>
  </w:style>
  <w:style w:type="paragraph" w:styleId="Heading4">
    <w:name w:val="heading 4"/>
    <w:basedOn w:val="Heading3"/>
    <w:next w:val="Normal"/>
    <w:qFormat/>
    <w:rsid w:val="000B0D00"/>
    <w:pPr>
      <w:ind w:left="1134" w:hanging="1134"/>
      <w:outlineLvl w:val="3"/>
    </w:pPr>
  </w:style>
  <w:style w:type="paragraph" w:styleId="Heading5">
    <w:name w:val="heading 5"/>
    <w:basedOn w:val="Heading4"/>
    <w:next w:val="Normal"/>
    <w:qFormat/>
    <w:rsid w:val="000B0D00"/>
    <w:pPr>
      <w:outlineLvl w:val="4"/>
    </w:pPr>
  </w:style>
  <w:style w:type="paragraph" w:styleId="Heading6">
    <w:name w:val="heading 6"/>
    <w:basedOn w:val="Heading4"/>
    <w:next w:val="Normal"/>
    <w:qFormat/>
    <w:rsid w:val="000B0D00"/>
    <w:pPr>
      <w:outlineLvl w:val="5"/>
    </w:pPr>
  </w:style>
  <w:style w:type="paragraph" w:styleId="Heading7">
    <w:name w:val="heading 7"/>
    <w:basedOn w:val="Heading4"/>
    <w:next w:val="Normal"/>
    <w:qFormat/>
    <w:rsid w:val="000B0D00"/>
    <w:pPr>
      <w:ind w:left="1701" w:hanging="1701"/>
      <w:outlineLvl w:val="6"/>
    </w:pPr>
  </w:style>
  <w:style w:type="paragraph" w:styleId="Heading8">
    <w:name w:val="heading 8"/>
    <w:basedOn w:val="Heading4"/>
    <w:next w:val="Normal"/>
    <w:qFormat/>
    <w:rsid w:val="000B0D00"/>
    <w:pPr>
      <w:ind w:left="1701" w:hanging="1701"/>
      <w:outlineLvl w:val="7"/>
    </w:pPr>
  </w:style>
  <w:style w:type="paragraph" w:styleId="Heading9">
    <w:name w:val="heading 9"/>
    <w:basedOn w:val="Heading4"/>
    <w:next w:val="Normal"/>
    <w:qFormat/>
    <w:rsid w:val="000B0D00"/>
    <w:pPr>
      <w:ind w:left="1701" w:hanging="1701"/>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6710F6"/>
  </w:style>
  <w:style w:type="paragraph" w:styleId="TOC4">
    <w:name w:val="toc 4"/>
    <w:basedOn w:val="Normal"/>
    <w:next w:val="Normal"/>
    <w:rsid w:val="000B0D00"/>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0B0D00"/>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B0D00"/>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6710F6"/>
    <w:pPr>
      <w:ind w:left="1698"/>
    </w:pPr>
  </w:style>
  <w:style w:type="paragraph" w:styleId="Index6">
    <w:name w:val="index 6"/>
    <w:basedOn w:val="Normal"/>
    <w:next w:val="Normal"/>
    <w:rsid w:val="006710F6"/>
    <w:pPr>
      <w:ind w:left="1415"/>
    </w:pPr>
  </w:style>
  <w:style w:type="paragraph" w:styleId="Index5">
    <w:name w:val="index 5"/>
    <w:basedOn w:val="Normal"/>
    <w:next w:val="Normal"/>
    <w:rsid w:val="006710F6"/>
    <w:pPr>
      <w:ind w:left="1132"/>
    </w:pPr>
  </w:style>
  <w:style w:type="paragraph" w:styleId="Index4">
    <w:name w:val="index 4"/>
    <w:basedOn w:val="Normal"/>
    <w:next w:val="Normal"/>
    <w:rsid w:val="006710F6"/>
    <w:pPr>
      <w:ind w:left="849"/>
    </w:pPr>
  </w:style>
  <w:style w:type="paragraph" w:styleId="Index3">
    <w:name w:val="index 3"/>
    <w:basedOn w:val="Normal"/>
    <w:next w:val="Normal"/>
    <w:rsid w:val="006710F6"/>
    <w:pPr>
      <w:ind w:left="566"/>
    </w:pPr>
  </w:style>
  <w:style w:type="paragraph" w:styleId="Index2">
    <w:name w:val="index 2"/>
    <w:basedOn w:val="Normal"/>
    <w:next w:val="Normal"/>
    <w:rsid w:val="006710F6"/>
    <w:pPr>
      <w:ind w:left="283"/>
    </w:pPr>
  </w:style>
  <w:style w:type="paragraph" w:styleId="Index1">
    <w:name w:val="index 1"/>
    <w:basedOn w:val="Normal"/>
    <w:next w:val="Normal"/>
    <w:rsid w:val="006710F6"/>
  </w:style>
  <w:style w:type="character" w:styleId="LineNumber">
    <w:name w:val="line number"/>
    <w:basedOn w:val="DefaultParagraphFont"/>
    <w:rsid w:val="006710F6"/>
  </w:style>
  <w:style w:type="paragraph" w:styleId="IndexHeading">
    <w:name w:val="index heading"/>
    <w:basedOn w:val="Normal"/>
    <w:next w:val="Index1"/>
    <w:rsid w:val="006710F6"/>
  </w:style>
  <w:style w:type="paragraph" w:styleId="Footer">
    <w:name w:val="footer"/>
    <w:basedOn w:val="Normal"/>
    <w:link w:val="FooterChar"/>
    <w:rsid w:val="000B0D00"/>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0B0D00"/>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Footnote symbol,Ref,de nota al pie"/>
    <w:basedOn w:val="DefaultParagraphFont"/>
    <w:rsid w:val="000B0D00"/>
    <w:rPr>
      <w:position w:val="6"/>
      <w:sz w:val="16"/>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link w:val="FootnoteTextChar"/>
    <w:rsid w:val="000B0D00"/>
    <w:pPr>
      <w:keepLines/>
      <w:tabs>
        <w:tab w:val="left" w:pos="256"/>
      </w:tabs>
      <w:ind w:left="256" w:hanging="256"/>
    </w:pPr>
  </w:style>
  <w:style w:type="paragraph" w:styleId="NormalIndent">
    <w:name w:val="Normal Indent"/>
    <w:basedOn w:val="Normal"/>
    <w:rsid w:val="000B0D00"/>
    <w:pPr>
      <w:ind w:left="567"/>
    </w:pPr>
  </w:style>
  <w:style w:type="paragraph" w:customStyle="1" w:styleId="AnnexNo">
    <w:name w:val="Annex_No"/>
    <w:basedOn w:val="Normal"/>
    <w:next w:val="Annexref"/>
    <w:rsid w:val="000B0D00"/>
    <w:pPr>
      <w:spacing w:before="720"/>
      <w:jc w:val="center"/>
    </w:pPr>
    <w:rPr>
      <w:caps/>
      <w:sz w:val="28"/>
    </w:rPr>
  </w:style>
  <w:style w:type="paragraph" w:customStyle="1" w:styleId="Annextitle">
    <w:name w:val="Annex_title"/>
    <w:basedOn w:val="Normal"/>
    <w:next w:val="Normal"/>
    <w:rsid w:val="000B0D00"/>
    <w:pPr>
      <w:spacing w:before="240" w:after="240"/>
      <w:jc w:val="center"/>
    </w:pPr>
    <w:rPr>
      <w:b/>
      <w:sz w:val="28"/>
    </w:rPr>
  </w:style>
  <w:style w:type="paragraph" w:customStyle="1" w:styleId="Annexref">
    <w:name w:val="Annex_ref"/>
    <w:basedOn w:val="Normal"/>
    <w:next w:val="Annextitle"/>
    <w:rsid w:val="000B0D00"/>
    <w:pPr>
      <w:jc w:val="center"/>
    </w:pPr>
    <w:rPr>
      <w:sz w:val="28"/>
    </w:rPr>
  </w:style>
  <w:style w:type="paragraph" w:customStyle="1" w:styleId="Normalaftertitle">
    <w:name w:val="Normal after title"/>
    <w:basedOn w:val="Normal"/>
    <w:next w:val="Normal"/>
    <w:rsid w:val="000B0D00"/>
    <w:pPr>
      <w:spacing w:before="240"/>
    </w:pPr>
  </w:style>
  <w:style w:type="paragraph" w:customStyle="1" w:styleId="AppendixNo">
    <w:name w:val="Appendix_No"/>
    <w:basedOn w:val="AnnexNo"/>
    <w:next w:val="Appendixref"/>
    <w:rsid w:val="000B0D00"/>
  </w:style>
  <w:style w:type="paragraph" w:customStyle="1" w:styleId="Appendixtitle">
    <w:name w:val="Appendix_title"/>
    <w:basedOn w:val="Annextitle"/>
    <w:next w:val="Normal"/>
    <w:rsid w:val="000B0D00"/>
  </w:style>
  <w:style w:type="paragraph" w:customStyle="1" w:styleId="Appendixref">
    <w:name w:val="Appendix_ref"/>
    <w:basedOn w:val="Annexref"/>
    <w:next w:val="Appendixtitle"/>
    <w:rsid w:val="000B0D00"/>
  </w:style>
  <w:style w:type="paragraph" w:customStyle="1" w:styleId="enumlev1">
    <w:name w:val="enumlev1"/>
    <w:basedOn w:val="Normal"/>
    <w:rsid w:val="000B0D00"/>
    <w:pPr>
      <w:spacing w:before="86"/>
      <w:ind w:left="567" w:hanging="567"/>
    </w:pPr>
  </w:style>
  <w:style w:type="paragraph" w:customStyle="1" w:styleId="enumlev2">
    <w:name w:val="enumlev2"/>
    <w:basedOn w:val="enumlev1"/>
    <w:rsid w:val="000B0D00"/>
    <w:pPr>
      <w:ind w:left="1134"/>
    </w:pPr>
  </w:style>
  <w:style w:type="paragraph" w:customStyle="1" w:styleId="enumlev3">
    <w:name w:val="enumlev3"/>
    <w:basedOn w:val="enumlev2"/>
    <w:rsid w:val="000B0D00"/>
    <w:pPr>
      <w:ind w:left="1701"/>
    </w:pPr>
  </w:style>
  <w:style w:type="paragraph" w:customStyle="1" w:styleId="Artheading">
    <w:name w:val="Art_heading"/>
    <w:basedOn w:val="Normal"/>
    <w:next w:val="Normalaftertitle"/>
    <w:rsid w:val="000B0D00"/>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0B0D00"/>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0B0D00"/>
    <w:pPr>
      <w:tabs>
        <w:tab w:val="clear" w:pos="567"/>
        <w:tab w:val="clear" w:pos="1134"/>
        <w:tab w:val="clear" w:pos="1701"/>
        <w:tab w:val="clear" w:pos="2268"/>
        <w:tab w:val="clear" w:pos="2835"/>
      </w:tabs>
      <w:spacing w:before="240" w:after="240"/>
      <w:jc w:val="center"/>
    </w:pPr>
    <w:rPr>
      <w:b/>
      <w:sz w:val="28"/>
    </w:rPr>
  </w:style>
  <w:style w:type="paragraph" w:customStyle="1" w:styleId="Call">
    <w:name w:val="Call"/>
    <w:basedOn w:val="Normal"/>
    <w:next w:val="Normal"/>
    <w:link w:val="CallChar"/>
    <w:rsid w:val="000B0D00"/>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Chaptitle"/>
    <w:rsid w:val="000B0D00"/>
  </w:style>
  <w:style w:type="paragraph" w:customStyle="1" w:styleId="Chaptitle">
    <w:name w:val="Chap_title"/>
    <w:basedOn w:val="Arttitle"/>
    <w:next w:val="Normal"/>
    <w:rsid w:val="000B0D00"/>
  </w:style>
  <w:style w:type="paragraph" w:customStyle="1" w:styleId="Equationlegend">
    <w:name w:val="Equation_legend"/>
    <w:basedOn w:val="NormalIndent"/>
    <w:rsid w:val="006710F6"/>
    <w:pPr>
      <w:tabs>
        <w:tab w:val="right" w:pos="1531"/>
      </w:tabs>
      <w:spacing w:before="80"/>
      <w:ind w:left="1701" w:hanging="1701"/>
    </w:pPr>
  </w:style>
  <w:style w:type="paragraph" w:customStyle="1" w:styleId="Figure">
    <w:name w:val="Figure"/>
    <w:basedOn w:val="Normal"/>
    <w:next w:val="Figuretitle"/>
    <w:rsid w:val="006710F6"/>
    <w:pPr>
      <w:keepNext/>
      <w:keepLines/>
      <w:spacing w:after="120"/>
      <w:jc w:val="center"/>
    </w:pPr>
  </w:style>
  <w:style w:type="paragraph" w:customStyle="1" w:styleId="Figuretitle">
    <w:name w:val="Figure_title"/>
    <w:basedOn w:val="Tabletitle"/>
    <w:next w:val="Normalaftertitle"/>
    <w:rsid w:val="006710F6"/>
    <w:pPr>
      <w:spacing w:before="240" w:after="480"/>
    </w:pPr>
  </w:style>
  <w:style w:type="paragraph" w:customStyle="1" w:styleId="Tabletitle">
    <w:name w:val="Table_title"/>
    <w:basedOn w:val="TableNo"/>
    <w:next w:val="Tabletext"/>
    <w:rsid w:val="000B0D00"/>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0B0D00"/>
    <w:pPr>
      <w:keepNext/>
      <w:spacing w:before="560" w:after="120"/>
      <w:jc w:val="center"/>
    </w:pPr>
    <w:rPr>
      <w:caps/>
    </w:rPr>
  </w:style>
  <w:style w:type="paragraph" w:customStyle="1" w:styleId="Tabletext">
    <w:name w:val="Table_text"/>
    <w:basedOn w:val="Normal"/>
    <w:rsid w:val="000B0D00"/>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6710F6"/>
    <w:pPr>
      <w:keepNext/>
      <w:keepLines/>
      <w:spacing w:before="20" w:after="20"/>
    </w:pPr>
    <w:rPr>
      <w:sz w:val="18"/>
    </w:rPr>
  </w:style>
  <w:style w:type="paragraph" w:customStyle="1" w:styleId="Equation">
    <w:name w:val="Equation"/>
    <w:basedOn w:val="Normal"/>
    <w:rsid w:val="006710F6"/>
    <w:pPr>
      <w:tabs>
        <w:tab w:val="center" w:pos="4820"/>
        <w:tab w:val="right" w:pos="9639"/>
      </w:tabs>
    </w:pPr>
  </w:style>
  <w:style w:type="paragraph" w:customStyle="1" w:styleId="Head">
    <w:name w:val="Head"/>
    <w:basedOn w:val="Normal"/>
    <w:rsid w:val="006710F6"/>
    <w:pPr>
      <w:tabs>
        <w:tab w:val="left" w:pos="6663"/>
      </w:tabs>
      <w:overflowPunct/>
      <w:autoSpaceDE/>
      <w:autoSpaceDN/>
      <w:adjustRightInd/>
      <w:spacing w:before="0"/>
      <w:textAlignment w:val="auto"/>
    </w:pPr>
  </w:style>
  <w:style w:type="paragraph" w:customStyle="1" w:styleId="toc0">
    <w:name w:val="toc 0"/>
    <w:basedOn w:val="Normal"/>
    <w:next w:val="TOC1"/>
    <w:rsid w:val="000B0D00"/>
    <w:pPr>
      <w:tabs>
        <w:tab w:val="clear" w:pos="567"/>
        <w:tab w:val="clear" w:pos="1134"/>
        <w:tab w:val="clear" w:pos="1701"/>
        <w:tab w:val="clear" w:pos="2268"/>
        <w:tab w:val="clear" w:pos="2835"/>
        <w:tab w:val="right" w:pos="9781"/>
      </w:tabs>
    </w:pPr>
    <w:rPr>
      <w:b/>
    </w:rPr>
  </w:style>
  <w:style w:type="paragraph" w:styleId="List">
    <w:name w:val="List"/>
    <w:basedOn w:val="Normal"/>
    <w:rsid w:val="006710F6"/>
    <w:pPr>
      <w:tabs>
        <w:tab w:val="left" w:pos="2127"/>
      </w:tabs>
      <w:ind w:left="2127" w:hanging="2127"/>
    </w:pPr>
  </w:style>
  <w:style w:type="paragraph" w:customStyle="1" w:styleId="Part">
    <w:name w:val="Part"/>
    <w:basedOn w:val="Normal"/>
    <w:rsid w:val="006710F6"/>
    <w:pPr>
      <w:tabs>
        <w:tab w:val="left" w:pos="1276"/>
      </w:tabs>
      <w:spacing w:before="199"/>
      <w:ind w:left="1701" w:hanging="1701"/>
    </w:pPr>
    <w:rPr>
      <w:caps/>
    </w:rPr>
  </w:style>
  <w:style w:type="paragraph" w:customStyle="1" w:styleId="Figurewithouttitle">
    <w:name w:val="Figure_without_title"/>
    <w:basedOn w:val="Figure"/>
    <w:next w:val="Normalaftertitle"/>
    <w:rsid w:val="006710F6"/>
    <w:pPr>
      <w:keepNext w:val="0"/>
      <w:spacing w:after="240"/>
    </w:pPr>
  </w:style>
  <w:style w:type="character" w:styleId="PageNumber">
    <w:name w:val="page number"/>
    <w:basedOn w:val="DefaultParagraphFont"/>
    <w:rsid w:val="000B0D00"/>
    <w:rPr>
      <w:rFonts w:ascii="Calibri" w:hAnsi="Calibri"/>
    </w:rPr>
  </w:style>
  <w:style w:type="paragraph" w:customStyle="1" w:styleId="meeting">
    <w:name w:val="meeting"/>
    <w:basedOn w:val="Head"/>
    <w:next w:val="Head"/>
    <w:rsid w:val="006710F6"/>
    <w:pPr>
      <w:tabs>
        <w:tab w:val="left" w:pos="7371"/>
      </w:tabs>
      <w:spacing w:after="567"/>
    </w:pPr>
  </w:style>
  <w:style w:type="paragraph" w:customStyle="1" w:styleId="PartNo">
    <w:name w:val="Part_No"/>
    <w:basedOn w:val="AnnexNo"/>
    <w:next w:val="Parttitle"/>
    <w:rsid w:val="006710F6"/>
  </w:style>
  <w:style w:type="paragraph" w:customStyle="1" w:styleId="Parttitle">
    <w:name w:val="Part_title"/>
    <w:basedOn w:val="Annextitle"/>
    <w:next w:val="Partref"/>
    <w:rsid w:val="006710F6"/>
  </w:style>
  <w:style w:type="paragraph" w:customStyle="1" w:styleId="Partref">
    <w:name w:val="Part_ref"/>
    <w:basedOn w:val="Annexref"/>
    <w:next w:val="Normalaftertitle"/>
    <w:rsid w:val="006710F6"/>
  </w:style>
  <w:style w:type="paragraph" w:customStyle="1" w:styleId="Headingb">
    <w:name w:val="Heading_b"/>
    <w:basedOn w:val="Heading3"/>
    <w:next w:val="Normal"/>
    <w:rsid w:val="000B0D00"/>
    <w:pPr>
      <w:spacing w:before="160"/>
      <w:outlineLvl w:val="0"/>
    </w:pPr>
  </w:style>
  <w:style w:type="paragraph" w:customStyle="1" w:styleId="Subject">
    <w:name w:val="Subject"/>
    <w:basedOn w:val="Normal"/>
    <w:next w:val="Source"/>
    <w:rsid w:val="006710F6"/>
    <w:pPr>
      <w:tabs>
        <w:tab w:val="left" w:pos="709"/>
      </w:tabs>
      <w:spacing w:before="0"/>
      <w:ind w:left="709" w:hanging="709"/>
    </w:pPr>
  </w:style>
  <w:style w:type="paragraph" w:customStyle="1" w:styleId="Source">
    <w:name w:val="Source"/>
    <w:basedOn w:val="Normal"/>
    <w:next w:val="Title1"/>
    <w:rsid w:val="000B0D00"/>
    <w:pPr>
      <w:spacing w:before="840"/>
      <w:jc w:val="center"/>
    </w:pPr>
    <w:rPr>
      <w:b/>
      <w:sz w:val="28"/>
    </w:rPr>
  </w:style>
  <w:style w:type="paragraph" w:customStyle="1" w:styleId="Data">
    <w:name w:val="Data"/>
    <w:basedOn w:val="Subject"/>
    <w:next w:val="Subject"/>
    <w:rsid w:val="006710F6"/>
  </w:style>
  <w:style w:type="character" w:styleId="Hyperlink">
    <w:name w:val="Hyperlink"/>
    <w:basedOn w:val="DefaultParagraphFont"/>
    <w:rsid w:val="000B0D00"/>
    <w:rPr>
      <w:color w:val="0000FF"/>
      <w:u w:val="single"/>
    </w:rPr>
  </w:style>
  <w:style w:type="character" w:styleId="FollowedHyperlink">
    <w:name w:val="FollowedHyperlink"/>
    <w:basedOn w:val="DefaultParagraphFont"/>
    <w:rsid w:val="006710F6"/>
    <w:rPr>
      <w:color w:val="800080"/>
      <w:u w:val="single"/>
    </w:rPr>
  </w:style>
  <w:style w:type="paragraph" w:customStyle="1" w:styleId="FirstFooter">
    <w:name w:val="FirstFooter"/>
    <w:basedOn w:val="Footer"/>
    <w:rsid w:val="000B0D00"/>
    <w:rPr>
      <w:caps w:val="0"/>
    </w:rPr>
  </w:style>
  <w:style w:type="paragraph" w:customStyle="1" w:styleId="Note">
    <w:name w:val="Note"/>
    <w:basedOn w:val="Normal"/>
    <w:rsid w:val="000B0D00"/>
    <w:pPr>
      <w:tabs>
        <w:tab w:val="clear" w:pos="567"/>
        <w:tab w:val="left" w:pos="851"/>
      </w:tabs>
    </w:pPr>
  </w:style>
  <w:style w:type="paragraph" w:styleId="TOC9">
    <w:name w:val="toc 9"/>
    <w:basedOn w:val="TOC4"/>
    <w:rsid w:val="006710F6"/>
  </w:style>
  <w:style w:type="paragraph" w:customStyle="1" w:styleId="Headingi">
    <w:name w:val="Heading_i"/>
    <w:basedOn w:val="Heading3"/>
    <w:next w:val="Normal"/>
    <w:rsid w:val="000B0D00"/>
    <w:pPr>
      <w:spacing w:before="160"/>
      <w:outlineLvl w:val="0"/>
    </w:pPr>
    <w:rPr>
      <w:b w:val="0"/>
      <w:i/>
    </w:rPr>
  </w:style>
  <w:style w:type="paragraph" w:customStyle="1" w:styleId="Title1">
    <w:name w:val="Title 1"/>
    <w:basedOn w:val="Source"/>
    <w:next w:val="Title2"/>
    <w:rsid w:val="000B0D00"/>
    <w:pPr>
      <w:spacing w:before="240"/>
    </w:pPr>
    <w:rPr>
      <w:b w:val="0"/>
      <w:caps/>
    </w:rPr>
  </w:style>
  <w:style w:type="paragraph" w:customStyle="1" w:styleId="Title2">
    <w:name w:val="Title 2"/>
    <w:basedOn w:val="Source"/>
    <w:next w:val="Title3"/>
    <w:rsid w:val="000B0D00"/>
    <w:pPr>
      <w:spacing w:before="240"/>
    </w:pPr>
    <w:rPr>
      <w:b w:val="0"/>
      <w:caps/>
    </w:rPr>
  </w:style>
  <w:style w:type="paragraph" w:customStyle="1" w:styleId="Title3">
    <w:name w:val="Title 3"/>
    <w:basedOn w:val="Title2"/>
    <w:next w:val="Normalaftertitle"/>
    <w:rsid w:val="000B0D00"/>
    <w:rPr>
      <w:caps w:val="0"/>
    </w:rPr>
  </w:style>
  <w:style w:type="paragraph" w:customStyle="1" w:styleId="Title4">
    <w:name w:val="Title 4"/>
    <w:basedOn w:val="Title3"/>
    <w:next w:val="Heading1"/>
    <w:rsid w:val="006710F6"/>
    <w:rPr>
      <w:b/>
    </w:rPr>
  </w:style>
  <w:style w:type="paragraph" w:customStyle="1" w:styleId="dnum">
    <w:name w:val="dnum"/>
    <w:basedOn w:val="Normal"/>
    <w:rsid w:val="006710F6"/>
    <w:pPr>
      <w:framePr w:hSpace="181" w:wrap="notBeside" w:vAnchor="page" w:hAnchor="margin" w:x="1" w:y="852"/>
      <w:shd w:val="solid" w:color="FFFFFF" w:fill="FFFFFF"/>
      <w:tabs>
        <w:tab w:val="left" w:pos="1871"/>
      </w:tabs>
    </w:pPr>
    <w:rPr>
      <w:b/>
      <w:bCs/>
    </w:rPr>
  </w:style>
  <w:style w:type="paragraph" w:customStyle="1" w:styleId="ddate">
    <w:name w:val="ddate"/>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6710F6"/>
    <w:pPr>
      <w:framePr w:hSpace="181" w:wrap="notBeside" w:vAnchor="page" w:hAnchor="margin" w:x="1" w:y="852"/>
      <w:shd w:val="solid" w:color="FFFFFF" w:fill="FFFFFF"/>
      <w:tabs>
        <w:tab w:val="left" w:pos="1871"/>
      </w:tabs>
      <w:spacing w:before="0"/>
    </w:pPr>
    <w:rPr>
      <w:b/>
      <w:bCs/>
    </w:rPr>
  </w:style>
  <w:style w:type="paragraph" w:customStyle="1" w:styleId="RecNo">
    <w:name w:val="Rec_No"/>
    <w:basedOn w:val="Normal"/>
    <w:next w:val="Rectitle"/>
    <w:rsid w:val="000B0D00"/>
    <w:pPr>
      <w:spacing w:before="720"/>
      <w:jc w:val="center"/>
    </w:pPr>
    <w:rPr>
      <w:caps/>
      <w:sz w:val="28"/>
    </w:rPr>
  </w:style>
  <w:style w:type="paragraph" w:customStyle="1" w:styleId="Rectitle">
    <w:name w:val="Rec_title"/>
    <w:basedOn w:val="Normal"/>
    <w:next w:val="Heading1"/>
    <w:rsid w:val="000B0D00"/>
    <w:pPr>
      <w:spacing w:before="240"/>
      <w:jc w:val="center"/>
    </w:pPr>
    <w:rPr>
      <w:b/>
      <w:sz w:val="28"/>
    </w:rPr>
  </w:style>
  <w:style w:type="paragraph" w:customStyle="1" w:styleId="Recref">
    <w:name w:val="Rec_ref"/>
    <w:basedOn w:val="Rectitle"/>
    <w:next w:val="Recdate"/>
    <w:rsid w:val="006710F6"/>
    <w:pPr>
      <w:spacing w:before="120"/>
    </w:pPr>
    <w:rPr>
      <w:rFonts w:ascii="Times New Roman" w:hAnsi="Times New Roman"/>
      <w:b w:val="0"/>
      <w:sz w:val="24"/>
    </w:rPr>
  </w:style>
  <w:style w:type="paragraph" w:customStyle="1" w:styleId="Recdate">
    <w:name w:val="Rec_date"/>
    <w:basedOn w:val="Recref"/>
    <w:next w:val="Normalaftertitle"/>
    <w:rsid w:val="006710F6"/>
    <w:pPr>
      <w:jc w:val="right"/>
    </w:pPr>
    <w:rPr>
      <w:sz w:val="22"/>
    </w:rPr>
  </w:style>
  <w:style w:type="paragraph" w:customStyle="1" w:styleId="Questiondate">
    <w:name w:val="Question_date"/>
    <w:basedOn w:val="Recdate"/>
    <w:next w:val="Normalaftertitle"/>
    <w:rsid w:val="006710F6"/>
  </w:style>
  <w:style w:type="paragraph" w:customStyle="1" w:styleId="QuestionNo">
    <w:name w:val="Question_No"/>
    <w:basedOn w:val="RecNo"/>
    <w:next w:val="Questiontitle"/>
    <w:rsid w:val="006710F6"/>
  </w:style>
  <w:style w:type="paragraph" w:customStyle="1" w:styleId="Questiontitle">
    <w:name w:val="Question_title"/>
    <w:basedOn w:val="Rectitle"/>
    <w:next w:val="Questionref"/>
    <w:rsid w:val="006710F6"/>
  </w:style>
  <w:style w:type="paragraph" w:customStyle="1" w:styleId="Questionref">
    <w:name w:val="Question_ref"/>
    <w:basedOn w:val="Recref"/>
    <w:next w:val="Questiondate"/>
    <w:rsid w:val="006710F6"/>
  </w:style>
  <w:style w:type="paragraph" w:customStyle="1" w:styleId="Reftext">
    <w:name w:val="Ref_text"/>
    <w:basedOn w:val="Normal"/>
    <w:rsid w:val="000B0D00"/>
    <w:pPr>
      <w:ind w:left="567" w:hanging="567"/>
    </w:pPr>
  </w:style>
  <w:style w:type="paragraph" w:customStyle="1" w:styleId="Reftitle">
    <w:name w:val="Ref_title"/>
    <w:basedOn w:val="Normal"/>
    <w:next w:val="Reftext"/>
    <w:rsid w:val="000B0D00"/>
    <w:pPr>
      <w:spacing w:before="480"/>
      <w:jc w:val="center"/>
    </w:pPr>
    <w:rPr>
      <w:caps/>
      <w:sz w:val="28"/>
    </w:rPr>
  </w:style>
  <w:style w:type="paragraph" w:customStyle="1" w:styleId="Repdate">
    <w:name w:val="Rep_date"/>
    <w:basedOn w:val="Recdate"/>
    <w:next w:val="Normalaftertitle"/>
    <w:rsid w:val="006710F6"/>
  </w:style>
  <w:style w:type="paragraph" w:customStyle="1" w:styleId="RepNo">
    <w:name w:val="Rep_No"/>
    <w:basedOn w:val="RecNo"/>
    <w:next w:val="Reptitle"/>
    <w:rsid w:val="006710F6"/>
  </w:style>
  <w:style w:type="paragraph" w:customStyle="1" w:styleId="Reptitle">
    <w:name w:val="Rep_title"/>
    <w:basedOn w:val="Rectitle"/>
    <w:next w:val="Repref"/>
    <w:rsid w:val="006710F6"/>
  </w:style>
  <w:style w:type="paragraph" w:customStyle="1" w:styleId="Repref">
    <w:name w:val="Rep_ref"/>
    <w:basedOn w:val="Recref"/>
    <w:next w:val="Repdate"/>
    <w:rsid w:val="006710F6"/>
  </w:style>
  <w:style w:type="paragraph" w:customStyle="1" w:styleId="Resdate">
    <w:name w:val="Res_date"/>
    <w:basedOn w:val="Recdate"/>
    <w:next w:val="Normalaftertitle"/>
    <w:rsid w:val="006710F6"/>
  </w:style>
  <w:style w:type="paragraph" w:customStyle="1" w:styleId="ResNo">
    <w:name w:val="Res_No"/>
    <w:basedOn w:val="AnnexNo"/>
    <w:next w:val="Restitle"/>
    <w:link w:val="ResNoChar"/>
    <w:rsid w:val="000B0D00"/>
  </w:style>
  <w:style w:type="paragraph" w:customStyle="1" w:styleId="Restitle">
    <w:name w:val="Res_title"/>
    <w:basedOn w:val="Annextitle"/>
    <w:next w:val="Normal"/>
    <w:link w:val="RestitleChar"/>
    <w:rsid w:val="000B0D00"/>
  </w:style>
  <w:style w:type="paragraph" w:customStyle="1" w:styleId="Resref">
    <w:name w:val="Res_ref"/>
    <w:basedOn w:val="Recref"/>
    <w:next w:val="Resdate"/>
    <w:rsid w:val="006710F6"/>
  </w:style>
  <w:style w:type="paragraph" w:customStyle="1" w:styleId="SectionNo">
    <w:name w:val="Section_No"/>
    <w:basedOn w:val="AnnexNo"/>
    <w:next w:val="Sectiontitle"/>
    <w:rsid w:val="006710F6"/>
  </w:style>
  <w:style w:type="paragraph" w:customStyle="1" w:styleId="Sectiontitle">
    <w:name w:val="Section_title"/>
    <w:basedOn w:val="Normal"/>
    <w:next w:val="Normalaftertitle"/>
    <w:rsid w:val="006710F6"/>
    <w:rPr>
      <w:sz w:val="28"/>
    </w:rPr>
  </w:style>
  <w:style w:type="paragraph" w:customStyle="1" w:styleId="SpecialFooter">
    <w:name w:val="Special Footer"/>
    <w:basedOn w:val="Footer"/>
    <w:rsid w:val="006710F6"/>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B0D00"/>
    <w:pPr>
      <w:spacing w:before="120" w:after="120"/>
      <w:jc w:val="center"/>
    </w:pPr>
    <w:rPr>
      <w:b/>
    </w:rPr>
  </w:style>
  <w:style w:type="paragraph" w:customStyle="1" w:styleId="Tablelegend">
    <w:name w:val="Table_legend"/>
    <w:basedOn w:val="Tabletext"/>
    <w:rsid w:val="006710F6"/>
    <w:pPr>
      <w:spacing w:before="120"/>
    </w:pPr>
  </w:style>
  <w:style w:type="paragraph" w:customStyle="1" w:styleId="Tableref">
    <w:name w:val="Table_ref"/>
    <w:basedOn w:val="Normal"/>
    <w:next w:val="Tabletitle"/>
    <w:rsid w:val="006710F6"/>
    <w:pPr>
      <w:keepNext/>
      <w:spacing w:before="567"/>
      <w:jc w:val="center"/>
    </w:pPr>
  </w:style>
  <w:style w:type="paragraph" w:customStyle="1" w:styleId="Reasons">
    <w:name w:val="Reasons"/>
    <w:basedOn w:val="Normal"/>
    <w:qFormat/>
    <w:rsid w:val="000B0D00"/>
  </w:style>
  <w:style w:type="paragraph" w:customStyle="1" w:styleId="FigureNo">
    <w:name w:val="Figure_No"/>
    <w:basedOn w:val="Normal"/>
    <w:next w:val="Figuretitle"/>
    <w:rsid w:val="006710F6"/>
    <w:pPr>
      <w:keepNext/>
      <w:keepLines/>
      <w:spacing w:before="240" w:after="120"/>
      <w:jc w:val="center"/>
    </w:pPr>
    <w:rPr>
      <w:caps/>
    </w:rPr>
  </w:style>
  <w:style w:type="paragraph" w:customStyle="1" w:styleId="Table">
    <w:name w:val="Table_#"/>
    <w:basedOn w:val="Normal"/>
    <w:next w:val="Normal"/>
    <w:rsid w:val="00093EEB"/>
    <w:pPr>
      <w:keepNext/>
      <w:overflowPunct/>
      <w:autoSpaceDE/>
      <w:autoSpaceDN/>
      <w:adjustRightInd/>
      <w:spacing w:before="560" w:after="120"/>
      <w:jc w:val="center"/>
      <w:textAlignment w:val="auto"/>
    </w:pPr>
    <w:rPr>
      <w:caps/>
      <w:lang w:val="en-GB"/>
    </w:rPr>
  </w:style>
  <w:style w:type="table" w:styleId="PlainTable4">
    <w:name w:val="Plain Table 4"/>
    <w:basedOn w:val="TableNormal"/>
    <w:uiPriority w:val="44"/>
    <w:rsid w:val="007E3CAD"/>
    <w:rPr>
      <w:rFonts w:asciiTheme="minorHAnsi" w:eastAsiaTheme="minorEastAsia" w:hAnsiTheme="minorHAnsi" w:cstheme="minorBidi"/>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41">
    <w:name w:val="Plain Table 41"/>
    <w:basedOn w:val="TableNormal"/>
    <w:uiPriority w:val="44"/>
    <w:rsid w:val="007E3CAD"/>
    <w:rPr>
      <w:rFonts w:asciiTheme="minorHAnsi" w:eastAsiaTheme="minorEastAsia" w:hAnsiTheme="minorHAnsi" w:cstheme="minorBidi"/>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ootnoteTextChar">
    <w:name w:val="Footnote Text Char"/>
    <w:aliases w:val="ACMA Footnote Text Char,ALTS FOOTNOTE Char,Footnote Text Char1 Char,Footnote Text Char Char1 Char,Footnote Text Char4 Char Char Char,Footnote Text Char1 Char1 Char1 Char Char,Footnote Text Char Char1 Char1 Char Char Char,DNV- Char"/>
    <w:basedOn w:val="DefaultParagraphFont"/>
    <w:link w:val="FootnoteText"/>
    <w:rsid w:val="009E5AB9"/>
    <w:rPr>
      <w:rFonts w:ascii="Calibri" w:hAnsi="Calibri"/>
      <w:sz w:val="24"/>
      <w:lang w:val="es-ES_tradnl" w:eastAsia="en-US"/>
    </w:rPr>
  </w:style>
  <w:style w:type="table" w:styleId="PlainTable2">
    <w:name w:val="Plain Table 2"/>
    <w:basedOn w:val="TableNormal"/>
    <w:uiPriority w:val="42"/>
    <w:rsid w:val="009E5AB9"/>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ListParagraph">
    <w:name w:val="List Paragraph"/>
    <w:basedOn w:val="Normal"/>
    <w:link w:val="ListParagraphChar"/>
    <w:uiPriority w:val="34"/>
    <w:qFormat/>
    <w:rsid w:val="009E5AB9"/>
    <w:pPr>
      <w:tabs>
        <w:tab w:val="clear" w:pos="567"/>
        <w:tab w:val="clear" w:pos="1134"/>
        <w:tab w:val="clear" w:pos="1701"/>
        <w:tab w:val="clear" w:pos="2268"/>
        <w:tab w:val="clear" w:pos="2835"/>
      </w:tabs>
      <w:overflowPunct/>
      <w:autoSpaceDE/>
      <w:autoSpaceDN/>
      <w:adjustRightInd/>
      <w:spacing w:before="0" w:after="160" w:line="259" w:lineRule="auto"/>
      <w:ind w:left="720"/>
      <w:contextualSpacing/>
      <w:jc w:val="both"/>
      <w:textAlignment w:val="auto"/>
    </w:pPr>
    <w:rPr>
      <w:rFonts w:asciiTheme="minorHAnsi" w:eastAsiaTheme="minorHAnsi" w:hAnsiTheme="minorHAnsi" w:cstheme="minorBidi"/>
      <w:sz w:val="22"/>
      <w:szCs w:val="22"/>
      <w:lang w:val="en-US"/>
    </w:rPr>
  </w:style>
  <w:style w:type="paragraph" w:styleId="NormalWeb">
    <w:name w:val="Normal (Web)"/>
    <w:basedOn w:val="Normal"/>
    <w:uiPriority w:val="99"/>
    <w:semiHidden/>
    <w:unhideWhenUsed/>
    <w:rsid w:val="00B338BF"/>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ascii="Times New Roman" w:hAnsi="Times New Roman"/>
      <w:szCs w:val="24"/>
      <w:lang w:val="en-US" w:eastAsia="zh-CN"/>
    </w:rPr>
  </w:style>
  <w:style w:type="character" w:styleId="CommentReference">
    <w:name w:val="annotation reference"/>
    <w:basedOn w:val="DefaultParagraphFont"/>
    <w:uiPriority w:val="99"/>
    <w:semiHidden/>
    <w:unhideWhenUsed/>
    <w:rsid w:val="0083107C"/>
    <w:rPr>
      <w:sz w:val="16"/>
      <w:szCs w:val="16"/>
    </w:rPr>
  </w:style>
  <w:style w:type="paragraph" w:styleId="CommentText">
    <w:name w:val="annotation text"/>
    <w:basedOn w:val="Normal"/>
    <w:link w:val="CommentTextChar"/>
    <w:uiPriority w:val="99"/>
    <w:unhideWhenUsed/>
    <w:rsid w:val="0083107C"/>
    <w:rPr>
      <w:sz w:val="20"/>
    </w:rPr>
  </w:style>
  <w:style w:type="character" w:customStyle="1" w:styleId="CommentTextChar">
    <w:name w:val="Comment Text Char"/>
    <w:basedOn w:val="DefaultParagraphFont"/>
    <w:link w:val="CommentText"/>
    <w:uiPriority w:val="99"/>
    <w:rsid w:val="0083107C"/>
    <w:rPr>
      <w:rFonts w:ascii="Calibri" w:hAnsi="Calibri"/>
      <w:lang w:val="es-ES_tradnl" w:eastAsia="en-US"/>
    </w:rPr>
  </w:style>
  <w:style w:type="paragraph" w:styleId="CommentSubject">
    <w:name w:val="annotation subject"/>
    <w:basedOn w:val="CommentText"/>
    <w:next w:val="CommentText"/>
    <w:link w:val="CommentSubjectChar"/>
    <w:semiHidden/>
    <w:unhideWhenUsed/>
    <w:rsid w:val="0083107C"/>
    <w:rPr>
      <w:b/>
      <w:bCs/>
    </w:rPr>
  </w:style>
  <w:style w:type="character" w:customStyle="1" w:styleId="CommentSubjectChar">
    <w:name w:val="Comment Subject Char"/>
    <w:basedOn w:val="CommentTextChar"/>
    <w:link w:val="CommentSubject"/>
    <w:semiHidden/>
    <w:rsid w:val="0083107C"/>
    <w:rPr>
      <w:rFonts w:ascii="Calibri" w:hAnsi="Calibri"/>
      <w:b/>
      <w:bCs/>
      <w:lang w:val="es-ES_tradnl" w:eastAsia="en-US"/>
    </w:rPr>
  </w:style>
  <w:style w:type="paragraph" w:styleId="Revision">
    <w:name w:val="Revision"/>
    <w:hidden/>
    <w:uiPriority w:val="99"/>
    <w:semiHidden/>
    <w:rsid w:val="0083107C"/>
    <w:rPr>
      <w:rFonts w:ascii="Calibri" w:hAnsi="Calibri"/>
      <w:sz w:val="24"/>
      <w:lang w:val="es-ES_tradnl" w:eastAsia="en-US"/>
    </w:rPr>
  </w:style>
  <w:style w:type="paragraph" w:styleId="BalloonText">
    <w:name w:val="Balloon Text"/>
    <w:basedOn w:val="Normal"/>
    <w:link w:val="BalloonTextChar"/>
    <w:semiHidden/>
    <w:unhideWhenUsed/>
    <w:rsid w:val="0083107C"/>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83107C"/>
    <w:rPr>
      <w:rFonts w:ascii="Segoe UI" w:hAnsi="Segoe UI" w:cs="Segoe UI"/>
      <w:sz w:val="18"/>
      <w:szCs w:val="18"/>
      <w:lang w:val="es-ES_tradnl" w:eastAsia="en-US"/>
    </w:rPr>
  </w:style>
  <w:style w:type="character" w:customStyle="1" w:styleId="CallChar">
    <w:name w:val="Call Char"/>
    <w:basedOn w:val="DefaultParagraphFont"/>
    <w:link w:val="Call"/>
    <w:locked/>
    <w:rsid w:val="001D30AB"/>
    <w:rPr>
      <w:rFonts w:ascii="Calibri" w:hAnsi="Calibri"/>
      <w:i/>
      <w:sz w:val="24"/>
      <w:lang w:val="es-ES_tradnl" w:eastAsia="en-US"/>
    </w:rPr>
  </w:style>
  <w:style w:type="character" w:customStyle="1" w:styleId="href">
    <w:name w:val="href"/>
    <w:basedOn w:val="DefaultParagraphFont"/>
    <w:rsid w:val="001D30AB"/>
    <w:rPr>
      <w:color w:val="auto"/>
    </w:rPr>
  </w:style>
  <w:style w:type="character" w:customStyle="1" w:styleId="RestitleChar">
    <w:name w:val="Res_title Char"/>
    <w:basedOn w:val="DefaultParagraphFont"/>
    <w:link w:val="Restitle"/>
    <w:rsid w:val="001D30AB"/>
    <w:rPr>
      <w:rFonts w:ascii="Calibri" w:hAnsi="Calibri"/>
      <w:b/>
      <w:sz w:val="28"/>
      <w:lang w:val="es-ES_tradnl" w:eastAsia="en-US"/>
    </w:rPr>
  </w:style>
  <w:style w:type="character" w:customStyle="1" w:styleId="ResNoChar">
    <w:name w:val="Res_No Char"/>
    <w:basedOn w:val="DefaultParagraphFont"/>
    <w:link w:val="ResNo"/>
    <w:rsid w:val="001D30AB"/>
    <w:rPr>
      <w:rFonts w:ascii="Calibri" w:hAnsi="Calibri"/>
      <w:caps/>
      <w:sz w:val="28"/>
      <w:lang w:val="es-ES_tradnl" w:eastAsia="en-US"/>
    </w:rPr>
  </w:style>
  <w:style w:type="character" w:customStyle="1" w:styleId="ListParagraphChar">
    <w:name w:val="List Paragraph Char"/>
    <w:basedOn w:val="DefaultParagraphFont"/>
    <w:link w:val="ListParagraph"/>
    <w:uiPriority w:val="34"/>
    <w:rsid w:val="00A23B17"/>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A23B17"/>
    <w:rPr>
      <w:rFonts w:ascii="Calibri" w:hAnsi="Calibri"/>
      <w:sz w:val="18"/>
      <w:lang w:val="es-ES_tradnl" w:eastAsia="en-US"/>
    </w:rPr>
  </w:style>
  <w:style w:type="character" w:customStyle="1" w:styleId="FooterChar">
    <w:name w:val="Footer Char"/>
    <w:basedOn w:val="DefaultParagraphFont"/>
    <w:link w:val="Footer"/>
    <w:uiPriority w:val="99"/>
    <w:rsid w:val="00A23B17"/>
    <w:rPr>
      <w:rFonts w:ascii="Calibri" w:hAnsi="Calibri"/>
      <w:caps/>
      <w:noProof/>
      <w:sz w:val="16"/>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5724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image" Target="media/image4.emf"/><Relationship Id="rId10" Type="http://schemas.openxmlformats.org/officeDocument/2006/relationships/image" Target="media/image3.emf"/><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rnandf\AppData\Roaming\Microsoft\Templates\POOL%20S%20-%20ITU\PS_C18.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blue\dfs\pool\TRAD\S\SG\CONSEIL\CWG-SFP\CWG-SPF4\000\010%20(433977)%20LIN%20S.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8"/>
    </mc:Choice>
    <mc:Fallback>
      <c:style val="8"/>
    </mc:Fallback>
  </mc:AlternateContent>
  <c:chart>
    <c:autoTitleDeleted val="1"/>
    <c:plotArea>
      <c:layout/>
      <c:doughnutChart>
        <c:varyColors val="1"/>
        <c:ser>
          <c:idx val="0"/>
          <c:order val="0"/>
          <c:explosion val="6"/>
          <c:dPt>
            <c:idx val="0"/>
            <c:bubble3D val="0"/>
            <c:spPr>
              <a:gradFill rotWithShape="1">
                <a:gsLst>
                  <a:gs pos="0">
                    <a:schemeClr val="accent6">
                      <a:shade val="53000"/>
                      <a:shade val="51000"/>
                      <a:satMod val="130000"/>
                    </a:schemeClr>
                  </a:gs>
                  <a:gs pos="80000">
                    <a:schemeClr val="accent6">
                      <a:shade val="53000"/>
                      <a:shade val="93000"/>
                      <a:satMod val="130000"/>
                    </a:schemeClr>
                  </a:gs>
                  <a:gs pos="100000">
                    <a:schemeClr val="accent6">
                      <a:shade val="53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1"/>
            <c:bubble3D val="0"/>
            <c:spPr>
              <a:gradFill rotWithShape="1">
                <a:gsLst>
                  <a:gs pos="0">
                    <a:schemeClr val="accent6">
                      <a:shade val="76000"/>
                      <a:shade val="51000"/>
                      <a:satMod val="130000"/>
                    </a:schemeClr>
                  </a:gs>
                  <a:gs pos="80000">
                    <a:schemeClr val="accent6">
                      <a:shade val="76000"/>
                      <a:shade val="93000"/>
                      <a:satMod val="130000"/>
                    </a:schemeClr>
                  </a:gs>
                  <a:gs pos="100000">
                    <a:schemeClr val="accent6">
                      <a:shade val="76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2"/>
            <c:bubble3D val="0"/>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3"/>
            <c:bubble3D val="0"/>
            <c:spPr>
              <a:gradFill rotWithShape="1">
                <a:gsLst>
                  <a:gs pos="0">
                    <a:schemeClr val="accent6">
                      <a:tint val="77000"/>
                      <a:shade val="51000"/>
                      <a:satMod val="130000"/>
                    </a:schemeClr>
                  </a:gs>
                  <a:gs pos="80000">
                    <a:schemeClr val="accent6">
                      <a:tint val="77000"/>
                      <a:shade val="93000"/>
                      <a:satMod val="130000"/>
                    </a:schemeClr>
                  </a:gs>
                  <a:gs pos="100000">
                    <a:schemeClr val="accent6">
                      <a:tint val="77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Pt>
            <c:idx val="4"/>
            <c:bubble3D val="0"/>
            <c:spPr>
              <a:gradFill rotWithShape="1">
                <a:gsLst>
                  <a:gs pos="0">
                    <a:schemeClr val="accent6">
                      <a:tint val="54000"/>
                      <a:shade val="51000"/>
                      <a:satMod val="130000"/>
                    </a:schemeClr>
                  </a:gs>
                  <a:gs pos="80000">
                    <a:schemeClr val="accent6">
                      <a:tint val="54000"/>
                      <a:shade val="93000"/>
                      <a:satMod val="130000"/>
                    </a:schemeClr>
                  </a:gs>
                  <a:gs pos="100000">
                    <a:schemeClr val="accent6">
                      <a:tint val="5400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dPt>
          <c:dLbls>
            <c:dLbl>
              <c:idx val="0"/>
              <c:layout>
                <c:manualLayout>
                  <c:x val="0.13055555555555545"/>
                  <c:y val="-4.1666666666666755E-2"/>
                </c:manualLayout>
              </c:layout>
              <c:tx>
                <c:rich>
                  <a:bodyPr/>
                  <a:lstStyle/>
                  <a:p>
                    <a:fld id="{3F78B9A0-7925-4939-BB0D-AF8CCB067B8F}" type="CATEGORYNAME">
                      <a:rPr lang="en-US"/>
                      <a:pPr/>
                      <a:t>[CATEGORY NAME]</a:t>
                    </a:fld>
                    <a:r>
                      <a:rPr lang="en-US" baseline="0"/>
                      <a:t>
24,71%</a:t>
                    </a:r>
                  </a:p>
                </c:rich>
              </c:tx>
              <c:showLegendKey val="1"/>
              <c:showVal val="0"/>
              <c:showCatName val="1"/>
              <c:showSerName val="0"/>
              <c:showPercent val="1"/>
              <c:showBubbleSize val="0"/>
              <c:extLst>
                <c:ext xmlns:c15="http://schemas.microsoft.com/office/drawing/2012/chart" uri="{CE6537A1-D6FC-4f65-9D91-7224C49458BB}">
                  <c15:layout/>
                  <c15:dlblFieldTable/>
                  <c15:showDataLabelsRange val="0"/>
                </c:ext>
              </c:extLst>
            </c:dLbl>
            <c:dLbl>
              <c:idx val="1"/>
              <c:layout>
                <c:manualLayout>
                  <c:x val="-0.16666666666666671"/>
                  <c:y val="5.5555555555555552E-2"/>
                </c:manualLayout>
              </c:layout>
              <c:tx>
                <c:rich>
                  <a:bodyPr/>
                  <a:lstStyle/>
                  <a:p>
                    <a:fld id="{A80ECBEC-B2A2-4AF3-BB78-DF90B21CE28A}" type="CATEGORYNAME">
                      <a:rPr lang="en-US"/>
                      <a:pPr/>
                      <a:t>[CATEGORY NAME]</a:t>
                    </a:fld>
                    <a:r>
                      <a:rPr lang="en-US" baseline="0"/>
                      <a:t> </a:t>
                    </a:r>
                    <a:br>
                      <a:rPr lang="en-US" baseline="0"/>
                    </a:br>
                    <a:r>
                      <a:rPr lang="en-US" baseline="0"/>
                      <a:t>33,05%</a:t>
                    </a:r>
                  </a:p>
                </c:rich>
              </c:tx>
              <c:showLegendKey val="1"/>
              <c:showVal val="0"/>
              <c:showCatName val="1"/>
              <c:showSerName val="0"/>
              <c:showPercent val="1"/>
              <c:showBubbleSize val="0"/>
              <c:extLst>
                <c:ext xmlns:c15="http://schemas.microsoft.com/office/drawing/2012/chart" uri="{CE6537A1-D6FC-4f65-9D91-7224C49458BB}">
                  <c15:layout/>
                  <c15:dlblFieldTable/>
                  <c15:showDataLabelsRange val="0"/>
                </c:ext>
              </c:extLst>
            </c:dLbl>
            <c:dLbl>
              <c:idx val="2"/>
              <c:layout>
                <c:manualLayout>
                  <c:x val="-0.11944444444444446"/>
                  <c:y val="-1.8518518518518563E-2"/>
                </c:manualLayout>
              </c:layout>
              <c:tx>
                <c:rich>
                  <a:bodyPr/>
                  <a:lstStyle/>
                  <a:p>
                    <a:fld id="{338CF8F4-91CE-4E3F-9A08-EB1B8FF3A1F5}" type="CATEGORYNAME">
                      <a:rPr lang="en-US"/>
                      <a:pPr/>
                      <a:t>[CATEGORY NAME]</a:t>
                    </a:fld>
                    <a:r>
                      <a:rPr lang="en-US" baseline="0"/>
                      <a:t>
18,15%</a:t>
                    </a:r>
                  </a:p>
                </c:rich>
              </c:tx>
              <c:showLegendKey val="1"/>
              <c:showVal val="0"/>
              <c:showCatName val="1"/>
              <c:showSerName val="0"/>
              <c:showPercent val="1"/>
              <c:showBubbleSize val="0"/>
              <c:extLst>
                <c:ext xmlns:c15="http://schemas.microsoft.com/office/drawing/2012/chart" uri="{CE6537A1-D6FC-4f65-9D91-7224C49458BB}">
                  <c15:layout/>
                  <c15:dlblFieldTable/>
                  <c15:showDataLabelsRange val="0"/>
                </c:ext>
              </c:extLst>
            </c:dLbl>
            <c:dLbl>
              <c:idx val="3"/>
              <c:layout>
                <c:manualLayout>
                  <c:x val="-0.15555555555555556"/>
                  <c:y val="-5.0462909953113512E-2"/>
                </c:manualLayout>
              </c:layout>
              <c:tx>
                <c:rich>
                  <a:bodyPr/>
                  <a:lstStyle/>
                  <a:p>
                    <a:fld id="{DF4D5F68-AC9B-472E-841B-C16174D69A29}" type="CATEGORYNAME">
                      <a:rPr lang="en-US"/>
                      <a:pPr/>
                      <a:t>[CATEGORY NAME]</a:t>
                    </a:fld>
                    <a:r>
                      <a:rPr lang="en-US" baseline="0"/>
                      <a:t>
13,04%</a:t>
                    </a:r>
                  </a:p>
                </c:rich>
              </c:tx>
              <c:showLegendKey val="1"/>
              <c:showVal val="0"/>
              <c:showCatName val="1"/>
              <c:showSerName val="0"/>
              <c:showPercent val="1"/>
              <c:showBubbleSize val="0"/>
              <c:extLst>
                <c:ext xmlns:c15="http://schemas.microsoft.com/office/drawing/2012/chart" uri="{CE6537A1-D6FC-4f65-9D91-7224C49458BB}">
                  <c15:layout/>
                  <c15:dlblFieldTable/>
                  <c15:showDataLabelsRange val="0"/>
                </c:ext>
              </c:extLst>
            </c:dLbl>
            <c:dLbl>
              <c:idx val="4"/>
              <c:layout>
                <c:manualLayout>
                  <c:x val="0.1111111111111111"/>
                  <c:y val="-6.8518678307520245E-2"/>
                </c:manualLayout>
              </c:layout>
              <c:tx>
                <c:rich>
                  <a:bodyPr/>
                  <a:lstStyle/>
                  <a:p>
                    <a:fld id="{A795B34A-1492-4E5C-8CAC-177857C65926}" type="CATEGORYNAME">
                      <a:rPr lang="en-US"/>
                      <a:pPr/>
                      <a:t>[CATEGORY NAME]</a:t>
                    </a:fld>
                    <a:r>
                      <a:rPr lang="en-US" baseline="0"/>
                      <a:t>
11,05%</a:t>
                    </a:r>
                  </a:p>
                </c:rich>
              </c:tx>
              <c:showLegendKey val="1"/>
              <c:showVal val="0"/>
              <c:showCatName val="1"/>
              <c:showSerName val="0"/>
              <c:showPercent val="1"/>
              <c:showBubbleSize val="0"/>
              <c:extLst>
                <c:ext xmlns:c15="http://schemas.microsoft.com/office/drawing/2012/chart" uri="{CE6537A1-D6FC-4f65-9D91-7224C49458BB}">
                  <c15:layout/>
                  <c15:dlblFieldTable/>
                  <c15:showDataLabelsRange val="0"/>
                </c:ext>
              </c:extLst>
            </c:dLbl>
            <c:numFmt formatCode="0.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s-ES_tradnl"/>
              </a:p>
            </c:txPr>
            <c:showLegendKey val="1"/>
            <c:showVal val="0"/>
            <c:showCatName val="1"/>
            <c:showSerName val="0"/>
            <c:showPercent val="1"/>
            <c:showBubbleSize val="0"/>
            <c:showLeaderLines val="1"/>
            <c:leaderLines>
              <c:spPr>
                <a:ln w="9525">
                  <a:solidFill>
                    <a:schemeClr val="lt1">
                      <a:lumMod val="95000"/>
                      <a:alpha val="54000"/>
                    </a:schemeClr>
                  </a:solidFill>
                </a:ln>
                <a:effectLst/>
              </c:spPr>
            </c:leaderLines>
            <c:extLst>
              <c:ext xmlns:c15="http://schemas.microsoft.com/office/drawing/2012/chart" uri="{CE6537A1-D6FC-4f65-9D91-7224C49458BB}"/>
            </c:extLst>
          </c:dLbls>
          <c:cat>
            <c:strRef>
              <c:f>'RBB view'!$A$28:$A$32</c:f>
              <c:strCache>
                <c:ptCount val="5"/>
                <c:pt idx="0">
                  <c:v>Meta 1: Crecimiento</c:v>
                </c:pt>
                <c:pt idx="1">
                  <c:v>Meta 2:  Integración</c:v>
                </c:pt>
                <c:pt idx="2">
                  <c:v>Meta 3: Sostenibilidad</c:v>
                </c:pt>
                <c:pt idx="3">
                  <c:v>Meta 4: Innovación</c:v>
                </c:pt>
                <c:pt idx="4">
                  <c:v>Meta 5: Asociación</c:v>
                </c:pt>
              </c:strCache>
            </c:strRef>
          </c:cat>
          <c:val>
            <c:numRef>
              <c:f>'RBB view'!$B$28:$B$32</c:f>
              <c:numCache>
                <c:formatCode>#,##0</c:formatCode>
                <c:ptCount val="5"/>
                <c:pt idx="0">
                  <c:v>159198.25139215228</c:v>
                </c:pt>
                <c:pt idx="1">
                  <c:v>212941.32184877025</c:v>
                </c:pt>
                <c:pt idx="2">
                  <c:v>116905.87694944587</c:v>
                </c:pt>
                <c:pt idx="3">
                  <c:v>83985.371170832368</c:v>
                </c:pt>
                <c:pt idx="4">
                  <c:v>71186.178638799203</c:v>
                </c:pt>
              </c:numCache>
            </c:numRef>
          </c:val>
        </c:ser>
        <c:dLbls>
          <c:showLegendKey val="0"/>
          <c:showVal val="0"/>
          <c:showCatName val="0"/>
          <c:showSerName val="0"/>
          <c:showPercent val="0"/>
          <c:showBubbleSize val="0"/>
          <c:showLeaderLines val="1"/>
        </c:dLbls>
        <c:firstSliceAng val="46"/>
        <c:holeSize val="75"/>
      </c:doughnutChart>
      <c:spPr>
        <a:noFill/>
        <a:ln>
          <a:noFill/>
        </a:ln>
        <a:effectLst/>
      </c:spPr>
    </c:plotArea>
    <c:plotVisOnly val="1"/>
    <c:dispBlanksAs val="gap"/>
    <c:showDLblsOverMax val="0"/>
  </c:chart>
  <c:spPr>
    <a:solidFill>
      <a:schemeClr val="bg1">
        <a:lumMod val="95000"/>
      </a:schemeClr>
    </a:solidFill>
    <a:ln>
      <a:noFill/>
    </a:ln>
    <a:effectLst/>
  </c:spPr>
  <c:txPr>
    <a:bodyPr/>
    <a:lstStyle/>
    <a:p>
      <a:pPr>
        <a:defRPr/>
      </a:pPr>
      <a:endParaRPr lang="es-ES_tradnl"/>
    </a:p>
  </c:txPr>
  <c:externalData r:id="rId3">
    <c:autoUpdate val="0"/>
  </c:externalData>
</c:chartSpace>
</file>

<file path=word/charts/colors1.xml><?xml version="1.0" encoding="utf-8"?>
<cs:colorStyle xmlns:cs="http://schemas.microsoft.com/office/drawing/2012/chartStyle" xmlns:a="http://schemas.openxmlformats.org/drawingml/2006/main" meth="withinLinear" id="19">
  <a:schemeClr val="accent6"/>
</cs:colorStyle>
</file>

<file path=word/charts/style1.xml><?xml version="1.0" encoding="utf-8"?>
<cs:chartStyle xmlns:cs="http://schemas.microsoft.com/office/drawing/2012/chartStyle" xmlns:a="http://schemas.openxmlformats.org/drawingml/2006/main" id="257">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98D00D-BAD5-4B81-8F72-9A1EAD030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PS_C18.dotx</Template>
  <TotalTime>49</TotalTime>
  <Pages>8</Pages>
  <Words>1154</Words>
  <Characters>6261</Characters>
  <Application>Microsoft Office Word</Application>
  <DocSecurity>0</DocSecurity>
  <Lines>52</Lines>
  <Paragraphs>14</Paragraphs>
  <ScaleCrop>false</ScaleCrop>
  <HeadingPairs>
    <vt:vector size="4" baseType="variant">
      <vt:variant>
        <vt:lpstr>Title</vt:lpstr>
      </vt:variant>
      <vt:variant>
        <vt:i4>1</vt:i4>
      </vt:variant>
      <vt:variant>
        <vt:lpstr>UNIÓN INTERNACIONAL DE TELECOMUNICACIONES	</vt:lpstr>
      </vt:variant>
      <vt:variant>
        <vt:i4>0</vt:i4>
      </vt:variant>
    </vt:vector>
  </HeadingPairs>
  <TitlesOfParts>
    <vt:vector size="1" baseType="lpstr">
      <vt:lpstr/>
    </vt:vector>
  </TitlesOfParts>
  <Manager>Secretaría General - Pool</Manager>
  <Company>Unión Internacional de Telecomunicaciones (UIT)</Company>
  <LinksUpToDate>false</LinksUpToDate>
  <CharactersWithSpaces>7401</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Consejo 2018</dc:subject>
  <dc:creator>Spanish83</dc:creator>
  <cp:keywords>C2018, C18</cp:keywords>
  <dc:description/>
  <cp:lastModifiedBy>Spanish</cp:lastModifiedBy>
  <cp:revision>123</cp:revision>
  <cp:lastPrinted>2018-04-05T11:29:00Z</cp:lastPrinted>
  <dcterms:created xsi:type="dcterms:W3CDTF">2018-04-11T09:04:00Z</dcterms:created>
  <dcterms:modified xsi:type="dcterms:W3CDTF">2018-04-11T12:35:00Z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Documento C17/-S</vt:lpwstr>
  </property>
  <property fmtid="{D5CDD505-2E9C-101B-9397-08002B2CF9AE}" pid="3" name="Docdate">
    <vt:lpwstr>enero de 2017</vt:lpwstr>
  </property>
  <property fmtid="{D5CDD505-2E9C-101B-9397-08002B2CF9AE}" pid="4" name="Docorlang">
    <vt:lpwstr>Original: inglés</vt:lpwstr>
  </property>
  <property fmtid="{D5CDD505-2E9C-101B-9397-08002B2CF9AE}" pid="5" name="Docbluepink">
    <vt:lpwstr>Consejo 2017 Ginebra, 15-25 de mayo de 2017</vt:lpwstr>
  </property>
  <property fmtid="{D5CDD505-2E9C-101B-9397-08002B2CF9AE}" pid="6" name="Docdest">
    <vt:lpwstr/>
  </property>
  <property fmtid="{D5CDD505-2E9C-101B-9397-08002B2CF9AE}" pid="7" name="Docauthor">
    <vt:lpwstr/>
  </property>
</Properties>
</file>