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C20DAB">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C20DAB">
              <w:rPr>
                <w:rFonts w:cs="Times New Roman Bold" w:hint="eastAsia"/>
                <w:b/>
                <w:lang w:eastAsia="zh-CN"/>
              </w:rPr>
              <w:t>四</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sidR="00C20DAB">
              <w:rPr>
                <w:rFonts w:cs="Times New Roman Bold"/>
                <w:b/>
                <w:lang w:eastAsia="zh-CN"/>
              </w:rPr>
              <w:t>201</w:t>
            </w:r>
            <w:r w:rsidR="00C20DAB">
              <w:rPr>
                <w:rFonts w:cs="Times New Roman Bold" w:hint="eastAsia"/>
                <w:b/>
                <w:lang w:eastAsia="zh-CN"/>
              </w:rPr>
              <w:t>8</w:t>
            </w:r>
            <w:r>
              <w:rPr>
                <w:rFonts w:cs="Times New Roman Bold"/>
                <w:b/>
                <w:lang w:eastAsia="zh-CN"/>
              </w:rPr>
              <w:t>年</w:t>
            </w:r>
            <w:r w:rsidR="00C20DAB">
              <w:rPr>
                <w:rFonts w:cs="Times New Roman Bold" w:hint="eastAsia"/>
                <w:b/>
                <w:lang w:eastAsia="zh-CN"/>
              </w:rPr>
              <w:t>4</w:t>
            </w:r>
            <w:r>
              <w:rPr>
                <w:rFonts w:cs="Times New Roman Bold"/>
                <w:b/>
                <w:lang w:eastAsia="zh-CN"/>
              </w:rPr>
              <w:t>月</w:t>
            </w:r>
            <w:r w:rsidR="00C20DAB">
              <w:rPr>
                <w:rFonts w:cs="Times New Roman Bold" w:hint="eastAsia"/>
                <w:b/>
                <w:lang w:eastAsia="zh-CN"/>
              </w:rPr>
              <w:t>16</w:t>
            </w:r>
            <w:r>
              <w:rPr>
                <w:rFonts w:cs="Times New Roman Bold" w:hint="eastAsia"/>
                <w:b/>
                <w:lang w:eastAsia="zh-CN"/>
              </w:rPr>
              <w:t>日</w:t>
            </w:r>
            <w:r>
              <w:rPr>
                <w:rFonts w:cs="Times New Roman Bold"/>
                <w:b/>
                <w:lang w:eastAsia="zh-CN"/>
              </w:rPr>
              <w:t>，日内瓦</w:t>
            </w:r>
          </w:p>
        </w:tc>
        <w:tc>
          <w:tcPr>
            <w:tcW w:w="3120" w:type="dxa"/>
          </w:tcPr>
          <w:p w:rsidR="00700D1F" w:rsidRDefault="00FE242D" w:rsidP="00864589">
            <w:pPr>
              <w:spacing w:before="0"/>
              <w:jc w:val="right"/>
            </w:pPr>
            <w:bookmarkStart w:id="0" w:name="ditulogo"/>
            <w:bookmarkEnd w:id="0"/>
            <w:r>
              <w:rPr>
                <w:noProof/>
                <w:lang w:eastAsia="zh-CN"/>
              </w:rPr>
              <w:drawing>
                <wp:inline distT="0" distB="0" distL="0" distR="0" wp14:anchorId="4A1B92AB" wp14:editId="1ED687DC">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rsidRPr="00FE242D">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4F0BEA" w:rsidRDefault="00700D1F" w:rsidP="00D052D3">
            <w:pPr>
              <w:tabs>
                <w:tab w:val="left" w:pos="851"/>
              </w:tabs>
              <w:spacing w:before="0"/>
              <w:rPr>
                <w:b/>
                <w:bCs/>
                <w:lang w:eastAsia="zh-CN"/>
              </w:rPr>
            </w:pPr>
            <w:r w:rsidRPr="00FC5386">
              <w:rPr>
                <w:rFonts w:hint="eastAsia"/>
                <w:b/>
                <w:bCs/>
                <w:szCs w:val="24"/>
                <w:lang w:val="fr-CH" w:eastAsia="zh-CN"/>
              </w:rPr>
              <w:t>文件</w:t>
            </w:r>
            <w:r w:rsidRPr="004F0BEA">
              <w:rPr>
                <w:b/>
                <w:bCs/>
                <w:sz w:val="20"/>
                <w:lang w:eastAsia="zh-CN"/>
              </w:rPr>
              <w:t xml:space="preserve"> </w:t>
            </w:r>
            <w:r w:rsidR="00C20DAB">
              <w:rPr>
                <w:rFonts w:cs="Times New Roman Bold"/>
                <w:b/>
                <w:spacing w:val="-4"/>
                <w:lang w:val="de-CH"/>
              </w:rPr>
              <w:t>CWG-SFP-</w:t>
            </w:r>
            <w:r w:rsidR="00C20DAB">
              <w:rPr>
                <w:rFonts w:cs="Times New Roman Bold" w:hint="eastAsia"/>
                <w:b/>
                <w:spacing w:val="-4"/>
                <w:lang w:val="de-CH" w:eastAsia="zh-CN"/>
              </w:rPr>
              <w:t>4</w:t>
            </w:r>
            <w:r w:rsidR="00120CC2" w:rsidRPr="00A74ED2">
              <w:rPr>
                <w:rFonts w:cs="Times New Roman Bold"/>
                <w:b/>
                <w:spacing w:val="-4"/>
                <w:lang w:val="de-CH"/>
              </w:rPr>
              <w:t>/</w:t>
            </w:r>
            <w:r w:rsidR="00BC7847">
              <w:rPr>
                <w:rFonts w:cs="Times New Roman Bold"/>
                <w:b/>
                <w:spacing w:val="-4"/>
                <w:lang w:val="de-CH"/>
              </w:rPr>
              <w:t>8</w:t>
            </w:r>
            <w:r w:rsidR="00D052D3">
              <w:rPr>
                <w:rFonts w:cs="Times New Roman Bold" w:hint="eastAsia"/>
                <w:b/>
                <w:spacing w:val="-4"/>
                <w:lang w:val="de-CH" w:eastAsia="zh-CN"/>
              </w:rPr>
              <w:t>a</w:t>
            </w:r>
            <w:r w:rsidR="00120CC2" w:rsidRPr="00A74ED2">
              <w:rPr>
                <w:rFonts w:cs="Times New Roman Bold"/>
                <w:b/>
                <w:spacing w:val="-4"/>
                <w:lang w:val="de-CH"/>
              </w:rPr>
              <w:t>-</w:t>
            </w:r>
            <w:r w:rsidR="004F0BEA">
              <w:rPr>
                <w:rFonts w:cs="Times New Roman Bold"/>
                <w:b/>
                <w:spacing w:val="-4"/>
                <w:lang w:val="de-CH"/>
              </w:rPr>
              <w:t>C</w:t>
            </w:r>
          </w:p>
        </w:tc>
      </w:tr>
      <w:bookmarkEnd w:id="1"/>
      <w:tr w:rsidR="00700D1F">
        <w:trPr>
          <w:cantSplit/>
          <w:trHeight w:val="23"/>
        </w:trPr>
        <w:tc>
          <w:tcPr>
            <w:tcW w:w="6911" w:type="dxa"/>
            <w:vMerge/>
          </w:tcPr>
          <w:p w:rsidR="00700D1F" w:rsidRPr="004F0BEA" w:rsidRDefault="00700D1F" w:rsidP="00001B77">
            <w:pPr>
              <w:tabs>
                <w:tab w:val="left" w:pos="851"/>
              </w:tabs>
              <w:rPr>
                <w:b/>
                <w:lang w:eastAsia="zh-CN"/>
              </w:rPr>
            </w:pPr>
          </w:p>
        </w:tc>
        <w:tc>
          <w:tcPr>
            <w:tcW w:w="3120" w:type="dxa"/>
          </w:tcPr>
          <w:p w:rsidR="00700D1F" w:rsidRPr="00FC5386" w:rsidRDefault="00700D1F" w:rsidP="00120CC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C20DAB">
              <w:rPr>
                <w:b/>
                <w:bCs/>
                <w:szCs w:val="24"/>
                <w:lang w:eastAsia="zh-CN"/>
              </w:rPr>
              <w:t>8</w:t>
            </w:r>
            <w:r w:rsidRPr="00FC5386">
              <w:rPr>
                <w:rFonts w:hint="eastAsia"/>
                <w:b/>
                <w:bCs/>
                <w:szCs w:val="24"/>
                <w:lang w:eastAsia="zh-CN"/>
              </w:rPr>
              <w:t>年</w:t>
            </w:r>
            <w:r w:rsidR="00C20DAB">
              <w:rPr>
                <w:rFonts w:asciiTheme="minorHAnsi" w:hAnsiTheme="minorHAnsi" w:cstheme="minorHAnsi"/>
                <w:b/>
                <w:bCs/>
                <w:szCs w:val="24"/>
                <w:lang w:eastAsia="zh-CN"/>
              </w:rPr>
              <w:t>3</w:t>
            </w:r>
            <w:r w:rsidRPr="00FC5386">
              <w:rPr>
                <w:rFonts w:hint="eastAsia"/>
                <w:b/>
                <w:bCs/>
                <w:szCs w:val="24"/>
                <w:lang w:eastAsia="zh-CN"/>
              </w:rPr>
              <w:t>月</w:t>
            </w:r>
            <w:r w:rsidR="00C20DAB">
              <w:rPr>
                <w:rFonts w:asciiTheme="minorHAnsi" w:hAnsiTheme="minorHAnsi" w:cstheme="minorHAnsi"/>
                <w:b/>
                <w:bCs/>
                <w:szCs w:val="24"/>
                <w:lang w:eastAsia="zh-CN"/>
              </w:rPr>
              <w:t>9</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C20DAB" w:rsidRDefault="00C20DAB" w:rsidP="00C20DAB">
      <w:pPr>
        <w:pStyle w:val="ResNo"/>
        <w:rPr>
          <w:sz w:val="32"/>
          <w:lang w:eastAsia="zh-CN"/>
        </w:rPr>
      </w:pPr>
      <w:bookmarkStart w:id="2" w:name="_Toc413838433"/>
      <w:r>
        <w:rPr>
          <w:rStyle w:val="href"/>
          <w:rFonts w:hint="eastAsia"/>
        </w:rPr>
        <w:t>第</w:t>
      </w:r>
      <w:r>
        <w:rPr>
          <w:rStyle w:val="href"/>
        </w:rPr>
        <w:t>151</w:t>
      </w:r>
      <w:r>
        <w:rPr>
          <w:rStyle w:val="href"/>
          <w:rFonts w:hint="eastAsia"/>
        </w:rPr>
        <w:t>号决议</w:t>
      </w:r>
      <w:r>
        <w:rPr>
          <w:rFonts w:hint="eastAsia"/>
          <w:lang w:eastAsia="zh-CN"/>
        </w:rPr>
        <w:t>（</w:t>
      </w:r>
      <w:r>
        <w:rPr>
          <w:lang w:eastAsia="zh-CN"/>
        </w:rPr>
        <w:t>201</w:t>
      </w:r>
      <w:r>
        <w:rPr>
          <w:rFonts w:hint="eastAsia"/>
          <w:lang w:eastAsia="zh-CN"/>
        </w:rPr>
        <w:t>8</w:t>
      </w:r>
      <w:r>
        <w:rPr>
          <w:rFonts w:hint="eastAsia"/>
          <w:lang w:eastAsia="zh-CN"/>
        </w:rPr>
        <w:t>年，迪拜，修订版）</w:t>
      </w:r>
      <w:bookmarkEnd w:id="2"/>
    </w:p>
    <w:p w:rsidR="00C20DAB" w:rsidRDefault="004F0BEA" w:rsidP="00D052D3">
      <w:pPr>
        <w:pStyle w:val="Restitle"/>
        <w:rPr>
          <w:lang w:eastAsia="zh-CN"/>
        </w:rPr>
      </w:pPr>
      <w:bookmarkStart w:id="3" w:name="_Toc413838434"/>
      <w:bookmarkStart w:id="4" w:name="_Toc407024808"/>
      <w:r>
        <w:rPr>
          <w:rFonts w:hint="eastAsia"/>
          <w:lang w:eastAsia="zh-CN"/>
        </w:rPr>
        <w:t>改进</w:t>
      </w:r>
      <w:r w:rsidR="00C20DAB">
        <w:rPr>
          <w:rFonts w:hint="eastAsia"/>
          <w:lang w:eastAsia="zh-CN"/>
        </w:rPr>
        <w:t>国际电联基于结果的管理方式</w:t>
      </w:r>
      <w:bookmarkEnd w:id="3"/>
      <w:bookmarkEnd w:id="4"/>
    </w:p>
    <w:p w:rsidR="00C20DAB" w:rsidRDefault="00C20DAB" w:rsidP="00D052D3">
      <w:pPr>
        <w:pStyle w:val="Normalaftertitle"/>
        <w:rPr>
          <w:lang w:eastAsia="zh-CN"/>
        </w:rPr>
      </w:pPr>
      <w:r>
        <w:rPr>
          <w:highlight w:val="green"/>
          <w:lang w:eastAsia="zh-CN"/>
        </w:rPr>
        <w:t>[</w:t>
      </w:r>
      <w:r w:rsidR="00D052D3">
        <w:rPr>
          <w:rFonts w:hint="eastAsia"/>
          <w:highlight w:val="green"/>
          <w:lang w:eastAsia="zh-CN"/>
        </w:rPr>
        <w:t>第</w:t>
      </w:r>
      <w:r>
        <w:rPr>
          <w:highlight w:val="green"/>
          <w:lang w:eastAsia="zh-CN"/>
        </w:rPr>
        <w:t>72</w:t>
      </w:r>
      <w:r w:rsidR="00D052D3">
        <w:rPr>
          <w:rFonts w:hint="eastAsia"/>
          <w:highlight w:val="green"/>
          <w:lang w:eastAsia="zh-CN"/>
        </w:rPr>
        <w:t>号决议的案文</w:t>
      </w:r>
      <w:r w:rsidRPr="0080496B">
        <w:rPr>
          <w:highlight w:val="green"/>
          <w:lang w:eastAsia="zh-CN"/>
        </w:rPr>
        <w:t>]</w:t>
      </w:r>
    </w:p>
    <w:p w:rsidR="00C20DAB" w:rsidRDefault="00C20DAB">
      <w:pPr>
        <w:pStyle w:val="Normalaftertitle"/>
        <w:rPr>
          <w:lang w:eastAsia="zh-CN"/>
        </w:rPr>
      </w:pPr>
      <w:r>
        <w:rPr>
          <w:rFonts w:hint="eastAsia"/>
          <w:lang w:eastAsia="zh-CN"/>
        </w:rPr>
        <w:t>国际电信联盟全权代表大会（</w:t>
      </w:r>
      <w:r>
        <w:rPr>
          <w:rFonts w:hint="eastAsia"/>
          <w:lang w:eastAsia="zh-CN"/>
        </w:rPr>
        <w:t>2018</w:t>
      </w:r>
      <w:r>
        <w:rPr>
          <w:rFonts w:hint="eastAsia"/>
          <w:lang w:eastAsia="zh-CN"/>
        </w:rPr>
        <w:t>年，迪拜），</w:t>
      </w:r>
    </w:p>
    <w:p w:rsidR="00C20DAB" w:rsidRPr="005F0613" w:rsidRDefault="00C20DAB" w:rsidP="00D052D3">
      <w:pPr>
        <w:pStyle w:val="Call"/>
        <w:jc w:val="both"/>
        <w:rPr>
          <w:rFonts w:eastAsia="STKaiti"/>
          <w:lang w:eastAsia="zh-CN"/>
        </w:rPr>
      </w:pPr>
      <w:r w:rsidRPr="00D052D3">
        <w:rPr>
          <w:rFonts w:eastAsia="STKaiti" w:hint="eastAsia"/>
          <w:lang w:eastAsia="zh-CN"/>
        </w:rPr>
        <w:t>考虑到</w:t>
      </w:r>
    </w:p>
    <w:p w:rsidR="00C20DAB" w:rsidRDefault="00C20DAB" w:rsidP="00D052D3">
      <w:pPr>
        <w:rPr>
          <w:rFonts w:hAnsiTheme="minorHAnsi"/>
          <w:lang w:eastAsia="zh-CN"/>
        </w:rPr>
      </w:pPr>
      <w:r>
        <w:rPr>
          <w:rFonts w:hAnsiTheme="minorHAnsi"/>
          <w:i/>
          <w:lang w:eastAsia="zh-CN"/>
        </w:rPr>
        <w:t>a)</w:t>
      </w:r>
      <w:r>
        <w:rPr>
          <w:rFonts w:hAnsiTheme="minorHAnsi"/>
          <w:lang w:eastAsia="zh-CN"/>
        </w:rPr>
        <w:tab/>
      </w:r>
      <w:r>
        <w:rPr>
          <w:rFonts w:hint="eastAsia"/>
          <w:lang w:eastAsia="zh-CN"/>
        </w:rPr>
        <w:t>第</w:t>
      </w:r>
      <w:r>
        <w:rPr>
          <w:rFonts w:hAnsiTheme="minorHAnsi"/>
          <w:lang w:eastAsia="zh-CN"/>
        </w:rPr>
        <w:t>72</w:t>
      </w:r>
      <w:r>
        <w:rPr>
          <w:rFonts w:hint="eastAsia"/>
          <w:lang w:eastAsia="zh-CN"/>
        </w:rPr>
        <w:t>号决议（</w:t>
      </w:r>
      <w:r>
        <w:rPr>
          <w:rFonts w:hAnsiTheme="minorHAnsi"/>
          <w:lang w:eastAsia="zh-CN"/>
        </w:rPr>
        <w:t>2014</w:t>
      </w:r>
      <w:r>
        <w:rPr>
          <w:rFonts w:hAnsiTheme="minorHAnsi" w:hint="eastAsia"/>
          <w:lang w:eastAsia="zh-CN"/>
        </w:rPr>
        <w:t>年，釜山</w:t>
      </w:r>
      <w:r>
        <w:rPr>
          <w:rFonts w:hint="eastAsia"/>
          <w:lang w:eastAsia="zh-CN"/>
        </w:rPr>
        <w:t>，修订版）</w:t>
      </w:r>
      <w:r w:rsidR="004F0BEA">
        <w:rPr>
          <w:rFonts w:hint="eastAsia"/>
          <w:lang w:eastAsia="zh-CN"/>
        </w:rPr>
        <w:t>强调</w:t>
      </w:r>
      <w:r w:rsidR="0089168D">
        <w:rPr>
          <w:lang w:eastAsia="zh-CN"/>
        </w:rPr>
        <w:t>，有必要通过相应文件及这些文件所含信息之间的关系将战略、财务和运作规划联系一起；</w:t>
      </w:r>
    </w:p>
    <w:p w:rsidR="00C20DAB" w:rsidRDefault="00C20DAB" w:rsidP="00D052D3">
      <w:pPr>
        <w:rPr>
          <w:lang w:eastAsia="zh-CN"/>
        </w:rPr>
      </w:pPr>
      <w:r>
        <w:rPr>
          <w:rFonts w:hAnsiTheme="minorHAnsi"/>
          <w:i/>
          <w:lang w:eastAsia="zh-CN"/>
        </w:rPr>
        <w:t>b)</w:t>
      </w:r>
      <w:r>
        <w:rPr>
          <w:rFonts w:hAnsiTheme="minorHAnsi"/>
          <w:lang w:eastAsia="zh-CN"/>
        </w:rPr>
        <w:tab/>
      </w:r>
      <w:r>
        <w:rPr>
          <w:rFonts w:hAnsiTheme="minorHAnsi" w:hint="eastAsia"/>
          <w:lang w:eastAsia="zh-CN"/>
        </w:rPr>
        <w:t>全权代表大会</w:t>
      </w:r>
      <w:r>
        <w:rPr>
          <w:rFonts w:hint="eastAsia"/>
          <w:lang w:eastAsia="zh-CN"/>
        </w:rPr>
        <w:t>第</w:t>
      </w:r>
      <w:r>
        <w:rPr>
          <w:rFonts w:hAnsiTheme="minorHAnsi"/>
          <w:lang w:eastAsia="zh-CN"/>
        </w:rPr>
        <w:t>151</w:t>
      </w:r>
      <w:r>
        <w:rPr>
          <w:rFonts w:hint="eastAsia"/>
          <w:lang w:eastAsia="zh-CN"/>
        </w:rPr>
        <w:t>号决议（</w:t>
      </w:r>
      <w:r>
        <w:rPr>
          <w:rFonts w:hAnsiTheme="minorHAnsi"/>
          <w:lang w:eastAsia="zh-CN"/>
        </w:rPr>
        <w:t>201</w:t>
      </w:r>
      <w:r w:rsidR="003B54B4">
        <w:rPr>
          <w:rFonts w:hAnsiTheme="minorHAnsi" w:hint="eastAsia"/>
          <w:lang w:eastAsia="zh-CN"/>
        </w:rPr>
        <w:t>4</w:t>
      </w:r>
      <w:r>
        <w:rPr>
          <w:rFonts w:hAnsiTheme="minorHAnsi" w:hint="eastAsia"/>
          <w:lang w:eastAsia="zh-CN"/>
        </w:rPr>
        <w:t>年，</w:t>
      </w:r>
      <w:r w:rsidR="003B54B4">
        <w:rPr>
          <w:rFonts w:hint="eastAsia"/>
          <w:lang w:eastAsia="zh-CN"/>
        </w:rPr>
        <w:t>釜山</w:t>
      </w:r>
      <w:r>
        <w:rPr>
          <w:rFonts w:hint="eastAsia"/>
          <w:lang w:eastAsia="zh-CN"/>
        </w:rPr>
        <w:t>，修订版）进一步责成秘书长继续改进与全面落实基于结果的管理方式（</w:t>
      </w:r>
      <w:r>
        <w:rPr>
          <w:lang w:eastAsia="zh-CN"/>
        </w:rPr>
        <w:t>RBM</w:t>
      </w:r>
      <w:r>
        <w:rPr>
          <w:rFonts w:hint="eastAsia"/>
          <w:lang w:eastAsia="zh-CN"/>
        </w:rPr>
        <w:t>）有关的方法，包括双年度预算的编制，</w:t>
      </w:r>
      <w:r w:rsidR="003B54B4">
        <w:rPr>
          <w:rFonts w:hint="eastAsia"/>
          <w:lang w:eastAsia="zh-CN"/>
        </w:rPr>
        <w:t>后者</w:t>
      </w:r>
      <w:r w:rsidR="003B54B4">
        <w:rPr>
          <w:lang w:eastAsia="zh-CN"/>
        </w:rPr>
        <w:t>的基础是基于结果的预算编制（</w:t>
      </w:r>
      <w:r w:rsidR="003B54B4">
        <w:rPr>
          <w:lang w:eastAsia="zh-CN"/>
        </w:rPr>
        <w:t>RBB</w:t>
      </w:r>
      <w:r w:rsidR="003B54B4">
        <w:rPr>
          <w:lang w:eastAsia="zh-CN"/>
        </w:rPr>
        <w:t>）理念；</w:t>
      </w:r>
    </w:p>
    <w:p w:rsidR="003B54B4" w:rsidRPr="009279B4" w:rsidRDefault="003B54B4" w:rsidP="00D052D3">
      <w:pPr>
        <w:rPr>
          <w:szCs w:val="24"/>
          <w:lang w:val="en-US" w:eastAsia="zh-CN"/>
        </w:rPr>
      </w:pPr>
      <w:r w:rsidRPr="00D052D3">
        <w:rPr>
          <w:i/>
          <w:szCs w:val="24"/>
          <w:lang w:val="en-US" w:eastAsia="zh-CN"/>
        </w:rPr>
        <w:t>c</w:t>
      </w:r>
      <w:r w:rsidRPr="00C76FA1">
        <w:rPr>
          <w:szCs w:val="24"/>
          <w:lang w:val="en-US" w:eastAsia="zh-CN"/>
        </w:rPr>
        <w:t>)</w:t>
      </w:r>
      <w:r>
        <w:rPr>
          <w:szCs w:val="24"/>
          <w:lang w:val="en-US" w:eastAsia="zh-CN"/>
        </w:rPr>
        <w:tab/>
      </w:r>
      <w:r>
        <w:rPr>
          <w:rFonts w:hint="eastAsia"/>
          <w:szCs w:val="24"/>
          <w:lang w:val="en-US" w:eastAsia="zh-CN"/>
        </w:rPr>
        <w:t>第</w:t>
      </w:r>
      <w:r>
        <w:rPr>
          <w:rFonts w:hint="eastAsia"/>
          <w:szCs w:val="24"/>
          <w:lang w:val="en-US" w:eastAsia="zh-CN"/>
        </w:rPr>
        <w:t>71</w:t>
      </w:r>
      <w:r>
        <w:rPr>
          <w:rFonts w:hint="eastAsia"/>
          <w:szCs w:val="24"/>
          <w:lang w:val="en-US" w:eastAsia="zh-CN"/>
        </w:rPr>
        <w:t>号</w:t>
      </w:r>
      <w:r>
        <w:rPr>
          <w:szCs w:val="24"/>
          <w:lang w:val="en-US" w:eastAsia="zh-CN"/>
        </w:rPr>
        <w:t>决议（</w:t>
      </w:r>
      <w:r>
        <w:rPr>
          <w:rFonts w:hint="eastAsia"/>
          <w:szCs w:val="24"/>
          <w:lang w:val="en-US" w:eastAsia="zh-CN"/>
        </w:rPr>
        <w:t>2018</w:t>
      </w:r>
      <w:r>
        <w:rPr>
          <w:rFonts w:hint="eastAsia"/>
          <w:szCs w:val="24"/>
          <w:lang w:val="en-US" w:eastAsia="zh-CN"/>
        </w:rPr>
        <w:t>年</w:t>
      </w:r>
      <w:r>
        <w:rPr>
          <w:szCs w:val="24"/>
          <w:lang w:val="en-US" w:eastAsia="zh-CN"/>
        </w:rPr>
        <w:t>，</w:t>
      </w:r>
      <w:r>
        <w:rPr>
          <w:rFonts w:hint="eastAsia"/>
          <w:szCs w:val="24"/>
          <w:lang w:val="en-US" w:eastAsia="zh-CN"/>
        </w:rPr>
        <w:t>迪拜，修订</w:t>
      </w:r>
      <w:r>
        <w:rPr>
          <w:szCs w:val="24"/>
          <w:lang w:val="en-US" w:eastAsia="zh-CN"/>
        </w:rPr>
        <w:t>版）确立了国际电联及其各部门的战略目标和部门目标，</w:t>
      </w:r>
      <w:r>
        <w:rPr>
          <w:szCs w:val="24"/>
          <w:lang w:val="en-US" w:eastAsia="zh-CN"/>
        </w:rPr>
        <w:t>RBM</w:t>
      </w:r>
      <w:r>
        <w:rPr>
          <w:rFonts w:hint="eastAsia"/>
          <w:szCs w:val="24"/>
          <w:lang w:val="en-US" w:eastAsia="zh-CN"/>
        </w:rPr>
        <w:t>须有</w:t>
      </w:r>
      <w:r>
        <w:rPr>
          <w:szCs w:val="24"/>
          <w:lang w:val="en-US" w:eastAsia="zh-CN"/>
        </w:rPr>
        <w:t>助于实现这些目标；</w:t>
      </w:r>
    </w:p>
    <w:p w:rsidR="003B54B4" w:rsidRPr="009279B4" w:rsidRDefault="003B54B4" w:rsidP="00D052D3">
      <w:pPr>
        <w:rPr>
          <w:szCs w:val="24"/>
          <w:lang w:val="en-US" w:eastAsia="zh-CN"/>
        </w:rPr>
      </w:pPr>
      <w:r w:rsidRPr="00F0138A">
        <w:rPr>
          <w:i/>
          <w:szCs w:val="24"/>
          <w:lang w:val="en-US" w:eastAsia="zh-CN"/>
        </w:rPr>
        <w:t>d</w:t>
      </w:r>
      <w:r w:rsidRPr="009279B4">
        <w:rPr>
          <w:i/>
          <w:szCs w:val="24"/>
          <w:lang w:val="en-US" w:eastAsia="zh-CN"/>
        </w:rPr>
        <w:t>)</w:t>
      </w:r>
      <w:r>
        <w:rPr>
          <w:i/>
          <w:szCs w:val="24"/>
          <w:lang w:val="en-US" w:eastAsia="zh-CN"/>
        </w:rPr>
        <w:tab/>
      </w:r>
      <w:r w:rsidRPr="00D052D3">
        <w:rPr>
          <w:rFonts w:hint="eastAsia"/>
          <w:iCs/>
          <w:szCs w:val="24"/>
          <w:lang w:val="en-US" w:eastAsia="zh-CN"/>
        </w:rPr>
        <w:t>第</w:t>
      </w:r>
      <w:r>
        <w:rPr>
          <w:rFonts w:hint="eastAsia"/>
          <w:szCs w:val="24"/>
          <w:lang w:val="en-US" w:eastAsia="zh-CN"/>
        </w:rPr>
        <w:t>5</w:t>
      </w:r>
      <w:r>
        <w:rPr>
          <w:rFonts w:hint="eastAsia"/>
          <w:szCs w:val="24"/>
          <w:lang w:val="en-US" w:eastAsia="zh-CN"/>
        </w:rPr>
        <w:t>号</w:t>
      </w:r>
      <w:r>
        <w:rPr>
          <w:szCs w:val="24"/>
          <w:lang w:val="en-US" w:eastAsia="zh-CN"/>
        </w:rPr>
        <w:t>决定（</w:t>
      </w:r>
      <w:r>
        <w:rPr>
          <w:rFonts w:hint="eastAsia"/>
          <w:szCs w:val="24"/>
          <w:lang w:val="en-US" w:eastAsia="zh-CN"/>
        </w:rPr>
        <w:t>2018</w:t>
      </w:r>
      <w:r>
        <w:rPr>
          <w:rFonts w:hint="eastAsia"/>
          <w:szCs w:val="24"/>
          <w:lang w:val="en-US" w:eastAsia="zh-CN"/>
        </w:rPr>
        <w:t>年</w:t>
      </w:r>
      <w:r>
        <w:rPr>
          <w:szCs w:val="24"/>
          <w:lang w:val="en-US" w:eastAsia="zh-CN"/>
        </w:rPr>
        <w:t>，</w:t>
      </w:r>
      <w:r>
        <w:rPr>
          <w:rFonts w:hint="eastAsia"/>
          <w:szCs w:val="24"/>
          <w:lang w:val="en-US" w:eastAsia="zh-CN"/>
        </w:rPr>
        <w:t>迪拜，修订</w:t>
      </w:r>
      <w:r>
        <w:rPr>
          <w:szCs w:val="24"/>
          <w:lang w:val="en-US" w:eastAsia="zh-CN"/>
        </w:rPr>
        <w:t>版）</w:t>
      </w:r>
      <w:r>
        <w:rPr>
          <w:rFonts w:hint="eastAsia"/>
          <w:szCs w:val="24"/>
          <w:lang w:val="en-US" w:eastAsia="zh-CN"/>
        </w:rPr>
        <w:t>确立</w:t>
      </w:r>
      <w:r>
        <w:rPr>
          <w:szCs w:val="24"/>
          <w:lang w:val="en-US" w:eastAsia="zh-CN"/>
        </w:rPr>
        <w:t>了在提高国际电联各项活动</w:t>
      </w:r>
      <w:r>
        <w:rPr>
          <w:rFonts w:hint="eastAsia"/>
          <w:szCs w:val="24"/>
          <w:lang w:val="en-US" w:eastAsia="zh-CN"/>
        </w:rPr>
        <w:t>效</w:t>
      </w:r>
      <w:r>
        <w:rPr>
          <w:szCs w:val="24"/>
          <w:lang w:val="en-US" w:eastAsia="zh-CN"/>
        </w:rPr>
        <w:t>率基础上的</w:t>
      </w:r>
      <w:r w:rsidRPr="009279B4">
        <w:rPr>
          <w:szCs w:val="24"/>
          <w:lang w:val="en-US" w:eastAsia="zh-CN"/>
        </w:rPr>
        <w:t>2020-2023</w:t>
      </w:r>
      <w:r>
        <w:rPr>
          <w:rFonts w:hint="eastAsia"/>
          <w:szCs w:val="24"/>
          <w:lang w:val="en-US" w:eastAsia="zh-CN"/>
        </w:rPr>
        <w:t>年</w:t>
      </w:r>
      <w:r>
        <w:rPr>
          <w:szCs w:val="24"/>
          <w:lang w:val="en-US" w:eastAsia="zh-CN"/>
        </w:rPr>
        <w:t>资源限制，并确定了总体目标和部门目标；</w:t>
      </w:r>
    </w:p>
    <w:p w:rsidR="003B54B4" w:rsidRPr="003B54B4" w:rsidRDefault="003B54B4" w:rsidP="0053756B">
      <w:pPr>
        <w:rPr>
          <w:szCs w:val="24"/>
          <w:lang w:val="en-US" w:eastAsia="zh-CN"/>
        </w:rPr>
      </w:pPr>
      <w:r w:rsidRPr="00D052D3">
        <w:rPr>
          <w:i/>
          <w:szCs w:val="24"/>
          <w:lang w:val="en-US" w:eastAsia="zh-CN"/>
        </w:rPr>
        <w:t>e)</w:t>
      </w:r>
      <w:r>
        <w:rPr>
          <w:i/>
          <w:szCs w:val="24"/>
          <w:lang w:val="en-US" w:eastAsia="zh-CN"/>
        </w:rPr>
        <w:tab/>
      </w:r>
      <w:r>
        <w:rPr>
          <w:rFonts w:hint="eastAsia"/>
          <w:szCs w:val="24"/>
          <w:lang w:val="en-US" w:eastAsia="zh-CN"/>
        </w:rPr>
        <w:t>第</w:t>
      </w:r>
      <w:r w:rsidRPr="009279B4">
        <w:rPr>
          <w:szCs w:val="24"/>
          <w:lang w:val="en-US" w:eastAsia="zh-CN"/>
        </w:rPr>
        <w:t>48</w:t>
      </w:r>
      <w:r>
        <w:rPr>
          <w:rFonts w:hint="eastAsia"/>
          <w:szCs w:val="24"/>
          <w:lang w:val="en-US" w:eastAsia="zh-CN"/>
        </w:rPr>
        <w:t>号</w:t>
      </w:r>
      <w:r>
        <w:rPr>
          <w:szCs w:val="24"/>
          <w:lang w:val="en-US" w:eastAsia="zh-CN"/>
        </w:rPr>
        <w:t>决议（</w:t>
      </w:r>
      <w:r w:rsidRPr="009279B4">
        <w:rPr>
          <w:szCs w:val="24"/>
          <w:lang w:val="en-US" w:eastAsia="zh-CN"/>
        </w:rPr>
        <w:t>20XX</w:t>
      </w:r>
      <w:r>
        <w:rPr>
          <w:rFonts w:hint="eastAsia"/>
          <w:szCs w:val="24"/>
          <w:lang w:val="en-US" w:eastAsia="zh-CN"/>
        </w:rPr>
        <w:t>，</w:t>
      </w:r>
      <w:r w:rsidRPr="009279B4">
        <w:rPr>
          <w:szCs w:val="24"/>
          <w:lang w:val="en-US" w:eastAsia="zh-CN"/>
        </w:rPr>
        <w:t>XXXX</w:t>
      </w:r>
      <w:r>
        <w:rPr>
          <w:rFonts w:hint="eastAsia"/>
          <w:szCs w:val="24"/>
          <w:lang w:val="en-US" w:eastAsia="zh-CN"/>
        </w:rPr>
        <w:t>，</w:t>
      </w:r>
      <w:r>
        <w:rPr>
          <w:szCs w:val="24"/>
          <w:lang w:val="en-US" w:eastAsia="zh-CN"/>
        </w:rPr>
        <w:t>修订</w:t>
      </w:r>
      <w:r>
        <w:rPr>
          <w:rFonts w:hint="eastAsia"/>
          <w:szCs w:val="24"/>
          <w:lang w:val="en-US" w:eastAsia="zh-CN"/>
        </w:rPr>
        <w:t>版</w:t>
      </w:r>
      <w:r>
        <w:rPr>
          <w:szCs w:val="24"/>
          <w:lang w:val="en-US" w:eastAsia="zh-CN"/>
        </w:rPr>
        <w:t>）做出决议，国际电联的人力资源管理及其开发应</w:t>
      </w:r>
      <w:r w:rsidR="004F0BEA">
        <w:rPr>
          <w:rFonts w:hint="eastAsia"/>
          <w:szCs w:val="24"/>
          <w:lang w:val="en-US" w:eastAsia="zh-CN"/>
        </w:rPr>
        <w:t>继续</w:t>
      </w:r>
      <w:r>
        <w:rPr>
          <w:szCs w:val="24"/>
          <w:lang w:val="en-US" w:eastAsia="zh-CN"/>
        </w:rPr>
        <w:t>符合国际电联及联合国共同制度的总体目标和活动</w:t>
      </w:r>
      <w:r>
        <w:rPr>
          <w:rFonts w:hint="eastAsia"/>
          <w:szCs w:val="24"/>
          <w:lang w:val="en-US" w:eastAsia="zh-CN"/>
        </w:rPr>
        <w:t>；</w:t>
      </w:r>
    </w:p>
    <w:p w:rsidR="003B54B4" w:rsidRPr="005F0613" w:rsidRDefault="004F0BEA" w:rsidP="004F0BEA">
      <w:pPr>
        <w:pStyle w:val="Call"/>
        <w:jc w:val="both"/>
        <w:rPr>
          <w:rFonts w:eastAsia="STKaiti"/>
        </w:rPr>
      </w:pPr>
      <w:r>
        <w:rPr>
          <w:rFonts w:eastAsia="STKaiti" w:hint="eastAsia"/>
          <w:lang w:eastAsia="zh-CN"/>
        </w:rPr>
        <w:t>注意到</w:t>
      </w:r>
    </w:p>
    <w:p w:rsidR="003B54B4" w:rsidRPr="00FB61D7" w:rsidRDefault="004F0BEA" w:rsidP="0053756B">
      <w:pPr>
        <w:ind w:firstLineChars="200" w:firstLine="480"/>
        <w:rPr>
          <w:lang w:eastAsia="zh-CN"/>
        </w:rPr>
      </w:pPr>
      <w:r>
        <w:rPr>
          <w:rFonts w:hint="eastAsia"/>
          <w:lang w:eastAsia="zh-CN"/>
        </w:rPr>
        <w:t>国际</w:t>
      </w:r>
      <w:proofErr w:type="gramStart"/>
      <w:r>
        <w:rPr>
          <w:rFonts w:hint="eastAsia"/>
          <w:lang w:eastAsia="zh-CN"/>
        </w:rPr>
        <w:t>电联应继续</w:t>
      </w:r>
      <w:proofErr w:type="gramEnd"/>
      <w:r>
        <w:rPr>
          <w:rFonts w:hint="eastAsia"/>
          <w:lang w:eastAsia="zh-CN"/>
        </w:rPr>
        <w:t>调整管理方法和落实手段，反映社会中迅速变化的情况，</w:t>
      </w:r>
    </w:p>
    <w:p w:rsidR="00C20DAB" w:rsidRPr="005F0613" w:rsidRDefault="00C20DAB" w:rsidP="00C20DAB">
      <w:pPr>
        <w:pStyle w:val="Call"/>
        <w:rPr>
          <w:rFonts w:eastAsia="STKaiti"/>
          <w:lang w:eastAsia="zh-CN"/>
        </w:rPr>
      </w:pPr>
      <w:r w:rsidRPr="005F0613">
        <w:rPr>
          <w:rFonts w:eastAsia="STKaiti" w:hint="eastAsia"/>
          <w:lang w:eastAsia="zh-CN"/>
        </w:rPr>
        <w:t>认识到</w:t>
      </w:r>
    </w:p>
    <w:p w:rsidR="00C20DAB" w:rsidRDefault="00C20DAB">
      <w:pPr>
        <w:rPr>
          <w:lang w:eastAsia="zh-CN"/>
        </w:rPr>
      </w:pPr>
      <w:r>
        <w:rPr>
          <w:rFonts w:hAnsiTheme="minorHAnsi"/>
          <w:i/>
          <w:iCs/>
          <w:lang w:eastAsia="zh-CN"/>
        </w:rPr>
        <w:t>a)</w:t>
      </w:r>
      <w:r>
        <w:rPr>
          <w:rFonts w:hAnsiTheme="minorHAnsi"/>
          <w:lang w:eastAsia="zh-CN"/>
        </w:rPr>
        <w:tab/>
      </w:r>
      <w:r w:rsidR="003B54B4" w:rsidRPr="009B5345">
        <w:rPr>
          <w:rFonts w:hint="eastAsia"/>
          <w:lang w:eastAsia="zh-CN"/>
        </w:rPr>
        <w:t>国际电联</w:t>
      </w:r>
      <w:r w:rsidR="003B54B4">
        <w:rPr>
          <w:rFonts w:hint="eastAsia"/>
          <w:lang w:eastAsia="zh-CN"/>
        </w:rPr>
        <w:t>的</w:t>
      </w:r>
      <w:r w:rsidR="003B54B4">
        <w:rPr>
          <w:lang w:eastAsia="zh-CN"/>
        </w:rPr>
        <w:t>RBM</w:t>
      </w:r>
      <w:r w:rsidR="003B54B4">
        <w:rPr>
          <w:lang w:eastAsia="zh-CN"/>
        </w:rPr>
        <w:t>和</w:t>
      </w:r>
      <w:r w:rsidR="003B54B4">
        <w:rPr>
          <w:lang w:eastAsia="zh-CN"/>
        </w:rPr>
        <w:t>RBB</w:t>
      </w:r>
      <w:r w:rsidR="003B54B4">
        <w:rPr>
          <w:lang w:eastAsia="zh-CN"/>
        </w:rPr>
        <w:t>程序将有</w:t>
      </w:r>
      <w:r w:rsidR="003B54B4">
        <w:rPr>
          <w:rFonts w:hint="eastAsia"/>
          <w:lang w:eastAsia="zh-CN"/>
        </w:rPr>
        <w:t>助</w:t>
      </w:r>
      <w:r w:rsidR="003B54B4">
        <w:rPr>
          <w:lang w:eastAsia="zh-CN"/>
        </w:rPr>
        <w:t>于进</w:t>
      </w:r>
      <w:r w:rsidR="003B54B4">
        <w:rPr>
          <w:rFonts w:hint="eastAsia"/>
          <w:lang w:eastAsia="zh-CN"/>
        </w:rPr>
        <w:t>一</w:t>
      </w:r>
      <w:r w:rsidR="003B54B4">
        <w:rPr>
          <w:lang w:eastAsia="zh-CN"/>
        </w:rPr>
        <w:t>步发展组织文化和促进各级工作人员对这些程序的参与</w:t>
      </w:r>
      <w:r>
        <w:rPr>
          <w:rFonts w:hint="eastAsia"/>
          <w:lang w:eastAsia="zh-CN"/>
        </w:rPr>
        <w:t>；</w:t>
      </w:r>
    </w:p>
    <w:p w:rsidR="00C5638A" w:rsidRDefault="00C20DAB" w:rsidP="004A21CA">
      <w:pPr>
        <w:rPr>
          <w:lang w:eastAsia="zh-CN"/>
        </w:rPr>
      </w:pPr>
      <w:r>
        <w:rPr>
          <w:rFonts w:hAnsiTheme="minorHAnsi"/>
          <w:i/>
          <w:iCs/>
          <w:lang w:eastAsia="zh-CN"/>
        </w:rPr>
        <w:t>b)</w:t>
      </w:r>
      <w:r>
        <w:rPr>
          <w:rFonts w:hAnsiTheme="minorHAnsi"/>
          <w:lang w:eastAsia="zh-CN"/>
        </w:rPr>
        <w:tab/>
      </w:r>
      <w:r>
        <w:rPr>
          <w:rFonts w:ascii="SimSun" w:hAnsi="SimSun" w:hint="eastAsia"/>
          <w:lang w:eastAsia="zh-CN"/>
        </w:rPr>
        <w:t>基于结果的管理方式</w:t>
      </w:r>
      <w:r w:rsidR="004F0BEA">
        <w:rPr>
          <w:rFonts w:hint="eastAsia"/>
          <w:lang w:eastAsia="zh-CN"/>
        </w:rPr>
        <w:t>需要</w:t>
      </w:r>
      <w:r>
        <w:rPr>
          <w:rFonts w:hint="eastAsia"/>
          <w:lang w:eastAsia="zh-CN"/>
        </w:rPr>
        <w:t>一项旨在改变</w:t>
      </w:r>
      <w:r w:rsidR="004F0BEA">
        <w:rPr>
          <w:rFonts w:hint="eastAsia"/>
          <w:lang w:eastAsia="zh-CN"/>
        </w:rPr>
        <w:t>联合国</w:t>
      </w:r>
      <w:r>
        <w:rPr>
          <w:rFonts w:hint="eastAsia"/>
          <w:lang w:eastAsia="zh-CN"/>
        </w:rPr>
        <w:t>各机构工作方式的综合战略，该战略将改进绩效（实现</w:t>
      </w:r>
      <w:r w:rsidR="004F0BEA">
        <w:rPr>
          <w:rFonts w:hint="eastAsia"/>
          <w:lang w:eastAsia="zh-CN"/>
        </w:rPr>
        <w:t>具体</w:t>
      </w:r>
      <w:r>
        <w:rPr>
          <w:rFonts w:hint="eastAsia"/>
          <w:lang w:eastAsia="zh-CN"/>
        </w:rPr>
        <w:t>结果）作为核心方向；</w:t>
      </w:r>
    </w:p>
    <w:p w:rsidR="003B54B4" w:rsidRDefault="003B54B4" w:rsidP="004A21CA">
      <w:pPr>
        <w:rPr>
          <w:lang w:eastAsia="zh-CN"/>
        </w:rPr>
      </w:pPr>
      <w:r w:rsidRPr="003B54B4">
        <w:rPr>
          <w:i/>
          <w:highlight w:val="green"/>
          <w:lang w:eastAsia="zh-CN"/>
        </w:rPr>
        <w:t>c)</w:t>
      </w:r>
      <w:r w:rsidRPr="003B54B4">
        <w:rPr>
          <w:i/>
          <w:highlight w:val="green"/>
          <w:lang w:eastAsia="zh-CN"/>
        </w:rPr>
        <w:tab/>
      </w:r>
      <w:r w:rsidRPr="003B54B4">
        <w:rPr>
          <w:rFonts w:hint="eastAsia"/>
          <w:highlight w:val="green"/>
          <w:lang w:eastAsia="zh-CN"/>
        </w:rPr>
        <w:t>欲使国际电联理事会充分监督联系战略、运作与财务各职能的进展情况，并对运作规划的执行加以评估，需具备有效且具体的监督机制；</w:t>
      </w:r>
    </w:p>
    <w:p w:rsidR="004A21CA" w:rsidRDefault="004A21CA" w:rsidP="00936F4F">
      <w:pPr>
        <w:rPr>
          <w:lang w:eastAsia="zh-CN"/>
        </w:rPr>
      </w:pPr>
      <w:r>
        <w:rPr>
          <w:rFonts w:hAnsiTheme="minorHAnsi"/>
          <w:i/>
          <w:iCs/>
          <w:lang w:eastAsia="zh-CN"/>
        </w:rPr>
        <w:t>d)</w:t>
      </w:r>
      <w:r>
        <w:rPr>
          <w:rFonts w:hAnsiTheme="minorHAnsi"/>
          <w:i/>
          <w:iCs/>
          <w:lang w:eastAsia="zh-CN"/>
        </w:rPr>
        <w:tab/>
      </w:r>
      <w:r w:rsidRPr="0053756B">
        <w:rPr>
          <w:rFonts w:hint="eastAsia"/>
          <w:spacing w:val="-2"/>
          <w:lang w:val="en-US" w:eastAsia="zh-CN"/>
        </w:rPr>
        <w:t>有</w:t>
      </w:r>
      <w:r w:rsidRPr="0053756B">
        <w:rPr>
          <w:spacing w:val="-2"/>
          <w:lang w:val="en-US" w:eastAsia="zh-CN"/>
        </w:rPr>
        <w:t>必要落实</w:t>
      </w:r>
      <w:r w:rsidRPr="0053756B">
        <w:rPr>
          <w:rFonts w:hint="eastAsia"/>
          <w:spacing w:val="-2"/>
          <w:lang w:eastAsia="zh-CN"/>
        </w:rPr>
        <w:t>“</w:t>
      </w:r>
      <w:r w:rsidRPr="0053756B">
        <w:rPr>
          <w:spacing w:val="-2"/>
          <w:lang w:eastAsia="zh-CN"/>
        </w:rPr>
        <w:t>JIU/REP/2016/1</w:t>
      </w:r>
      <w:r w:rsidRPr="0053756B">
        <w:rPr>
          <w:rFonts w:hint="eastAsia"/>
          <w:spacing w:val="-2"/>
          <w:lang w:eastAsia="zh-CN"/>
        </w:rPr>
        <w:t>号报告</w:t>
      </w:r>
      <w:r w:rsidRPr="0053756B">
        <w:rPr>
          <w:rFonts w:hint="eastAsia"/>
          <w:spacing w:val="-2"/>
          <w:lang w:eastAsia="zh-CN"/>
        </w:rPr>
        <w:t xml:space="preserve"> </w:t>
      </w:r>
      <w:r w:rsidRPr="0053756B">
        <w:rPr>
          <w:spacing w:val="-2"/>
          <w:lang w:eastAsia="zh-CN"/>
        </w:rPr>
        <w:t xml:space="preserve">– </w:t>
      </w:r>
      <w:r w:rsidRPr="0053756B">
        <w:rPr>
          <w:rFonts w:hint="eastAsia"/>
          <w:spacing w:val="-2"/>
          <w:lang w:eastAsia="zh-CN"/>
        </w:rPr>
        <w:t>审查国际电信联盟（</w:t>
      </w:r>
      <w:r w:rsidRPr="0053756B">
        <w:rPr>
          <w:spacing w:val="-2"/>
          <w:lang w:eastAsia="zh-CN"/>
        </w:rPr>
        <w:t>ITU</w:t>
      </w:r>
      <w:r w:rsidRPr="0053756B">
        <w:rPr>
          <w:rFonts w:hint="eastAsia"/>
          <w:spacing w:val="-2"/>
          <w:lang w:eastAsia="zh-CN"/>
        </w:rPr>
        <w:t>）的管理和行政管理</w:t>
      </w:r>
      <w:r w:rsidR="00936F4F">
        <w:rPr>
          <w:rFonts w:hint="eastAsia"/>
          <w:spacing w:val="-2"/>
          <w:lang w:eastAsia="zh-CN"/>
        </w:rPr>
        <w:t>”</w:t>
      </w:r>
      <w:r>
        <w:rPr>
          <w:rFonts w:hint="eastAsia"/>
          <w:lang w:eastAsia="zh-CN"/>
        </w:rPr>
        <w:t>中提出</w:t>
      </w:r>
      <w:r>
        <w:rPr>
          <w:lang w:eastAsia="zh-CN"/>
        </w:rPr>
        <w:t>的建议，同时考虑到</w:t>
      </w:r>
      <w:r>
        <w:rPr>
          <w:lang w:eastAsia="zh-CN"/>
        </w:rPr>
        <w:t>RBM</w:t>
      </w:r>
      <w:r>
        <w:rPr>
          <w:lang w:eastAsia="zh-CN"/>
        </w:rPr>
        <w:t>在联合国组织系统中的价值，</w:t>
      </w:r>
    </w:p>
    <w:p w:rsidR="00C20DAB" w:rsidRPr="005F0613" w:rsidRDefault="00C20DAB" w:rsidP="00C20DAB">
      <w:pPr>
        <w:pStyle w:val="Call"/>
        <w:rPr>
          <w:rFonts w:eastAsia="STKaiti"/>
          <w:lang w:eastAsia="zh-CN"/>
        </w:rPr>
      </w:pPr>
      <w:r w:rsidRPr="005F0613">
        <w:rPr>
          <w:rFonts w:eastAsia="STKaiti" w:hint="eastAsia"/>
          <w:lang w:eastAsia="zh-CN"/>
        </w:rPr>
        <w:lastRenderedPageBreak/>
        <w:t>强调</w:t>
      </w:r>
    </w:p>
    <w:p w:rsidR="00C20DAB" w:rsidRDefault="004F0BEA" w:rsidP="00D052D3">
      <w:pPr>
        <w:ind w:firstLineChars="200" w:firstLine="480"/>
        <w:rPr>
          <w:rFonts w:hAnsiTheme="minorHAnsi"/>
          <w:lang w:eastAsia="zh-CN"/>
        </w:rPr>
      </w:pPr>
      <w:r>
        <w:rPr>
          <w:rFonts w:hint="eastAsia"/>
          <w:lang w:eastAsia="zh-CN"/>
        </w:rPr>
        <w:t>基于结果的管理方式和</w:t>
      </w:r>
      <w:r w:rsidR="00C20DAB">
        <w:rPr>
          <w:rFonts w:hint="eastAsia"/>
          <w:lang w:eastAsia="zh-CN"/>
        </w:rPr>
        <w:t>基于结果预算编制的目的在于确保重点活动获得充足资源，以取得预期的结果</w:t>
      </w:r>
      <w:r>
        <w:rPr>
          <w:rFonts w:hint="eastAsia"/>
          <w:lang w:eastAsia="zh-CN"/>
        </w:rPr>
        <w:t>并有效使用资源</w:t>
      </w:r>
      <w:r w:rsidR="00C20DAB">
        <w:rPr>
          <w:rFonts w:hint="eastAsia"/>
          <w:lang w:eastAsia="zh-CN"/>
        </w:rPr>
        <w:t>，</w:t>
      </w:r>
    </w:p>
    <w:p w:rsidR="00C20DAB" w:rsidRPr="005F0613" w:rsidRDefault="00C20DAB" w:rsidP="00D052D3">
      <w:pPr>
        <w:pStyle w:val="Call"/>
        <w:rPr>
          <w:rFonts w:eastAsia="STKaiti"/>
          <w:lang w:eastAsia="zh-CN"/>
        </w:rPr>
      </w:pPr>
      <w:r w:rsidRPr="005F0613">
        <w:rPr>
          <w:rFonts w:eastAsia="STKaiti" w:hint="eastAsia"/>
          <w:lang w:eastAsia="zh-CN"/>
        </w:rPr>
        <w:t>做出决议，责成秘书长和</w:t>
      </w:r>
      <w:r w:rsidR="004F0BEA">
        <w:rPr>
          <w:rFonts w:eastAsia="STKaiti" w:hint="eastAsia"/>
          <w:lang w:eastAsia="zh-CN"/>
        </w:rPr>
        <w:t>协调委员会</w:t>
      </w:r>
    </w:p>
    <w:p w:rsidR="00C20DAB" w:rsidRDefault="00C20DAB" w:rsidP="00D052D3">
      <w:pPr>
        <w:rPr>
          <w:rFonts w:hAnsiTheme="minorHAnsi"/>
          <w:lang w:eastAsia="zh-CN"/>
        </w:rPr>
      </w:pPr>
      <w:r>
        <w:rPr>
          <w:rFonts w:hAnsiTheme="minorHAnsi"/>
          <w:lang w:eastAsia="zh-CN"/>
        </w:rPr>
        <w:t>1</w:t>
      </w:r>
      <w:r>
        <w:rPr>
          <w:rFonts w:hAnsiTheme="minorHAnsi"/>
          <w:lang w:eastAsia="zh-CN"/>
        </w:rPr>
        <w:tab/>
      </w:r>
      <w:r>
        <w:rPr>
          <w:rFonts w:hint="eastAsia"/>
          <w:lang w:eastAsia="zh-CN"/>
        </w:rPr>
        <w:t>继续</w:t>
      </w:r>
      <w:r w:rsidR="004F0BEA">
        <w:rPr>
          <w:rFonts w:hint="eastAsia"/>
          <w:lang w:eastAsia="zh-CN"/>
        </w:rPr>
        <w:t>在规划和落实层面</w:t>
      </w:r>
      <w:r>
        <w:rPr>
          <w:rFonts w:hint="eastAsia"/>
          <w:lang w:eastAsia="zh-CN"/>
        </w:rPr>
        <w:t>改进与</w:t>
      </w:r>
      <w:r>
        <w:rPr>
          <w:rFonts w:hAnsiTheme="minorHAnsi" w:hint="eastAsia"/>
          <w:lang w:eastAsia="zh-CN"/>
        </w:rPr>
        <w:t>基于结果预算编制</w:t>
      </w:r>
      <w:r>
        <w:rPr>
          <w:rFonts w:hint="eastAsia"/>
          <w:lang w:eastAsia="zh-CN"/>
        </w:rPr>
        <w:t>和</w:t>
      </w:r>
      <w:r>
        <w:rPr>
          <w:rFonts w:hAnsiTheme="minorHAnsi" w:hint="eastAsia"/>
          <w:lang w:eastAsia="zh-CN"/>
        </w:rPr>
        <w:t>基于结果的管理方式</w:t>
      </w:r>
      <w:r>
        <w:rPr>
          <w:rFonts w:hint="eastAsia"/>
          <w:lang w:eastAsia="zh-CN"/>
        </w:rPr>
        <w:t>有关的</w:t>
      </w:r>
      <w:r w:rsidR="004F0BEA">
        <w:rPr>
          <w:rFonts w:hint="eastAsia"/>
          <w:lang w:eastAsia="zh-CN"/>
        </w:rPr>
        <w:t>流程和</w:t>
      </w:r>
      <w:r>
        <w:rPr>
          <w:rFonts w:hint="eastAsia"/>
          <w:lang w:eastAsia="zh-CN"/>
        </w:rPr>
        <w:t>方法，包括不断改进双年度预算的版式；</w:t>
      </w:r>
    </w:p>
    <w:p w:rsidR="00C20DAB" w:rsidRDefault="00C20DAB" w:rsidP="00D052D3">
      <w:pPr>
        <w:rPr>
          <w:rFonts w:hAnsiTheme="minorHAnsi"/>
          <w:lang w:eastAsia="zh-CN"/>
        </w:rPr>
      </w:pPr>
      <w:r>
        <w:rPr>
          <w:rFonts w:hAnsiTheme="minorHAnsi"/>
          <w:lang w:eastAsia="zh-CN"/>
        </w:rPr>
        <w:t>2</w:t>
      </w:r>
      <w:r>
        <w:rPr>
          <w:rFonts w:hAnsiTheme="minorHAnsi"/>
          <w:lang w:eastAsia="zh-CN"/>
        </w:rPr>
        <w:tab/>
      </w:r>
      <w:r>
        <w:rPr>
          <w:rFonts w:hint="eastAsia"/>
          <w:lang w:eastAsia="zh-CN"/>
        </w:rPr>
        <w:t>继续制定国际电联全方位的结果框架，支持战略规划的落实及</w:t>
      </w:r>
      <w:r w:rsidR="004F0BEA">
        <w:rPr>
          <w:rFonts w:hint="eastAsia"/>
          <w:lang w:eastAsia="zh-CN"/>
        </w:rPr>
        <w:t>其与</w:t>
      </w:r>
      <w:r>
        <w:rPr>
          <w:rFonts w:hint="eastAsia"/>
          <w:lang w:eastAsia="zh-CN"/>
        </w:rPr>
        <w:t>财务规划</w:t>
      </w:r>
      <w:r w:rsidR="004F0BEA">
        <w:rPr>
          <w:rFonts w:hint="eastAsia"/>
          <w:lang w:eastAsia="zh-CN"/>
        </w:rPr>
        <w:t>、</w:t>
      </w:r>
      <w:r>
        <w:rPr>
          <w:rFonts w:hint="eastAsia"/>
          <w:lang w:eastAsia="zh-CN"/>
        </w:rPr>
        <w:t>运作规划</w:t>
      </w:r>
      <w:r w:rsidR="004F0BEA">
        <w:rPr>
          <w:rFonts w:hint="eastAsia"/>
          <w:lang w:eastAsia="zh-CN"/>
        </w:rPr>
        <w:t>和预算</w:t>
      </w:r>
      <w:r>
        <w:rPr>
          <w:rFonts w:hint="eastAsia"/>
          <w:lang w:eastAsia="zh-CN"/>
        </w:rPr>
        <w:t>之间的联系</w:t>
      </w:r>
      <w:r w:rsidR="00D20197">
        <w:rPr>
          <w:szCs w:val="24"/>
          <w:lang w:val="en-US" w:eastAsia="zh-CN"/>
        </w:rPr>
        <w:t>，同时提</w:t>
      </w:r>
      <w:r w:rsidR="00D20197">
        <w:rPr>
          <w:rFonts w:hint="eastAsia"/>
          <w:szCs w:val="24"/>
          <w:lang w:val="en-US" w:eastAsia="zh-CN"/>
        </w:rPr>
        <w:t>高</w:t>
      </w:r>
      <w:r w:rsidR="00D20197">
        <w:rPr>
          <w:szCs w:val="24"/>
          <w:lang w:val="en-US" w:eastAsia="zh-CN"/>
        </w:rPr>
        <w:t>国际电联成</w:t>
      </w:r>
      <w:r w:rsidR="00D20197">
        <w:rPr>
          <w:rFonts w:hint="eastAsia"/>
          <w:szCs w:val="24"/>
          <w:lang w:val="en-US" w:eastAsia="zh-CN"/>
        </w:rPr>
        <w:t>员</w:t>
      </w:r>
      <w:r w:rsidR="00D20197">
        <w:rPr>
          <w:szCs w:val="24"/>
          <w:lang w:val="en-US" w:eastAsia="zh-CN"/>
        </w:rPr>
        <w:t>在评估国际电联实现此方面目标进展方面的能力：</w:t>
      </w:r>
      <w:r>
        <w:rPr>
          <w:rFonts w:hint="eastAsia"/>
          <w:lang w:eastAsia="zh-CN"/>
        </w:rPr>
        <w:t>；</w:t>
      </w:r>
    </w:p>
    <w:p w:rsidR="00C20DAB" w:rsidRDefault="00C20DAB" w:rsidP="005F0613">
      <w:pPr>
        <w:rPr>
          <w:rFonts w:hAnsiTheme="minorHAnsi"/>
          <w:lang w:eastAsia="zh-CN"/>
        </w:rPr>
      </w:pPr>
      <w:r>
        <w:rPr>
          <w:rFonts w:hAnsiTheme="minorHAnsi"/>
          <w:lang w:eastAsia="zh-CN"/>
        </w:rPr>
        <w:t>3</w:t>
      </w:r>
      <w:r>
        <w:rPr>
          <w:rFonts w:hAnsiTheme="minorHAnsi"/>
          <w:lang w:eastAsia="zh-CN"/>
        </w:rPr>
        <w:tab/>
      </w:r>
      <w:r w:rsidR="004A21CA">
        <w:rPr>
          <w:rFonts w:hint="eastAsia"/>
          <w:szCs w:val="24"/>
          <w:lang w:val="en-US" w:eastAsia="zh-CN"/>
        </w:rPr>
        <w:t>在</w:t>
      </w:r>
      <w:r w:rsidR="004A21CA">
        <w:rPr>
          <w:szCs w:val="24"/>
          <w:lang w:val="en-US" w:eastAsia="zh-CN"/>
        </w:rPr>
        <w:t>RBM</w:t>
      </w:r>
      <w:r w:rsidR="004A21CA">
        <w:rPr>
          <w:szCs w:val="24"/>
          <w:lang w:val="en-US" w:eastAsia="zh-CN"/>
        </w:rPr>
        <w:t>框架内，进</w:t>
      </w:r>
      <w:r w:rsidR="004A21CA">
        <w:rPr>
          <w:rFonts w:hint="eastAsia"/>
          <w:szCs w:val="24"/>
          <w:lang w:val="en-US" w:eastAsia="zh-CN"/>
        </w:rPr>
        <w:t>一</w:t>
      </w:r>
      <w:r w:rsidR="004A21CA">
        <w:rPr>
          <w:szCs w:val="24"/>
          <w:lang w:val="en-US" w:eastAsia="zh-CN"/>
        </w:rPr>
        <w:t>步</w:t>
      </w:r>
      <w:r w:rsidR="004A21CA">
        <w:rPr>
          <w:rFonts w:hint="eastAsia"/>
          <w:szCs w:val="24"/>
          <w:lang w:val="en-US" w:eastAsia="zh-CN"/>
        </w:rPr>
        <w:t>制定国</w:t>
      </w:r>
      <w:r w:rsidR="004A21CA">
        <w:rPr>
          <w:szCs w:val="24"/>
          <w:lang w:val="en-US" w:eastAsia="zh-CN"/>
        </w:rPr>
        <w:t>际电联层面的风险管理</w:t>
      </w:r>
      <w:r w:rsidR="004A21CA">
        <w:rPr>
          <w:rFonts w:hint="eastAsia"/>
          <w:szCs w:val="24"/>
          <w:lang w:val="en-US" w:eastAsia="zh-CN"/>
        </w:rPr>
        <w:t>体系，</w:t>
      </w:r>
      <w:r w:rsidR="004A21CA">
        <w:rPr>
          <w:szCs w:val="24"/>
          <w:lang w:val="en-US" w:eastAsia="zh-CN"/>
        </w:rPr>
        <w:t>以确保</w:t>
      </w:r>
      <w:r w:rsidR="004A21CA">
        <w:rPr>
          <w:rFonts w:hint="eastAsia"/>
          <w:szCs w:val="24"/>
          <w:lang w:val="en-US" w:eastAsia="zh-CN"/>
        </w:rPr>
        <w:t>国</w:t>
      </w:r>
      <w:r w:rsidR="004A21CA">
        <w:rPr>
          <w:szCs w:val="24"/>
          <w:lang w:val="en-US" w:eastAsia="zh-CN"/>
        </w:rPr>
        <w:t>际电联</w:t>
      </w:r>
      <w:r w:rsidR="004A21CA">
        <w:rPr>
          <w:rFonts w:hint="eastAsia"/>
          <w:szCs w:val="24"/>
          <w:lang w:val="en-US" w:eastAsia="zh-CN"/>
        </w:rPr>
        <w:t>成员会</w:t>
      </w:r>
      <w:r w:rsidR="004A21CA">
        <w:rPr>
          <w:szCs w:val="24"/>
          <w:lang w:val="en-US" w:eastAsia="zh-CN"/>
        </w:rPr>
        <w:t>费</w:t>
      </w:r>
      <w:r w:rsidR="004A21CA">
        <w:rPr>
          <w:rFonts w:hint="eastAsia"/>
          <w:szCs w:val="24"/>
          <w:lang w:val="en-US" w:eastAsia="zh-CN"/>
        </w:rPr>
        <w:t>以</w:t>
      </w:r>
      <w:r w:rsidR="004A21CA">
        <w:rPr>
          <w:szCs w:val="24"/>
          <w:lang w:val="en-US" w:eastAsia="zh-CN"/>
        </w:rPr>
        <w:t>及其它财务资源</w:t>
      </w:r>
      <w:r w:rsidR="004A21CA">
        <w:rPr>
          <w:rFonts w:hint="eastAsia"/>
          <w:szCs w:val="24"/>
          <w:lang w:val="en-US" w:eastAsia="zh-CN"/>
        </w:rPr>
        <w:t>得</w:t>
      </w:r>
      <w:r w:rsidR="004A21CA">
        <w:rPr>
          <w:szCs w:val="24"/>
          <w:lang w:val="en-US" w:eastAsia="zh-CN"/>
        </w:rPr>
        <w:t>到最充分的使用</w:t>
      </w:r>
      <w:r w:rsidR="004A21CA">
        <w:rPr>
          <w:rFonts w:hint="eastAsia"/>
          <w:szCs w:val="24"/>
          <w:lang w:val="en-US" w:eastAsia="zh-CN"/>
        </w:rPr>
        <w:t>；</w:t>
      </w:r>
    </w:p>
    <w:p w:rsidR="005F0613" w:rsidRDefault="005F0613" w:rsidP="00D052D3">
      <w:pPr>
        <w:jc w:val="both"/>
        <w:rPr>
          <w:lang w:eastAsia="zh-CN"/>
        </w:rPr>
      </w:pPr>
      <w:r>
        <w:rPr>
          <w:lang w:eastAsia="zh-CN"/>
        </w:rPr>
        <w:t>4</w:t>
      </w:r>
      <w:r w:rsidRPr="000A2ADC">
        <w:rPr>
          <w:lang w:eastAsia="zh-CN"/>
        </w:rPr>
        <w:tab/>
      </w:r>
      <w:r w:rsidR="004F0BEA">
        <w:rPr>
          <w:rFonts w:hint="eastAsia"/>
          <w:lang w:eastAsia="zh-CN"/>
        </w:rPr>
        <w:t>运作规划和双年度预算应规定国际电联有助于实现部门目标和总体目标的各项活动的计划及相关资源；</w:t>
      </w:r>
    </w:p>
    <w:p w:rsidR="005F0613" w:rsidRDefault="005F0613" w:rsidP="004F0BEA">
      <w:pPr>
        <w:jc w:val="both"/>
        <w:rPr>
          <w:lang w:eastAsia="zh-CN"/>
        </w:rPr>
      </w:pPr>
      <w:r>
        <w:rPr>
          <w:lang w:eastAsia="zh-CN"/>
        </w:rPr>
        <w:t>5</w:t>
      </w:r>
      <w:r>
        <w:rPr>
          <w:lang w:eastAsia="zh-CN"/>
        </w:rPr>
        <w:tab/>
      </w:r>
      <w:r w:rsidR="004F0BEA">
        <w:rPr>
          <w:rFonts w:hint="eastAsia"/>
          <w:lang w:eastAsia="zh-CN"/>
        </w:rPr>
        <w:t>在提高职员能力和为国际电联结果框架做出贡献方面取得稳定进展；</w:t>
      </w:r>
    </w:p>
    <w:p w:rsidR="005F0613" w:rsidRDefault="005F0613" w:rsidP="00936F4F">
      <w:pPr>
        <w:jc w:val="both"/>
        <w:rPr>
          <w:lang w:eastAsia="zh-CN"/>
        </w:rPr>
      </w:pPr>
      <w:r w:rsidRPr="00190A9E">
        <w:rPr>
          <w:szCs w:val="24"/>
          <w:lang w:val="en-US" w:eastAsia="zh-CN"/>
        </w:rPr>
        <w:t>6</w:t>
      </w:r>
      <w:r>
        <w:rPr>
          <w:szCs w:val="24"/>
          <w:lang w:val="en-US" w:eastAsia="zh-CN"/>
        </w:rPr>
        <w:tab/>
      </w:r>
      <w:r w:rsidR="00B9090E" w:rsidRPr="00D052D3">
        <w:rPr>
          <w:rFonts w:hint="eastAsia"/>
          <w:highlight w:val="green"/>
          <w:lang w:eastAsia="zh-CN"/>
        </w:rPr>
        <w:t>制定供理事会审议的与</w:t>
      </w:r>
      <w:r w:rsidR="00936F4F" w:rsidRPr="00D052D3">
        <w:rPr>
          <w:highlight w:val="green"/>
          <w:lang w:eastAsia="zh-CN"/>
        </w:rPr>
        <w:t>RBM</w:t>
      </w:r>
      <w:r w:rsidR="00B9090E" w:rsidRPr="00D052D3">
        <w:rPr>
          <w:rFonts w:hint="eastAsia"/>
          <w:highlight w:val="green"/>
          <w:lang w:eastAsia="zh-CN"/>
        </w:rPr>
        <w:t>和</w:t>
      </w:r>
      <w:r w:rsidR="00936F4F" w:rsidRPr="00D052D3">
        <w:rPr>
          <w:highlight w:val="green"/>
          <w:lang w:eastAsia="zh-CN"/>
        </w:rPr>
        <w:t>RBB</w:t>
      </w:r>
      <w:r w:rsidR="00B9090E" w:rsidRPr="00D052D3">
        <w:rPr>
          <w:rFonts w:hint="eastAsia"/>
          <w:highlight w:val="green"/>
          <w:lang w:eastAsia="zh-CN"/>
        </w:rPr>
        <w:t>相关的</w:t>
      </w:r>
      <w:r w:rsidR="00692542">
        <w:rPr>
          <w:rFonts w:hint="eastAsia"/>
          <w:highlight w:val="green"/>
          <w:lang w:eastAsia="zh-CN"/>
        </w:rPr>
        <w:t>适当</w:t>
      </w:r>
      <w:r w:rsidR="00B9090E" w:rsidRPr="00D052D3">
        <w:rPr>
          <w:rFonts w:hint="eastAsia"/>
          <w:highlight w:val="green"/>
          <w:lang w:eastAsia="zh-CN"/>
        </w:rPr>
        <w:t>建议，以便修改国际电联《财务规则》，同时考虑到成员国的观点以及各部门顾问组和内部以及外部审计员和独立管理顾问委员会（</w:t>
      </w:r>
      <w:r w:rsidR="00B9090E" w:rsidRPr="00D052D3">
        <w:rPr>
          <w:highlight w:val="green"/>
          <w:lang w:eastAsia="zh-CN"/>
        </w:rPr>
        <w:t>IMAC</w:t>
      </w:r>
      <w:r w:rsidR="00B9090E" w:rsidRPr="00D052D3">
        <w:rPr>
          <w:rFonts w:hint="eastAsia"/>
          <w:highlight w:val="green"/>
          <w:lang w:eastAsia="zh-CN"/>
        </w:rPr>
        <w:t>）的建议；</w:t>
      </w:r>
      <w:bookmarkStart w:id="5" w:name="_GoBack"/>
      <w:bookmarkEnd w:id="5"/>
    </w:p>
    <w:p w:rsidR="00B9090E" w:rsidRPr="00B9090E" w:rsidRDefault="00B9090E" w:rsidP="00D052D3">
      <w:pPr>
        <w:rPr>
          <w:lang w:eastAsia="zh-CN"/>
        </w:rPr>
      </w:pPr>
      <w:r w:rsidRPr="00D052D3">
        <w:rPr>
          <w:iCs/>
          <w:lang w:eastAsia="zh-CN"/>
        </w:rPr>
        <w:t>7</w:t>
      </w:r>
      <w:r w:rsidRPr="00B9090E">
        <w:rPr>
          <w:i/>
          <w:lang w:eastAsia="zh-CN"/>
        </w:rPr>
        <w:tab/>
      </w:r>
      <w:r w:rsidRPr="00B9090E">
        <w:rPr>
          <w:rFonts w:hint="eastAsia"/>
          <w:iCs/>
          <w:lang w:eastAsia="zh-CN"/>
        </w:rPr>
        <w:t>利用</w:t>
      </w:r>
      <w:r w:rsidRPr="00B9090E">
        <w:rPr>
          <w:iCs/>
          <w:lang w:eastAsia="zh-CN"/>
        </w:rPr>
        <w:t>综合绩效监督框架</w:t>
      </w:r>
      <w:r w:rsidRPr="00B9090E">
        <w:rPr>
          <w:rFonts w:hint="eastAsia"/>
          <w:iCs/>
          <w:lang w:eastAsia="zh-CN"/>
        </w:rPr>
        <w:t>监督</w:t>
      </w:r>
      <w:r w:rsidRPr="00B9090E">
        <w:rPr>
          <w:iCs/>
          <w:lang w:eastAsia="zh-CN"/>
        </w:rPr>
        <w:t>国际电联相互联系的规划实施情况</w:t>
      </w:r>
      <w:r w:rsidRPr="00B9090E">
        <w:rPr>
          <w:rFonts w:hint="eastAsia"/>
          <w:iCs/>
          <w:lang w:eastAsia="zh-CN"/>
        </w:rPr>
        <w:t>；</w:t>
      </w:r>
    </w:p>
    <w:p w:rsidR="00B9090E" w:rsidRDefault="00B9090E" w:rsidP="00D052D3">
      <w:pPr>
        <w:jc w:val="both"/>
        <w:rPr>
          <w:lang w:eastAsia="zh-CN"/>
        </w:rPr>
      </w:pPr>
      <w:r w:rsidRPr="00B9090E">
        <w:rPr>
          <w:iCs/>
          <w:lang w:eastAsia="zh-CN"/>
        </w:rPr>
        <w:t>8</w:t>
      </w:r>
      <w:r w:rsidRPr="00B9090E">
        <w:rPr>
          <w:i/>
          <w:lang w:eastAsia="zh-CN"/>
        </w:rPr>
        <w:tab/>
      </w:r>
      <w:r w:rsidRPr="00B9090E">
        <w:rPr>
          <w:rFonts w:hint="eastAsia"/>
          <w:iCs/>
          <w:lang w:eastAsia="zh-CN"/>
        </w:rPr>
        <w:t>通过</w:t>
      </w:r>
      <w:r w:rsidRPr="00B9090E">
        <w:rPr>
          <w:rFonts w:hint="eastAsia"/>
          <w:lang w:eastAsia="zh-CN"/>
        </w:rPr>
        <w:t>消除</w:t>
      </w:r>
      <w:r w:rsidRPr="00B9090E">
        <w:rPr>
          <w:lang w:eastAsia="zh-CN"/>
        </w:rPr>
        <w:t>重复工作继续提高各项活动的效率，同时考虑到国际电联活动与其它相关国际和区域性电信组织活动之间的互补性</w:t>
      </w:r>
      <w:r w:rsidR="00692542">
        <w:rPr>
          <w:rFonts w:hint="eastAsia"/>
          <w:lang w:eastAsia="zh-CN"/>
        </w:rPr>
        <w:t>以及国际电联各部门的职能；</w:t>
      </w:r>
    </w:p>
    <w:p w:rsidR="00B9090E" w:rsidRPr="0003484B" w:rsidRDefault="00B9090E" w:rsidP="00692542">
      <w:pPr>
        <w:rPr>
          <w:highlight w:val="cyan"/>
          <w:lang w:val="en-US" w:eastAsia="zh-CN"/>
        </w:rPr>
      </w:pPr>
      <w:r>
        <w:rPr>
          <w:lang w:eastAsia="zh-CN"/>
        </w:rPr>
        <w:t>9</w:t>
      </w:r>
      <w:r>
        <w:rPr>
          <w:lang w:eastAsia="zh-CN"/>
        </w:rPr>
        <w:tab/>
      </w:r>
      <w:r w:rsidR="00692542">
        <w:rPr>
          <w:rFonts w:hint="eastAsia"/>
          <w:lang w:eastAsia="zh-CN"/>
        </w:rPr>
        <w:t>确保运作规划和双年度预算直接的一致性并避免重叠，供理事会审议；同时确定应包括在内的具体措施和要素；</w:t>
      </w:r>
    </w:p>
    <w:p w:rsidR="00B9090E" w:rsidRDefault="00B9090E" w:rsidP="00692542">
      <w:pPr>
        <w:jc w:val="both"/>
        <w:rPr>
          <w:lang w:eastAsia="zh-CN"/>
        </w:rPr>
      </w:pPr>
      <w:r>
        <w:rPr>
          <w:rFonts w:hint="eastAsia"/>
          <w:lang w:eastAsia="zh-CN"/>
        </w:rPr>
        <w:t>10</w:t>
      </w:r>
      <w:r>
        <w:rPr>
          <w:rFonts w:hint="eastAsia"/>
          <w:lang w:eastAsia="zh-CN"/>
        </w:rPr>
        <w:tab/>
      </w:r>
      <w:r w:rsidRPr="00D052D3">
        <w:rPr>
          <w:rFonts w:hint="eastAsia"/>
          <w:lang w:eastAsia="zh-CN"/>
        </w:rPr>
        <w:t>通过公布包括资源</w:t>
      </w:r>
      <w:r w:rsidR="00692542">
        <w:rPr>
          <w:rFonts w:hint="eastAsia"/>
          <w:lang w:eastAsia="zh-CN"/>
        </w:rPr>
        <w:t>划拨</w:t>
      </w:r>
      <w:r w:rsidRPr="00D052D3">
        <w:rPr>
          <w:rFonts w:hint="eastAsia"/>
          <w:lang w:eastAsia="zh-CN"/>
        </w:rPr>
        <w:t>的详细信息，帮助提高国际电联的透明度；</w:t>
      </w:r>
    </w:p>
    <w:p w:rsidR="005214C1" w:rsidRDefault="00B9090E" w:rsidP="00C5638A">
      <w:pPr>
        <w:rPr>
          <w:lang w:eastAsia="zh-CN"/>
        </w:rPr>
      </w:pPr>
      <w:r>
        <w:rPr>
          <w:rFonts w:hint="eastAsia"/>
          <w:lang w:eastAsia="zh-CN"/>
        </w:rPr>
        <w:t>11</w:t>
      </w:r>
      <w:r>
        <w:rPr>
          <w:lang w:eastAsia="zh-CN"/>
        </w:rPr>
        <w:tab/>
      </w:r>
      <w:r w:rsidR="00692542" w:rsidRPr="00692542">
        <w:rPr>
          <w:lang w:eastAsia="zh-CN"/>
        </w:rPr>
        <w:t>在</w:t>
      </w:r>
      <w:r w:rsidR="00692542" w:rsidRPr="00692542">
        <w:rPr>
          <w:lang w:eastAsia="zh-CN"/>
        </w:rPr>
        <w:t>PP-18</w:t>
      </w:r>
      <w:r w:rsidR="00692542" w:rsidRPr="00692542">
        <w:rPr>
          <w:lang w:eastAsia="zh-CN"/>
        </w:rPr>
        <w:t>后，每年监督全权代表大会决议的落实情况，并</w:t>
      </w:r>
      <w:r w:rsidR="00EE5E16" w:rsidRPr="00692542">
        <w:rPr>
          <w:lang w:eastAsia="zh-CN"/>
        </w:rPr>
        <w:t>在国际电联战略规划和活动落实报告的框架范围内（国际电联年度活动进展报告））</w:t>
      </w:r>
      <w:r w:rsidR="00EE5E16">
        <w:rPr>
          <w:rFonts w:hint="eastAsia"/>
          <w:lang w:eastAsia="zh-CN"/>
        </w:rPr>
        <w:t>向</w:t>
      </w:r>
      <w:r w:rsidR="00692542" w:rsidRPr="00692542">
        <w:rPr>
          <w:lang w:eastAsia="zh-CN"/>
        </w:rPr>
        <w:t>国际电联理事会报告</w:t>
      </w:r>
      <w:r>
        <w:rPr>
          <w:rFonts w:hint="eastAsia"/>
          <w:szCs w:val="24"/>
          <w:lang w:val="en-US" w:eastAsia="zh-CN"/>
        </w:rPr>
        <w:t>；</w:t>
      </w:r>
    </w:p>
    <w:p w:rsidR="005214C1" w:rsidRDefault="00C20DAB" w:rsidP="00D052D3">
      <w:pPr>
        <w:pStyle w:val="Call"/>
        <w:rPr>
          <w:lang w:eastAsia="zh-CN"/>
        </w:rPr>
      </w:pPr>
      <w:r w:rsidRPr="00145D5E">
        <w:rPr>
          <w:rFonts w:asciiTheme="minorHAnsi" w:eastAsia="STKaiti" w:hAnsiTheme="minorHAnsi" w:cstheme="minorHAnsi"/>
          <w:lang w:eastAsia="zh-CN"/>
        </w:rPr>
        <w:t>责成国际电联理事会</w:t>
      </w:r>
    </w:p>
    <w:p w:rsidR="00C20DAB" w:rsidRDefault="00C20DAB" w:rsidP="00D052D3">
      <w:pPr>
        <w:rPr>
          <w:rFonts w:asciiTheme="minorHAnsi" w:hAnsiTheme="minorHAnsi"/>
          <w:lang w:eastAsia="zh-CN"/>
        </w:rPr>
      </w:pPr>
      <w:r>
        <w:rPr>
          <w:rFonts w:asciiTheme="minorHAnsi" w:hAnsiTheme="minorHAnsi"/>
          <w:lang w:eastAsia="zh-CN"/>
        </w:rPr>
        <w:t>1</w:t>
      </w:r>
      <w:r>
        <w:rPr>
          <w:rFonts w:asciiTheme="minorHAnsi" w:hAnsiTheme="minorHAnsi"/>
          <w:lang w:eastAsia="zh-CN"/>
        </w:rPr>
        <w:tab/>
      </w:r>
      <w:r>
        <w:rPr>
          <w:rFonts w:asciiTheme="minorHAnsi" w:hAnsi="Times New Roman" w:hint="eastAsia"/>
          <w:lang w:eastAsia="zh-CN"/>
        </w:rPr>
        <w:t>继续采取适当行动，以确保在国际电联进一步制定并适当</w:t>
      </w:r>
      <w:r w:rsidR="00EE5E16">
        <w:rPr>
          <w:rFonts w:asciiTheme="minorHAnsi" w:hAnsi="Times New Roman" w:hint="eastAsia"/>
          <w:lang w:eastAsia="zh-CN"/>
        </w:rPr>
        <w:t>应用</w:t>
      </w:r>
      <w:r>
        <w:rPr>
          <w:rFonts w:asciiTheme="minorHAnsi" w:hAnsi="Times New Roman" w:hint="eastAsia"/>
          <w:lang w:eastAsia="zh-CN"/>
        </w:rPr>
        <w:t>基于结果预算编制和基于结果的管理方式；</w:t>
      </w:r>
    </w:p>
    <w:p w:rsidR="00C20DAB" w:rsidRDefault="00C20DAB" w:rsidP="00C20DAB">
      <w:pPr>
        <w:spacing w:after="120"/>
        <w:rPr>
          <w:rFonts w:asciiTheme="minorHAnsi" w:hAnsi="Times New Roman"/>
          <w:lang w:eastAsia="zh-CN"/>
        </w:rPr>
      </w:pPr>
      <w:r>
        <w:rPr>
          <w:rFonts w:asciiTheme="minorHAnsi" w:hAnsiTheme="minorHAnsi"/>
          <w:lang w:eastAsia="zh-CN"/>
        </w:rPr>
        <w:t>2</w:t>
      </w:r>
      <w:r>
        <w:rPr>
          <w:rFonts w:asciiTheme="minorHAnsi" w:hAnsiTheme="minorHAnsi"/>
          <w:lang w:eastAsia="zh-CN"/>
        </w:rPr>
        <w:tab/>
      </w:r>
      <w:r>
        <w:rPr>
          <w:rFonts w:asciiTheme="minorHAnsi" w:hAnsi="Times New Roman" w:hint="eastAsia"/>
          <w:lang w:eastAsia="zh-CN"/>
        </w:rPr>
        <w:t>在随后的理事会各届会议上监督本决议的落实情况，并向下一届全权代表大会做出报告。</w:t>
      </w:r>
    </w:p>
    <w:p w:rsidR="005214C1" w:rsidRPr="005214C1" w:rsidRDefault="005214C1" w:rsidP="005214C1">
      <w:pPr>
        <w:pStyle w:val="Call"/>
        <w:rPr>
          <w:sz w:val="28"/>
          <w:highlight w:val="green"/>
          <w:lang w:eastAsia="zh-CN"/>
        </w:rPr>
      </w:pPr>
      <w:r w:rsidRPr="005214C1">
        <w:rPr>
          <w:rFonts w:hint="eastAsia"/>
          <w:highlight w:val="green"/>
          <w:lang w:eastAsia="zh-CN"/>
        </w:rPr>
        <w:t>敦促成员国</w:t>
      </w:r>
    </w:p>
    <w:p w:rsidR="005214C1" w:rsidRDefault="005214C1" w:rsidP="0053756B">
      <w:pPr>
        <w:ind w:firstLineChars="200" w:firstLine="480"/>
        <w:rPr>
          <w:rFonts w:asciiTheme="minorHAnsi" w:hAnsi="Times New Roman"/>
          <w:lang w:eastAsia="zh-CN"/>
        </w:rPr>
      </w:pPr>
      <w:r w:rsidRPr="005214C1">
        <w:rPr>
          <w:rFonts w:hint="eastAsia"/>
          <w:highlight w:val="green"/>
          <w:lang w:eastAsia="zh-CN"/>
        </w:rPr>
        <w:t>在起草提案的初期，就相关财务影响与秘书处联系，以确定工作计划和相关资源要求，同时在最为可行的情况下将其纳入此类提案中。</w:t>
      </w:r>
    </w:p>
    <w:p w:rsidR="005214C1" w:rsidRDefault="005214C1" w:rsidP="00936F4F">
      <w:pPr>
        <w:rPr>
          <w:lang w:eastAsia="zh-CN"/>
        </w:rPr>
      </w:pPr>
    </w:p>
    <w:p w:rsidR="00A766FC" w:rsidRPr="00A766FC" w:rsidRDefault="00A766FC" w:rsidP="00A766FC">
      <w:pPr>
        <w:jc w:val="center"/>
      </w:pPr>
      <w:r>
        <w:t>______________</w:t>
      </w:r>
    </w:p>
    <w:sectPr w:rsidR="00A766FC" w:rsidRPr="00A766F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C0" w:rsidRDefault="002A32C0">
      <w:r>
        <w:separator/>
      </w:r>
    </w:p>
  </w:endnote>
  <w:endnote w:type="continuationSeparator" w:id="0">
    <w:p w:rsidR="002A32C0" w:rsidRDefault="002A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Pr="00F0295E" w:rsidRDefault="00FE242D" w:rsidP="00B605E8">
    <w:pPr>
      <w:pStyle w:val="Footer"/>
    </w:pPr>
    <w:fldSimple w:instr=" FILENAME \p  \* MERGEFORMAT ">
      <w:r w:rsidR="00B605E8">
        <w:t>P:\CHI\SG\CONSEIL\CWG-SFP\CWG-SFP4\000\008\008aC.docx</w:t>
      </w:r>
    </w:fldSimple>
    <w:r w:rsidR="002A32C0">
      <w:t xml:space="preserve"> (</w:t>
    </w:r>
    <w:r w:rsidR="0089168D">
      <w:t>433652</w:t>
    </w:r>
    <w:r w:rsidR="002A32C0">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Default="002A32C0"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C0" w:rsidRDefault="002A32C0">
      <w:r>
        <w:t>____________________</w:t>
      </w:r>
    </w:p>
  </w:footnote>
  <w:footnote w:type="continuationSeparator" w:id="0">
    <w:p w:rsidR="002A32C0" w:rsidRDefault="002A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Default="002A32C0" w:rsidP="00CE6F22">
    <w:pPr>
      <w:pStyle w:val="Header"/>
    </w:pPr>
    <w:r>
      <w:fldChar w:fldCharType="begin"/>
    </w:r>
    <w:r>
      <w:instrText>PAGE</w:instrText>
    </w:r>
    <w:r>
      <w:fldChar w:fldCharType="separate"/>
    </w:r>
    <w:r w:rsidR="00936F4F">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10"/>
  </w:num>
  <w:num w:numId="5">
    <w:abstractNumId w:val="12"/>
  </w:num>
  <w:num w:numId="6">
    <w:abstractNumId w:val="11"/>
  </w:num>
  <w:num w:numId="7">
    <w:abstractNumId w:val="3"/>
  </w:num>
  <w:num w:numId="8">
    <w:abstractNumId w:val="2"/>
  </w:num>
  <w:num w:numId="9">
    <w:abstractNumId w:val="5"/>
  </w:num>
  <w:num w:numId="10">
    <w:abstractNumId w:val="1"/>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126BE"/>
    <w:rsid w:val="00031E72"/>
    <w:rsid w:val="0003521B"/>
    <w:rsid w:val="000404D2"/>
    <w:rsid w:val="00044B54"/>
    <w:rsid w:val="00054B85"/>
    <w:rsid w:val="00066E5C"/>
    <w:rsid w:val="000853C0"/>
    <w:rsid w:val="00093F02"/>
    <w:rsid w:val="00094043"/>
    <w:rsid w:val="000978CD"/>
    <w:rsid w:val="000A1C21"/>
    <w:rsid w:val="000C1578"/>
    <w:rsid w:val="000C6CF5"/>
    <w:rsid w:val="000D15EA"/>
    <w:rsid w:val="000D7401"/>
    <w:rsid w:val="00100D84"/>
    <w:rsid w:val="00120CC2"/>
    <w:rsid w:val="00124C9D"/>
    <w:rsid w:val="00130176"/>
    <w:rsid w:val="00142763"/>
    <w:rsid w:val="00145D5E"/>
    <w:rsid w:val="00157773"/>
    <w:rsid w:val="00163D95"/>
    <w:rsid w:val="001725EA"/>
    <w:rsid w:val="0018251A"/>
    <w:rsid w:val="00185879"/>
    <w:rsid w:val="00190272"/>
    <w:rsid w:val="00193055"/>
    <w:rsid w:val="00193244"/>
    <w:rsid w:val="00195C6C"/>
    <w:rsid w:val="00195FED"/>
    <w:rsid w:val="001A4BD6"/>
    <w:rsid w:val="001A711D"/>
    <w:rsid w:val="001D5A18"/>
    <w:rsid w:val="001E1A11"/>
    <w:rsid w:val="001F0E83"/>
    <w:rsid w:val="00202D21"/>
    <w:rsid w:val="002101AB"/>
    <w:rsid w:val="002247A1"/>
    <w:rsid w:val="00240E9A"/>
    <w:rsid w:val="00251621"/>
    <w:rsid w:val="002577D6"/>
    <w:rsid w:val="00271DFF"/>
    <w:rsid w:val="00280EB8"/>
    <w:rsid w:val="0029529B"/>
    <w:rsid w:val="002A32C0"/>
    <w:rsid w:val="002A6670"/>
    <w:rsid w:val="002A669A"/>
    <w:rsid w:val="002B4246"/>
    <w:rsid w:val="002B5005"/>
    <w:rsid w:val="002C62FA"/>
    <w:rsid w:val="002D4680"/>
    <w:rsid w:val="002D5FBE"/>
    <w:rsid w:val="00303502"/>
    <w:rsid w:val="003039AC"/>
    <w:rsid w:val="00321F47"/>
    <w:rsid w:val="003243D6"/>
    <w:rsid w:val="00325539"/>
    <w:rsid w:val="00325C25"/>
    <w:rsid w:val="003260FA"/>
    <w:rsid w:val="003321E8"/>
    <w:rsid w:val="00341180"/>
    <w:rsid w:val="00347817"/>
    <w:rsid w:val="003504DC"/>
    <w:rsid w:val="00351716"/>
    <w:rsid w:val="00362985"/>
    <w:rsid w:val="00372C8F"/>
    <w:rsid w:val="0037632A"/>
    <w:rsid w:val="00376755"/>
    <w:rsid w:val="00380ECE"/>
    <w:rsid w:val="00391F78"/>
    <w:rsid w:val="00393DDF"/>
    <w:rsid w:val="00393EC5"/>
    <w:rsid w:val="00397F55"/>
    <w:rsid w:val="003A775F"/>
    <w:rsid w:val="003B01A1"/>
    <w:rsid w:val="003B14BD"/>
    <w:rsid w:val="003B4454"/>
    <w:rsid w:val="003B54B4"/>
    <w:rsid w:val="003C2E37"/>
    <w:rsid w:val="003C55B3"/>
    <w:rsid w:val="003F1415"/>
    <w:rsid w:val="003F2FCB"/>
    <w:rsid w:val="0040144C"/>
    <w:rsid w:val="00403EB7"/>
    <w:rsid w:val="00423083"/>
    <w:rsid w:val="00430BF0"/>
    <w:rsid w:val="00443BFB"/>
    <w:rsid w:val="00456180"/>
    <w:rsid w:val="0046706C"/>
    <w:rsid w:val="004672E6"/>
    <w:rsid w:val="004705DE"/>
    <w:rsid w:val="00474ED1"/>
    <w:rsid w:val="00482517"/>
    <w:rsid w:val="00485F79"/>
    <w:rsid w:val="00493085"/>
    <w:rsid w:val="004A21CA"/>
    <w:rsid w:val="004A36EC"/>
    <w:rsid w:val="004B2B9D"/>
    <w:rsid w:val="004C4C18"/>
    <w:rsid w:val="004C642F"/>
    <w:rsid w:val="004D05A6"/>
    <w:rsid w:val="004D163F"/>
    <w:rsid w:val="004E2111"/>
    <w:rsid w:val="004E4BFF"/>
    <w:rsid w:val="004E6969"/>
    <w:rsid w:val="004F0BEA"/>
    <w:rsid w:val="004F2598"/>
    <w:rsid w:val="004F4AB8"/>
    <w:rsid w:val="0051204D"/>
    <w:rsid w:val="005214C1"/>
    <w:rsid w:val="00532954"/>
    <w:rsid w:val="00533C9D"/>
    <w:rsid w:val="0053756B"/>
    <w:rsid w:val="005403F7"/>
    <w:rsid w:val="00540632"/>
    <w:rsid w:val="00540C12"/>
    <w:rsid w:val="00541CF4"/>
    <w:rsid w:val="005451E8"/>
    <w:rsid w:val="005507F2"/>
    <w:rsid w:val="005665E6"/>
    <w:rsid w:val="0057397F"/>
    <w:rsid w:val="005759CC"/>
    <w:rsid w:val="005907E6"/>
    <w:rsid w:val="005A62A0"/>
    <w:rsid w:val="005A72E1"/>
    <w:rsid w:val="005B28BC"/>
    <w:rsid w:val="005C6632"/>
    <w:rsid w:val="005D18DD"/>
    <w:rsid w:val="005D1C9E"/>
    <w:rsid w:val="005D3D8D"/>
    <w:rsid w:val="005F0613"/>
    <w:rsid w:val="00607924"/>
    <w:rsid w:val="0062114B"/>
    <w:rsid w:val="00632540"/>
    <w:rsid w:val="00654257"/>
    <w:rsid w:val="0065435A"/>
    <w:rsid w:val="006675E1"/>
    <w:rsid w:val="00692542"/>
    <w:rsid w:val="006A066E"/>
    <w:rsid w:val="006A2DD3"/>
    <w:rsid w:val="006A5AF8"/>
    <w:rsid w:val="006B4F1C"/>
    <w:rsid w:val="006B4FFF"/>
    <w:rsid w:val="006C36CD"/>
    <w:rsid w:val="006C4ABD"/>
    <w:rsid w:val="006D1C8B"/>
    <w:rsid w:val="006D29B9"/>
    <w:rsid w:val="006E576B"/>
    <w:rsid w:val="00700D1F"/>
    <w:rsid w:val="0070663F"/>
    <w:rsid w:val="0071223B"/>
    <w:rsid w:val="007205CB"/>
    <w:rsid w:val="00725A36"/>
    <w:rsid w:val="00726073"/>
    <w:rsid w:val="007332DB"/>
    <w:rsid w:val="00734FE8"/>
    <w:rsid w:val="007360CE"/>
    <w:rsid w:val="007378A9"/>
    <w:rsid w:val="00757531"/>
    <w:rsid w:val="00767794"/>
    <w:rsid w:val="007677B7"/>
    <w:rsid w:val="00772315"/>
    <w:rsid w:val="00772E99"/>
    <w:rsid w:val="00775157"/>
    <w:rsid w:val="007813AE"/>
    <w:rsid w:val="007817B3"/>
    <w:rsid w:val="00793444"/>
    <w:rsid w:val="007A37DB"/>
    <w:rsid w:val="007A4A78"/>
    <w:rsid w:val="007B620F"/>
    <w:rsid w:val="007E189D"/>
    <w:rsid w:val="007F30EB"/>
    <w:rsid w:val="008104AD"/>
    <w:rsid w:val="00811259"/>
    <w:rsid w:val="00813AA2"/>
    <w:rsid w:val="0081697D"/>
    <w:rsid w:val="008173A3"/>
    <w:rsid w:val="00836D2A"/>
    <w:rsid w:val="00837328"/>
    <w:rsid w:val="00840734"/>
    <w:rsid w:val="0085428D"/>
    <w:rsid w:val="008561C6"/>
    <w:rsid w:val="0086059C"/>
    <w:rsid w:val="00864589"/>
    <w:rsid w:val="00867FDE"/>
    <w:rsid w:val="00881400"/>
    <w:rsid w:val="00883A75"/>
    <w:rsid w:val="00890AFB"/>
    <w:rsid w:val="00890FC4"/>
    <w:rsid w:val="0089168D"/>
    <w:rsid w:val="00895905"/>
    <w:rsid w:val="008D1E5D"/>
    <w:rsid w:val="008F32BE"/>
    <w:rsid w:val="008F3933"/>
    <w:rsid w:val="009164A9"/>
    <w:rsid w:val="0091780B"/>
    <w:rsid w:val="0092413E"/>
    <w:rsid w:val="009258CB"/>
    <w:rsid w:val="0093362E"/>
    <w:rsid w:val="00936F4F"/>
    <w:rsid w:val="009377A0"/>
    <w:rsid w:val="00944563"/>
    <w:rsid w:val="00953160"/>
    <w:rsid w:val="00961D43"/>
    <w:rsid w:val="009625D8"/>
    <w:rsid w:val="00963C6C"/>
    <w:rsid w:val="0097232F"/>
    <w:rsid w:val="009752FD"/>
    <w:rsid w:val="0098459B"/>
    <w:rsid w:val="00987302"/>
    <w:rsid w:val="00994884"/>
    <w:rsid w:val="00995FCD"/>
    <w:rsid w:val="00997185"/>
    <w:rsid w:val="009A7ECF"/>
    <w:rsid w:val="009B0AB4"/>
    <w:rsid w:val="009C2458"/>
    <w:rsid w:val="009C4A7B"/>
    <w:rsid w:val="009C6123"/>
    <w:rsid w:val="009D0CD0"/>
    <w:rsid w:val="009F1E3E"/>
    <w:rsid w:val="00A1213C"/>
    <w:rsid w:val="00A22A34"/>
    <w:rsid w:val="00A2544A"/>
    <w:rsid w:val="00A272FF"/>
    <w:rsid w:val="00A413BD"/>
    <w:rsid w:val="00A43D93"/>
    <w:rsid w:val="00A4666E"/>
    <w:rsid w:val="00A5354B"/>
    <w:rsid w:val="00A766FC"/>
    <w:rsid w:val="00A8381E"/>
    <w:rsid w:val="00AB1D9B"/>
    <w:rsid w:val="00AB2D6A"/>
    <w:rsid w:val="00AB42C1"/>
    <w:rsid w:val="00AC516F"/>
    <w:rsid w:val="00AE2926"/>
    <w:rsid w:val="00B003D3"/>
    <w:rsid w:val="00B0184B"/>
    <w:rsid w:val="00B035CD"/>
    <w:rsid w:val="00B06CF0"/>
    <w:rsid w:val="00B0769D"/>
    <w:rsid w:val="00B217F8"/>
    <w:rsid w:val="00B2463B"/>
    <w:rsid w:val="00B332EA"/>
    <w:rsid w:val="00B40A53"/>
    <w:rsid w:val="00B4427E"/>
    <w:rsid w:val="00B45365"/>
    <w:rsid w:val="00B46A65"/>
    <w:rsid w:val="00B60184"/>
    <w:rsid w:val="00B605E8"/>
    <w:rsid w:val="00B625C3"/>
    <w:rsid w:val="00B625C4"/>
    <w:rsid w:val="00B62D20"/>
    <w:rsid w:val="00B81E75"/>
    <w:rsid w:val="00B81F1C"/>
    <w:rsid w:val="00B8390D"/>
    <w:rsid w:val="00B8636F"/>
    <w:rsid w:val="00B86B18"/>
    <w:rsid w:val="00B9090E"/>
    <w:rsid w:val="00BA7826"/>
    <w:rsid w:val="00BC07C9"/>
    <w:rsid w:val="00BC1438"/>
    <w:rsid w:val="00BC7847"/>
    <w:rsid w:val="00BD1A5A"/>
    <w:rsid w:val="00BD5E12"/>
    <w:rsid w:val="00BD7A9B"/>
    <w:rsid w:val="00BD7BE1"/>
    <w:rsid w:val="00BF3ABB"/>
    <w:rsid w:val="00BF416B"/>
    <w:rsid w:val="00BF6F47"/>
    <w:rsid w:val="00C17425"/>
    <w:rsid w:val="00C20DAB"/>
    <w:rsid w:val="00C254F1"/>
    <w:rsid w:val="00C4614A"/>
    <w:rsid w:val="00C546C4"/>
    <w:rsid w:val="00C5638A"/>
    <w:rsid w:val="00C64E4E"/>
    <w:rsid w:val="00C66E64"/>
    <w:rsid w:val="00C761A0"/>
    <w:rsid w:val="00C83035"/>
    <w:rsid w:val="00C85F7E"/>
    <w:rsid w:val="00C91EB4"/>
    <w:rsid w:val="00CA084D"/>
    <w:rsid w:val="00CA0AD3"/>
    <w:rsid w:val="00CB02D9"/>
    <w:rsid w:val="00CC1408"/>
    <w:rsid w:val="00CC791E"/>
    <w:rsid w:val="00CD47F0"/>
    <w:rsid w:val="00CD5566"/>
    <w:rsid w:val="00CD64D7"/>
    <w:rsid w:val="00CE223F"/>
    <w:rsid w:val="00CE6F22"/>
    <w:rsid w:val="00CE7EBE"/>
    <w:rsid w:val="00CF41F6"/>
    <w:rsid w:val="00CF7D3E"/>
    <w:rsid w:val="00D02B4E"/>
    <w:rsid w:val="00D052D3"/>
    <w:rsid w:val="00D20197"/>
    <w:rsid w:val="00D36817"/>
    <w:rsid w:val="00D42BDF"/>
    <w:rsid w:val="00D440E3"/>
    <w:rsid w:val="00D5666C"/>
    <w:rsid w:val="00D666BC"/>
    <w:rsid w:val="00D77F6D"/>
    <w:rsid w:val="00D820E3"/>
    <w:rsid w:val="00D83542"/>
    <w:rsid w:val="00D83D91"/>
    <w:rsid w:val="00D92F45"/>
    <w:rsid w:val="00D94637"/>
    <w:rsid w:val="00D94E8E"/>
    <w:rsid w:val="00D9725C"/>
    <w:rsid w:val="00DA7006"/>
    <w:rsid w:val="00DC6427"/>
    <w:rsid w:val="00DD66A1"/>
    <w:rsid w:val="00DE196D"/>
    <w:rsid w:val="00DE3569"/>
    <w:rsid w:val="00DF19BD"/>
    <w:rsid w:val="00DF6B49"/>
    <w:rsid w:val="00E039D1"/>
    <w:rsid w:val="00E067C5"/>
    <w:rsid w:val="00E23D50"/>
    <w:rsid w:val="00E265BF"/>
    <w:rsid w:val="00E32ACE"/>
    <w:rsid w:val="00E33DB4"/>
    <w:rsid w:val="00E378D8"/>
    <w:rsid w:val="00E43A12"/>
    <w:rsid w:val="00E5372B"/>
    <w:rsid w:val="00E67C67"/>
    <w:rsid w:val="00E766EC"/>
    <w:rsid w:val="00E77476"/>
    <w:rsid w:val="00E8228B"/>
    <w:rsid w:val="00E852EA"/>
    <w:rsid w:val="00E87042"/>
    <w:rsid w:val="00E911BF"/>
    <w:rsid w:val="00ED0254"/>
    <w:rsid w:val="00EE5706"/>
    <w:rsid w:val="00EE5E16"/>
    <w:rsid w:val="00EF18B2"/>
    <w:rsid w:val="00EF373D"/>
    <w:rsid w:val="00F0295E"/>
    <w:rsid w:val="00F03420"/>
    <w:rsid w:val="00F05E48"/>
    <w:rsid w:val="00F11595"/>
    <w:rsid w:val="00F13BC9"/>
    <w:rsid w:val="00F16516"/>
    <w:rsid w:val="00F20F38"/>
    <w:rsid w:val="00F2773F"/>
    <w:rsid w:val="00F34DB3"/>
    <w:rsid w:val="00F357B2"/>
    <w:rsid w:val="00F36556"/>
    <w:rsid w:val="00F37E27"/>
    <w:rsid w:val="00F5592A"/>
    <w:rsid w:val="00F705DF"/>
    <w:rsid w:val="00F70622"/>
    <w:rsid w:val="00F72A0E"/>
    <w:rsid w:val="00F7364A"/>
    <w:rsid w:val="00F76868"/>
    <w:rsid w:val="00F85573"/>
    <w:rsid w:val="00F85624"/>
    <w:rsid w:val="00F87C05"/>
    <w:rsid w:val="00F93191"/>
    <w:rsid w:val="00F93A17"/>
    <w:rsid w:val="00FA2AF6"/>
    <w:rsid w:val="00FB073D"/>
    <w:rsid w:val="00FB771F"/>
    <w:rsid w:val="00FC5386"/>
    <w:rsid w:val="00FD33E4"/>
    <w:rsid w:val="00FE1416"/>
    <w:rsid w:val="00FE242D"/>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F2FB8B1-38BB-4601-9D98-77C9C644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sNoChar">
    <w:name w:val="Res_No Char"/>
    <w:basedOn w:val="DefaultParagraphFont"/>
    <w:link w:val="ResNo"/>
    <w:locked/>
    <w:rsid w:val="00C20DAB"/>
    <w:rPr>
      <w:rFonts w:ascii="Calibri" w:hAnsi="Calibri"/>
      <w:caps/>
      <w:sz w:val="28"/>
      <w:lang w:val="en-GB" w:eastAsia="en-US"/>
    </w:rPr>
  </w:style>
  <w:style w:type="character" w:customStyle="1" w:styleId="RestitleChar">
    <w:name w:val="Res_title Char"/>
    <w:basedOn w:val="DefaultParagraphFont"/>
    <w:link w:val="Restitle"/>
    <w:locked/>
    <w:rsid w:val="00C20DAB"/>
    <w:rPr>
      <w:rFonts w:ascii="Calibri" w:hAnsi="Calibri"/>
      <w:b/>
      <w:sz w:val="28"/>
      <w:lang w:val="en-GB" w:eastAsia="en-US"/>
    </w:rPr>
  </w:style>
  <w:style w:type="paragraph" w:customStyle="1" w:styleId="refbasdepage">
    <w:name w:val="ref_basdepage"/>
    <w:basedOn w:val="Normal"/>
    <w:rsid w:val="00C20DAB"/>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line="264" w:lineRule="auto"/>
      <w:textAlignment w:val="auto"/>
    </w:pPr>
    <w:rPr>
      <w:rFonts w:asciiTheme="minorHAnsi" w:eastAsia="STKaiti" w:hAnsiTheme="minorHAnsi"/>
      <w:lang w:val="fr-FR"/>
    </w:rPr>
  </w:style>
  <w:style w:type="character" w:customStyle="1" w:styleId="href">
    <w:name w:val="href"/>
    <w:basedOn w:val="DefaultParagraphFont"/>
    <w:qFormat/>
    <w:rsid w:val="00C20DAB"/>
    <w:rPr>
      <w:lang w:eastAsia="zh-CN"/>
    </w:rPr>
  </w:style>
  <w:style w:type="character" w:customStyle="1" w:styleId="enumlev1Char">
    <w:name w:val="enumlev1 Char"/>
    <w:basedOn w:val="DefaultParagraphFont"/>
    <w:link w:val="enumlev1"/>
    <w:uiPriority w:val="99"/>
    <w:locked/>
    <w:rsid w:val="004A21C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1118232">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59882060">
      <w:bodyDiv w:val="1"/>
      <w:marLeft w:val="0"/>
      <w:marRight w:val="0"/>
      <w:marTop w:val="0"/>
      <w:marBottom w:val="0"/>
      <w:divBdr>
        <w:top w:val="none" w:sz="0" w:space="0" w:color="auto"/>
        <w:left w:val="none" w:sz="0" w:space="0" w:color="auto"/>
        <w:bottom w:val="none" w:sz="0" w:space="0" w:color="auto"/>
        <w:right w:val="none" w:sz="0" w:space="0" w:color="auto"/>
      </w:divBdr>
    </w:div>
    <w:div w:id="1181118714">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68401801">
      <w:bodyDiv w:val="1"/>
      <w:marLeft w:val="0"/>
      <w:marRight w:val="0"/>
      <w:marTop w:val="0"/>
      <w:marBottom w:val="0"/>
      <w:divBdr>
        <w:top w:val="none" w:sz="0" w:space="0" w:color="auto"/>
        <w:left w:val="none" w:sz="0" w:space="0" w:color="auto"/>
        <w:bottom w:val="none" w:sz="0" w:space="0" w:color="auto"/>
        <w:right w:val="none" w:sz="0" w:space="0" w:color="auto"/>
      </w:divBdr>
    </w:div>
    <w:div w:id="182284275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72304901">
      <w:bodyDiv w:val="1"/>
      <w:marLeft w:val="0"/>
      <w:marRight w:val="0"/>
      <w:marTop w:val="0"/>
      <w:marBottom w:val="0"/>
      <w:divBdr>
        <w:top w:val="none" w:sz="0" w:space="0" w:color="auto"/>
        <w:left w:val="none" w:sz="0" w:space="0" w:color="auto"/>
        <w:bottom w:val="none" w:sz="0" w:space="0" w:color="auto"/>
        <w:right w:val="none" w:sz="0" w:space="0" w:color="auto"/>
      </w:divBdr>
    </w:div>
    <w:div w:id="1952546281">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2D273-0DDF-4E0D-B5BA-47CF979F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3</TotalTime>
  <Pages>2</Pages>
  <Words>1514</Words>
  <Characters>219</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Tang, Ting</cp:lastModifiedBy>
  <cp:revision>5</cp:revision>
  <cp:lastPrinted>2018-04-09T07:10:00Z</cp:lastPrinted>
  <dcterms:created xsi:type="dcterms:W3CDTF">2018-04-09T12:18:00Z</dcterms:created>
  <dcterms:modified xsi:type="dcterms:W3CDTF">2018-04-09T12:24:00Z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