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645"/>
        <w:tblW w:w="10173" w:type="dxa"/>
        <w:tblLayout w:type="fixed"/>
        <w:tblLook w:val="0000" w:firstRow="0" w:lastRow="0" w:firstColumn="0" w:lastColumn="0" w:noHBand="0" w:noVBand="0"/>
      </w:tblPr>
      <w:tblGrid>
        <w:gridCol w:w="6912"/>
        <w:gridCol w:w="3261"/>
      </w:tblGrid>
      <w:tr w:rsidR="00093EEB" w:rsidRPr="007B543F">
        <w:trPr>
          <w:cantSplit/>
        </w:trPr>
        <w:tc>
          <w:tcPr>
            <w:tcW w:w="6912" w:type="dxa"/>
          </w:tcPr>
          <w:p w:rsidR="00093EEB" w:rsidRPr="007B543F" w:rsidRDefault="00093EEB" w:rsidP="001434FD">
            <w:pPr>
              <w:spacing w:before="360"/>
              <w:rPr>
                <w:szCs w:val="24"/>
              </w:rPr>
            </w:pPr>
            <w:bookmarkStart w:id="0" w:name="dc06"/>
            <w:bookmarkStart w:id="1" w:name="dbluepink" w:colFirst="0" w:colLast="0"/>
            <w:bookmarkEnd w:id="0"/>
            <w:r w:rsidRPr="007B543F">
              <w:rPr>
                <w:b/>
                <w:bCs/>
                <w:sz w:val="30"/>
                <w:szCs w:val="30"/>
              </w:rPr>
              <w:t>Consejo 201</w:t>
            </w:r>
            <w:r w:rsidR="009F4811" w:rsidRPr="007B543F">
              <w:rPr>
                <w:b/>
                <w:bCs/>
                <w:sz w:val="30"/>
                <w:szCs w:val="30"/>
              </w:rPr>
              <w:t>8</w:t>
            </w:r>
            <w:r w:rsidRPr="007B543F">
              <w:rPr>
                <w:b/>
                <w:bCs/>
                <w:sz w:val="26"/>
                <w:szCs w:val="26"/>
              </w:rPr>
              <w:br/>
            </w:r>
            <w:r w:rsidR="005C029A" w:rsidRPr="007B543F">
              <w:rPr>
                <w:rStyle w:val="PageNumber"/>
                <w:b/>
                <w:bCs/>
                <w:szCs w:val="24"/>
              </w:rPr>
              <w:t>Dubái</w:t>
            </w:r>
            <w:r w:rsidR="005C029A" w:rsidRPr="007B543F">
              <w:rPr>
                <w:b/>
                <w:bCs/>
                <w:szCs w:val="24"/>
              </w:rPr>
              <w:t>, 27 de octubre de 2018</w:t>
            </w:r>
          </w:p>
        </w:tc>
        <w:tc>
          <w:tcPr>
            <w:tcW w:w="3261" w:type="dxa"/>
          </w:tcPr>
          <w:p w:rsidR="00093EEB" w:rsidRPr="007B543F" w:rsidRDefault="00093EEB" w:rsidP="00093EEB">
            <w:pPr>
              <w:spacing w:before="0"/>
              <w:jc w:val="right"/>
              <w:rPr>
                <w:szCs w:val="24"/>
              </w:rPr>
            </w:pPr>
            <w:bookmarkStart w:id="2" w:name="ditulogo"/>
            <w:bookmarkEnd w:id="2"/>
            <w:r w:rsidRPr="007B543F">
              <w:rPr>
                <w:rFonts w:cstheme="minorHAnsi"/>
                <w:b/>
                <w:bCs/>
                <w:noProof/>
                <w:szCs w:val="24"/>
                <w:lang w:eastAsia="zh-CN"/>
              </w:rPr>
              <w:drawing>
                <wp:inline distT="0" distB="0" distL="0" distR="0" wp14:anchorId="20716D67" wp14:editId="3A7EBAD8">
                  <wp:extent cx="1771650" cy="695325"/>
                  <wp:effectExtent l="0" t="0" r="0" b="9525"/>
                  <wp:docPr id="2" name="Picture 2" descr="logo_S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_S_"/>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71650" cy="695325"/>
                          </a:xfrm>
                          <a:prstGeom prst="rect">
                            <a:avLst/>
                          </a:prstGeom>
                          <a:noFill/>
                          <a:ln>
                            <a:noFill/>
                          </a:ln>
                        </pic:spPr>
                      </pic:pic>
                    </a:graphicData>
                  </a:graphic>
                </wp:inline>
              </w:drawing>
            </w:r>
          </w:p>
        </w:tc>
      </w:tr>
      <w:tr w:rsidR="00093EEB" w:rsidRPr="007B543F">
        <w:trPr>
          <w:cantSplit/>
          <w:trHeight w:val="20"/>
        </w:trPr>
        <w:tc>
          <w:tcPr>
            <w:tcW w:w="10173" w:type="dxa"/>
            <w:gridSpan w:val="2"/>
            <w:tcBorders>
              <w:bottom w:val="single" w:sz="12" w:space="0" w:color="auto"/>
            </w:tcBorders>
          </w:tcPr>
          <w:p w:rsidR="00093EEB" w:rsidRPr="007B543F" w:rsidRDefault="00093EEB">
            <w:pPr>
              <w:spacing w:before="0"/>
              <w:rPr>
                <w:b/>
                <w:bCs/>
                <w:szCs w:val="24"/>
              </w:rPr>
            </w:pPr>
          </w:p>
        </w:tc>
      </w:tr>
      <w:tr w:rsidR="00093EEB" w:rsidRPr="007B543F">
        <w:trPr>
          <w:cantSplit/>
          <w:trHeight w:val="20"/>
        </w:trPr>
        <w:tc>
          <w:tcPr>
            <w:tcW w:w="6912" w:type="dxa"/>
            <w:tcBorders>
              <w:top w:val="single" w:sz="12" w:space="0" w:color="auto"/>
            </w:tcBorders>
          </w:tcPr>
          <w:p w:rsidR="00093EEB" w:rsidRPr="007B543F" w:rsidRDefault="00093EEB">
            <w:pPr>
              <w:tabs>
                <w:tab w:val="clear" w:pos="2268"/>
                <w:tab w:val="left" w:pos="1560"/>
                <w:tab w:val="left" w:pos="2269"/>
                <w:tab w:val="left" w:pos="3544"/>
                <w:tab w:val="left" w:pos="3969"/>
              </w:tabs>
              <w:spacing w:before="0" w:line="240" w:lineRule="atLeast"/>
              <w:rPr>
                <w:b/>
                <w:smallCaps/>
                <w:szCs w:val="24"/>
              </w:rPr>
            </w:pPr>
          </w:p>
        </w:tc>
        <w:tc>
          <w:tcPr>
            <w:tcW w:w="3261" w:type="dxa"/>
            <w:tcBorders>
              <w:top w:val="single" w:sz="12" w:space="0" w:color="auto"/>
            </w:tcBorders>
          </w:tcPr>
          <w:p w:rsidR="00093EEB" w:rsidRPr="007B543F" w:rsidRDefault="00093EEB">
            <w:pPr>
              <w:spacing w:before="0"/>
              <w:rPr>
                <w:b/>
                <w:bCs/>
                <w:szCs w:val="24"/>
              </w:rPr>
            </w:pPr>
          </w:p>
        </w:tc>
      </w:tr>
      <w:tr w:rsidR="00093EEB" w:rsidRPr="007B543F">
        <w:trPr>
          <w:cantSplit/>
          <w:trHeight w:val="20"/>
        </w:trPr>
        <w:tc>
          <w:tcPr>
            <w:tcW w:w="6912" w:type="dxa"/>
            <w:shd w:val="clear" w:color="auto" w:fill="auto"/>
          </w:tcPr>
          <w:p w:rsidR="00093EEB" w:rsidRPr="007B543F" w:rsidRDefault="00093EEB">
            <w:pPr>
              <w:tabs>
                <w:tab w:val="clear" w:pos="2268"/>
                <w:tab w:val="left" w:pos="1560"/>
                <w:tab w:val="left" w:pos="2269"/>
                <w:tab w:val="left" w:pos="3544"/>
                <w:tab w:val="left" w:pos="3969"/>
              </w:tabs>
              <w:spacing w:before="0" w:line="240" w:lineRule="atLeast"/>
              <w:rPr>
                <w:rFonts w:cs="Times"/>
                <w:b/>
                <w:szCs w:val="24"/>
              </w:rPr>
            </w:pPr>
            <w:bookmarkStart w:id="3" w:name="dnum" w:colFirst="1" w:colLast="1"/>
            <w:bookmarkStart w:id="4" w:name="dmeeting" w:colFirst="0" w:colLast="0"/>
          </w:p>
        </w:tc>
        <w:tc>
          <w:tcPr>
            <w:tcW w:w="3261" w:type="dxa"/>
          </w:tcPr>
          <w:p w:rsidR="00093EEB" w:rsidRPr="007B543F" w:rsidRDefault="00093EEB" w:rsidP="007B543F">
            <w:pPr>
              <w:spacing w:before="0"/>
              <w:rPr>
                <w:b/>
                <w:bCs/>
                <w:szCs w:val="24"/>
              </w:rPr>
            </w:pPr>
            <w:r w:rsidRPr="007B543F">
              <w:rPr>
                <w:b/>
                <w:bCs/>
                <w:szCs w:val="24"/>
              </w:rPr>
              <w:t>Documento C1</w:t>
            </w:r>
            <w:r w:rsidR="009F4811" w:rsidRPr="007B543F">
              <w:rPr>
                <w:b/>
                <w:bCs/>
                <w:szCs w:val="24"/>
              </w:rPr>
              <w:t>8</w:t>
            </w:r>
            <w:r w:rsidRPr="007B543F">
              <w:rPr>
                <w:b/>
                <w:bCs/>
                <w:szCs w:val="24"/>
              </w:rPr>
              <w:t>/</w:t>
            </w:r>
            <w:r w:rsidR="007B543F" w:rsidRPr="007B543F">
              <w:rPr>
                <w:b/>
                <w:bCs/>
                <w:szCs w:val="24"/>
              </w:rPr>
              <w:t>INF/19</w:t>
            </w:r>
            <w:r w:rsidRPr="007B543F">
              <w:rPr>
                <w:b/>
                <w:bCs/>
                <w:szCs w:val="24"/>
              </w:rPr>
              <w:t>-S</w:t>
            </w:r>
          </w:p>
        </w:tc>
      </w:tr>
      <w:tr w:rsidR="00093EEB" w:rsidRPr="007B543F">
        <w:trPr>
          <w:cantSplit/>
          <w:trHeight w:val="20"/>
        </w:trPr>
        <w:tc>
          <w:tcPr>
            <w:tcW w:w="6912" w:type="dxa"/>
            <w:shd w:val="clear" w:color="auto" w:fill="auto"/>
          </w:tcPr>
          <w:p w:rsidR="00093EEB" w:rsidRPr="007B543F" w:rsidRDefault="00093EEB">
            <w:pPr>
              <w:shd w:val="solid" w:color="FFFFFF" w:fill="FFFFFF"/>
              <w:spacing w:before="0"/>
              <w:rPr>
                <w:smallCaps/>
                <w:szCs w:val="24"/>
              </w:rPr>
            </w:pPr>
            <w:bookmarkStart w:id="5" w:name="ddate" w:colFirst="1" w:colLast="1"/>
            <w:bookmarkEnd w:id="3"/>
            <w:bookmarkEnd w:id="4"/>
          </w:p>
        </w:tc>
        <w:tc>
          <w:tcPr>
            <w:tcW w:w="3261" w:type="dxa"/>
          </w:tcPr>
          <w:p w:rsidR="00093EEB" w:rsidRPr="007B543F" w:rsidRDefault="007B543F" w:rsidP="009F4811">
            <w:pPr>
              <w:spacing w:before="0"/>
              <w:rPr>
                <w:b/>
                <w:bCs/>
                <w:szCs w:val="24"/>
              </w:rPr>
            </w:pPr>
            <w:r w:rsidRPr="007B543F">
              <w:rPr>
                <w:b/>
                <w:bCs/>
                <w:szCs w:val="24"/>
              </w:rPr>
              <w:t>19 de octubre</w:t>
            </w:r>
            <w:r w:rsidR="00093EEB" w:rsidRPr="007B543F">
              <w:rPr>
                <w:b/>
                <w:bCs/>
                <w:szCs w:val="24"/>
              </w:rPr>
              <w:t xml:space="preserve"> de 201</w:t>
            </w:r>
            <w:r w:rsidR="009F4811" w:rsidRPr="007B543F">
              <w:rPr>
                <w:b/>
                <w:bCs/>
                <w:szCs w:val="24"/>
              </w:rPr>
              <w:t>8</w:t>
            </w:r>
          </w:p>
        </w:tc>
      </w:tr>
      <w:tr w:rsidR="00093EEB" w:rsidRPr="007B543F">
        <w:trPr>
          <w:cantSplit/>
          <w:trHeight w:val="20"/>
        </w:trPr>
        <w:tc>
          <w:tcPr>
            <w:tcW w:w="6912" w:type="dxa"/>
            <w:shd w:val="clear" w:color="auto" w:fill="auto"/>
          </w:tcPr>
          <w:p w:rsidR="00093EEB" w:rsidRPr="007B543F" w:rsidRDefault="00093EEB">
            <w:pPr>
              <w:shd w:val="solid" w:color="FFFFFF" w:fill="FFFFFF"/>
              <w:spacing w:before="0"/>
              <w:rPr>
                <w:smallCaps/>
                <w:szCs w:val="24"/>
              </w:rPr>
            </w:pPr>
            <w:bookmarkStart w:id="6" w:name="dorlang" w:colFirst="1" w:colLast="1"/>
            <w:bookmarkEnd w:id="5"/>
          </w:p>
        </w:tc>
        <w:tc>
          <w:tcPr>
            <w:tcW w:w="3261" w:type="dxa"/>
          </w:tcPr>
          <w:p w:rsidR="00093EEB" w:rsidRPr="007B543F" w:rsidRDefault="00093EEB" w:rsidP="00093EEB">
            <w:pPr>
              <w:spacing w:before="0"/>
              <w:rPr>
                <w:b/>
                <w:bCs/>
                <w:szCs w:val="24"/>
              </w:rPr>
            </w:pPr>
            <w:r w:rsidRPr="007B543F">
              <w:rPr>
                <w:b/>
                <w:bCs/>
                <w:szCs w:val="24"/>
              </w:rPr>
              <w:t xml:space="preserve">Original: </w:t>
            </w:r>
            <w:r w:rsidR="007B543F" w:rsidRPr="007B543F">
              <w:rPr>
                <w:b/>
                <w:bCs/>
                <w:szCs w:val="24"/>
              </w:rPr>
              <w:t>francés/</w:t>
            </w:r>
            <w:r w:rsidRPr="007B543F">
              <w:rPr>
                <w:b/>
                <w:bCs/>
                <w:szCs w:val="24"/>
              </w:rPr>
              <w:t>inglés</w:t>
            </w:r>
          </w:p>
        </w:tc>
      </w:tr>
      <w:tr w:rsidR="00093EEB" w:rsidRPr="007B543F">
        <w:trPr>
          <w:cantSplit/>
        </w:trPr>
        <w:tc>
          <w:tcPr>
            <w:tcW w:w="10173" w:type="dxa"/>
            <w:gridSpan w:val="2"/>
          </w:tcPr>
          <w:p w:rsidR="00093EEB" w:rsidRPr="007B543F" w:rsidRDefault="007B543F">
            <w:pPr>
              <w:pStyle w:val="Source"/>
            </w:pPr>
            <w:bookmarkStart w:id="7" w:name="dsource" w:colFirst="0" w:colLast="0"/>
            <w:bookmarkEnd w:id="1"/>
            <w:bookmarkEnd w:id="6"/>
            <w:r w:rsidRPr="007B543F">
              <w:t>Nota del Secretario General</w:t>
            </w:r>
          </w:p>
        </w:tc>
      </w:tr>
      <w:tr w:rsidR="00093EEB" w:rsidRPr="007B543F">
        <w:trPr>
          <w:cantSplit/>
        </w:trPr>
        <w:tc>
          <w:tcPr>
            <w:tcW w:w="10173" w:type="dxa"/>
            <w:gridSpan w:val="2"/>
          </w:tcPr>
          <w:p w:rsidR="00093EEB" w:rsidRPr="007B543F" w:rsidRDefault="007B543F">
            <w:pPr>
              <w:pStyle w:val="Title1"/>
            </w:pPr>
            <w:bookmarkStart w:id="8" w:name="dtitle1" w:colFirst="0" w:colLast="0"/>
            <w:bookmarkEnd w:id="7"/>
            <w:r w:rsidRPr="007B543F">
              <w:t>NUEVO PROYECTO DE SEDE DE LA UIT</w:t>
            </w:r>
          </w:p>
        </w:tc>
      </w:tr>
      <w:bookmarkEnd w:id="8"/>
    </w:tbl>
    <w:p w:rsidR="00093EEB" w:rsidRPr="007B543F" w:rsidRDefault="00093EEB"/>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093EEB" w:rsidRPr="007B543F">
        <w:trPr>
          <w:trHeight w:val="3372"/>
        </w:trPr>
        <w:tc>
          <w:tcPr>
            <w:tcW w:w="8080" w:type="dxa"/>
            <w:tcBorders>
              <w:top w:val="single" w:sz="12" w:space="0" w:color="auto"/>
              <w:left w:val="single" w:sz="12" w:space="0" w:color="auto"/>
              <w:bottom w:val="single" w:sz="12" w:space="0" w:color="auto"/>
              <w:right w:val="single" w:sz="12" w:space="0" w:color="auto"/>
            </w:tcBorders>
          </w:tcPr>
          <w:p w:rsidR="00093EEB" w:rsidRPr="007B543F" w:rsidRDefault="00093EEB">
            <w:pPr>
              <w:pStyle w:val="Headingb"/>
            </w:pPr>
            <w:r w:rsidRPr="007B543F">
              <w:t>Resumen</w:t>
            </w:r>
          </w:p>
          <w:p w:rsidR="00093EEB" w:rsidRPr="007B543F" w:rsidRDefault="007B543F">
            <w:r w:rsidRPr="007B543F">
              <w:t>En este Informe se presenta información adicional sobre el diseño y las funcionalidades del edificio.</w:t>
            </w:r>
          </w:p>
          <w:p w:rsidR="00093EEB" w:rsidRPr="007B543F" w:rsidRDefault="00093EEB">
            <w:pPr>
              <w:pStyle w:val="Headingb"/>
            </w:pPr>
            <w:r w:rsidRPr="007B543F">
              <w:t>Acción solicitada</w:t>
            </w:r>
          </w:p>
          <w:p w:rsidR="00093EEB" w:rsidRPr="007B543F" w:rsidRDefault="007B543F" w:rsidP="007B543F">
            <w:pPr>
              <w:rPr>
                <w:i/>
                <w:iCs/>
              </w:rPr>
            </w:pPr>
            <w:r w:rsidRPr="007B543F">
              <w:t xml:space="preserve">Este Informe se transmite al Consejo </w:t>
            </w:r>
            <w:r w:rsidRPr="007B543F">
              <w:rPr>
                <w:b/>
                <w:bCs/>
              </w:rPr>
              <w:t>para información.</w:t>
            </w:r>
          </w:p>
        </w:tc>
      </w:tr>
    </w:tbl>
    <w:p w:rsidR="00093EEB" w:rsidRPr="007B543F" w:rsidRDefault="00093EEB" w:rsidP="007B543F">
      <w:pPr>
        <w:spacing w:before="0"/>
      </w:pPr>
    </w:p>
    <w:p w:rsidR="007B543F" w:rsidRPr="007B543F" w:rsidRDefault="007B543F" w:rsidP="007B543F">
      <w:pPr>
        <w:spacing w:before="0"/>
      </w:pPr>
    </w:p>
    <w:p w:rsidR="007B543F" w:rsidRPr="007B543F" w:rsidRDefault="007B543F" w:rsidP="007B543F">
      <w:pPr>
        <w:spacing w:before="0"/>
      </w:pPr>
    </w:p>
    <w:p w:rsidR="007B543F" w:rsidRPr="007B543F" w:rsidRDefault="007B543F" w:rsidP="007B543F">
      <w:pPr>
        <w:spacing w:before="0"/>
      </w:pPr>
    </w:p>
    <w:p w:rsidR="007B543F" w:rsidRPr="007B543F" w:rsidRDefault="007B543F" w:rsidP="007B543F">
      <w:pPr>
        <w:spacing w:before="0"/>
      </w:pPr>
    </w:p>
    <w:p w:rsidR="007B543F" w:rsidRPr="007B543F" w:rsidRDefault="007B543F" w:rsidP="007B543F">
      <w:pPr>
        <w:spacing w:before="0"/>
      </w:pPr>
      <w:r w:rsidRPr="007B543F">
        <w:t>El nuevo edificio, diseñado por el estudio de arquitectura Christian Dupraz, ganador del concurso internacional celebrado por la UIT en 2017, ofrece a la organización una nueva sede emblemática y funcional, icónica, pero discreta, visible sin ser ostentosa, dispuesta a dar a la Unión Internacional de Telecomunicaciones el marco laboral y la arquitectura renovadora que desea.</w:t>
      </w:r>
    </w:p>
    <w:p w:rsidR="007B543F" w:rsidRPr="007B543F" w:rsidRDefault="007B543F" w:rsidP="007B543F">
      <w:r w:rsidRPr="007B543F">
        <w:t>El nuevo edificio de la UIT ocupará el lugar del antiguo edificio de la calle Varembé. De forma trapezoidal, tendrá la misma anchura que el edificio Montbrillant por el lado de la Place des Nations e irá afinándose a lo largo de la calle Varembé.</w:t>
      </w:r>
    </w:p>
    <w:p w:rsidR="007B543F" w:rsidRPr="007B543F" w:rsidRDefault="007B543F" w:rsidP="007B543F">
      <w:r w:rsidRPr="007B543F">
        <w:rPr>
          <w:noProof/>
          <w:lang w:eastAsia="zh-CN"/>
        </w:rPr>
        <w:lastRenderedPageBreak/>
        <w:drawing>
          <wp:inline distT="0" distB="0" distL="0" distR="0" wp14:anchorId="5ED1A60C" wp14:editId="2BDBFD0B">
            <wp:extent cx="6120765" cy="3442335"/>
            <wp:effectExtent l="0" t="0" r="0" b="5715"/>
            <wp:docPr id="6" name="Picture 6" descr="P:\SGO\DSG\NEW BUILDING\Photos\artist's impressions\UIT31_CDTK_RENDU-4-vue aerienne place natio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SGO\DSG\NEW BUILDING\Photos\artist's impressions\UIT31_CDTK_RENDU-4-vue aerienne place nation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120765" cy="3442335"/>
                    </a:xfrm>
                    <a:prstGeom prst="rect">
                      <a:avLst/>
                    </a:prstGeom>
                    <a:noFill/>
                    <a:ln>
                      <a:noFill/>
                    </a:ln>
                  </pic:spPr>
                </pic:pic>
              </a:graphicData>
            </a:graphic>
          </wp:inline>
        </w:drawing>
      </w:r>
    </w:p>
    <w:p w:rsidR="007B543F" w:rsidRPr="007B543F" w:rsidRDefault="007B543F" w:rsidP="007B543F">
      <w:pPr>
        <w:spacing w:before="240" w:after="240"/>
      </w:pPr>
      <w:r w:rsidRPr="007B543F">
        <w:t>Si la presencia del nuevo edificio se afirma sobre todo por su longitud, su altura forma también parte de su carácter. De más de treinta metros, la altura del inmueble encuentra su lugar en el barrio de Nations y logra que destaque por encima del edificio Montbrillant sin hacerlo de menos.</w:t>
      </w:r>
    </w:p>
    <w:p w:rsidR="007B543F" w:rsidRPr="007B543F" w:rsidRDefault="007B543F" w:rsidP="007B543F">
      <w:r w:rsidRPr="007B543F">
        <w:rPr>
          <w:noProof/>
          <w:lang w:eastAsia="zh-CN"/>
        </w:rPr>
        <w:drawing>
          <wp:inline distT="0" distB="0" distL="0" distR="0" wp14:anchorId="3776D086" wp14:editId="642A76E0">
            <wp:extent cx="6120765" cy="3519170"/>
            <wp:effectExtent l="0" t="0" r="0" b="5080"/>
            <wp:docPr id="7" name="Picture 7" descr="P:\SGO\DSG\NEW BUILDING\Photos\artist's impressions\UIT31_CDTK_RENDU-4-vue exterieure entree principa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SGO\DSG\NEW BUILDING\Photos\artist's impressions\UIT31_CDTK_RENDU-4-vue exterieure entree principal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765" cy="3519170"/>
                    </a:xfrm>
                    <a:prstGeom prst="rect">
                      <a:avLst/>
                    </a:prstGeom>
                    <a:noFill/>
                    <a:ln>
                      <a:noFill/>
                    </a:ln>
                  </pic:spPr>
                </pic:pic>
              </a:graphicData>
            </a:graphic>
          </wp:inline>
        </w:drawing>
      </w:r>
    </w:p>
    <w:p w:rsidR="007B543F" w:rsidRPr="007B543F" w:rsidRDefault="007B543F" w:rsidP="007B543F">
      <w:pPr>
        <w:spacing w:before="240"/>
      </w:pPr>
      <w:r w:rsidRPr="007B543F">
        <w:t>Sin embargo, es dentro del edificio donde reside su verdadera originalidad. El volumen compacto que se ve desde fuera está en realidad hueco para albergar en su interior un bello jardín, que se adivina a través de las fachadas de cristal.</w:t>
      </w:r>
    </w:p>
    <w:p w:rsidR="007B543F" w:rsidRPr="007B543F" w:rsidRDefault="007B543F" w:rsidP="007B543F">
      <w:pPr>
        <w:spacing w:after="240"/>
      </w:pPr>
      <w:r w:rsidRPr="007B543F">
        <w:lastRenderedPageBreak/>
        <w:t>Por el parque que da a la calle Giuseppe Motta se accederá a la entrada principal al edificio y a un entresuelo de forma expresiva que estructura el volumen del vestíbulo.</w:t>
      </w:r>
    </w:p>
    <w:p w:rsidR="007B543F" w:rsidRPr="007B543F" w:rsidRDefault="007B543F" w:rsidP="007B543F">
      <w:r w:rsidRPr="007B543F">
        <w:rPr>
          <w:noProof/>
          <w:lang w:eastAsia="zh-CN"/>
        </w:rPr>
        <w:drawing>
          <wp:inline distT="0" distB="0" distL="0" distR="0" wp14:anchorId="3110A784" wp14:editId="66F74CA4">
            <wp:extent cx="6120765" cy="3672205"/>
            <wp:effectExtent l="0" t="0" r="0" b="4445"/>
            <wp:docPr id="8" name="Picture 8" descr="P:\SGO\DSG\NEW BUILDING\Photos\artist's impressions\UIT31_CDTK_RENDU-4-lob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SGO\DSG\NEW BUILDING\Photos\artist's impressions\UIT31_CDTK_RENDU-4-lobby.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rsidR="007B543F" w:rsidRPr="007B543F" w:rsidRDefault="007B543F" w:rsidP="007B543F">
      <w:pPr>
        <w:spacing w:before="240"/>
      </w:pPr>
      <w:r w:rsidRPr="007B543F">
        <w:t>En el vestíbulo se encontrarán las salas de conferencias de la UIT, repartidas en tres niveles: la sala para 100 personas en la planta baja superior (entresuelo parque Giuseppe Motta), la sala para 500 personas en la planta baja inferior (nivel calle Varembé) y la sala para 234 personas en el sótano. Estas salas toman la forma de grandes cilindros sabiamente integrados en el espacio, alrededor de los cuales gravitan los demás servicios sitos en el vestíbulo: salón, cafetería, espacios de conversación.</w:t>
      </w:r>
    </w:p>
    <w:p w:rsidR="007B543F" w:rsidRPr="007B543F" w:rsidRDefault="007B543F" w:rsidP="007B543F">
      <w:r w:rsidRPr="007B543F">
        <w:t>En el vestíbulo se establece toda una serie de conexiones que refleja la naturaleza misma de la organización. Abierto al parque y a la calle Varembé, el espacio está bañado de luz y permite celebrar eventos de gran envergadura. Tres salas reunidas en un mismo espacio, grandes superficies multifuncionales, salas de reuniones más pequeñas y un cibercafé permiten a la UIT reunir en un solo lugar a todos sus Miembros y visitantes.</w:t>
      </w:r>
    </w:p>
    <w:p w:rsidR="007B543F" w:rsidRPr="007B543F" w:rsidRDefault="007B543F" w:rsidP="007B543F">
      <w:r w:rsidRPr="007B543F">
        <w:t xml:space="preserve">La impresionante superficie del jardín, con tres perforaciones circulares, aporta luz desde el corazón del edificio y ofrece una conexión con la parte superior del edificio a través de una gran escalera que atraviesa el equivalente de una planta entera de la estructura, tras la cual se reúnen las funciones técnicas del edificio. Cerrado por el centro del inmueble, esta planta está totalmente abierta al exterior. El centro de control, las salas destinadas a los clubes de la UIT, así como toda la sección de reprografía y los lugares de producción y almacén de la cocina se concentran ahí. </w:t>
      </w:r>
    </w:p>
    <w:p w:rsidR="007B543F" w:rsidRPr="007B543F" w:rsidRDefault="007B543F" w:rsidP="007B543F">
      <w:r w:rsidRPr="007B543F">
        <w:t>Sin embargo, para la gran mayoría de usuarios de la UIT, este piso quedará oculto. Lo atravesarán en ascensor por los núcleos circulares que cubren toda la altura del edificio o por la gran escalera que conecta directamente y de manera magistral el vestíbulo y el jardín.</w:t>
      </w:r>
    </w:p>
    <w:p w:rsidR="007B543F" w:rsidRPr="007B543F" w:rsidRDefault="007B543F" w:rsidP="007B543F">
      <w:r w:rsidRPr="007B543F">
        <w:lastRenderedPageBreak/>
        <w:t>En este jardín elevado todo un mundo se ofrece a los empleados de la UIT. Tres altos cilindros de cristal, conectados a la corona de oficinas que delimita el jardín por una multitud de pasarelas, dan al jardín un carácter sorprendente e icónico.</w:t>
      </w:r>
    </w:p>
    <w:p w:rsidR="007B543F" w:rsidRPr="007B543F" w:rsidRDefault="007B543F" w:rsidP="007B543F">
      <w:pPr>
        <w:spacing w:after="240"/>
      </w:pPr>
      <w:r w:rsidRPr="007B543F">
        <w:t>Las funcionalidades públicas y comunes a todos los usuarios y empleados de la UIT se articulan en torno al corazón verde del edificio. El restaurante ocupa el eje y se abre por tres lados a la terraza ajardinada. Un nuevo espacio para los medios, los espacios culturales y los locales deportivos, así como la enfermería y las salas de formación se aprovechan de este sorprendente espacio exterior para activar la interacción entre colaboradores y maximizar los encuentros en la nueva sede de la organización.</w:t>
      </w:r>
    </w:p>
    <w:p w:rsidR="007B543F" w:rsidRPr="007B543F" w:rsidRDefault="007B543F" w:rsidP="007B543F">
      <w:r w:rsidRPr="007B543F">
        <w:rPr>
          <w:noProof/>
          <w:lang w:eastAsia="zh-CN"/>
        </w:rPr>
        <w:drawing>
          <wp:inline distT="0" distB="0" distL="0" distR="0" wp14:anchorId="55B8B329" wp14:editId="29BDFEB1">
            <wp:extent cx="6120765" cy="3672205"/>
            <wp:effectExtent l="0" t="0" r="0" b="4445"/>
            <wp:docPr id="9" name="Picture 9" descr="P:\SGO\DSG\NEW BUILDING\Photos\artist's impressions\UIT31_CDTK_RENDU-4-jardin interieur depuis restaur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SGO\DSG\NEW BUILDING\Photos\artist's impressions\UIT31_CDTK_RENDU-4-jardin interieur depuis restauran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120765" cy="3672205"/>
                    </a:xfrm>
                    <a:prstGeom prst="rect">
                      <a:avLst/>
                    </a:prstGeom>
                    <a:noFill/>
                    <a:ln>
                      <a:noFill/>
                    </a:ln>
                  </pic:spPr>
                </pic:pic>
              </a:graphicData>
            </a:graphic>
          </wp:inline>
        </w:drawing>
      </w:r>
    </w:p>
    <w:p w:rsidR="007B543F" w:rsidRPr="007B543F" w:rsidRDefault="007B543F" w:rsidP="007B543F">
      <w:pPr>
        <w:spacing w:before="240"/>
      </w:pPr>
      <w:r w:rsidRPr="007B543F">
        <w:t>Las oficinas, que por voluntad de la organización adoptan la forma de espacios abiertos, se sitúan alrededor de esta arteria verde y gozan de una doble exposición constante a la luz.</w:t>
      </w:r>
    </w:p>
    <w:p w:rsidR="007B543F" w:rsidRPr="007B543F" w:rsidRDefault="007B543F" w:rsidP="007B543F">
      <w:r w:rsidRPr="007B543F">
        <w:t>En el centro, los tres cilindros albergan espacios segregados, unidos por pasarelas sobre el vacío, donde los empleados encontrarán salas de reunión y de esparcimiento, indispensables al buen funcionamiento de los espacios laborales. La más pequeña de las torres es una terraza que ofrece en cada nivel un espacio exterior de gran calidad. Las otras dos torres albergan salas de reunión para dieciséis, veinte, treinta o cuarenta personas.</w:t>
      </w:r>
    </w:p>
    <w:p w:rsidR="007B543F" w:rsidRPr="007B543F" w:rsidRDefault="007B543F" w:rsidP="007B543F">
      <w:pPr>
        <w:spacing w:after="240"/>
      </w:pPr>
      <w:r w:rsidRPr="007B543F">
        <w:t>Gracias a la introducción de espacios intermedios, como las escaleras y los espacios de colaboración, los volúmenes se fraccionan visualmente y los distintos servicios pueden así organizarse entre ellos, sin necesidad de elevar tabiques. Los responsables de cada departamento dispondrán de una oficina privativa, situada voluntariamente en el centro del espacio abierto, en el corazón del servicio.</w:t>
      </w:r>
    </w:p>
    <w:p w:rsidR="007B543F" w:rsidRPr="007B543F" w:rsidRDefault="007B543F" w:rsidP="007B543F">
      <w:r w:rsidRPr="007B543F">
        <w:rPr>
          <w:noProof/>
          <w:lang w:eastAsia="zh-CN"/>
        </w:rPr>
        <w:lastRenderedPageBreak/>
        <w:drawing>
          <wp:inline distT="0" distB="0" distL="0" distR="0" wp14:anchorId="6F4CC549" wp14:editId="6F396C5D">
            <wp:extent cx="6120765" cy="3676015"/>
            <wp:effectExtent l="0" t="0" r="0" b="635"/>
            <wp:docPr id="10" name="Picture 10" descr="P:\SGO\DSG\NEW BUILDING\Photos\artist's impressions\UIT31_CDTK_RENDU-4-bureau open space et terrass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SGO\DSG\NEW BUILDING\Photos\artist's impressions\UIT31_CDTK_RENDU-4-bureau open space et terrasse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20765" cy="3676015"/>
                    </a:xfrm>
                    <a:prstGeom prst="rect">
                      <a:avLst/>
                    </a:prstGeom>
                    <a:noFill/>
                    <a:ln>
                      <a:noFill/>
                    </a:ln>
                  </pic:spPr>
                </pic:pic>
              </a:graphicData>
            </a:graphic>
          </wp:inline>
        </w:drawing>
      </w:r>
    </w:p>
    <w:p w:rsidR="007B543F" w:rsidRPr="007B543F" w:rsidRDefault="007B543F" w:rsidP="007B543F">
      <w:pPr>
        <w:spacing w:before="240" w:after="240"/>
      </w:pPr>
      <w:r w:rsidRPr="007B543F">
        <w:t>En cuanto al exterior, la envoltura térmica totalmente acristalada del edificio se viste de una segunda piel. Una red de marcos metálicos permite integrar las protecciones solares indispensables en un edificio de cristal como éste, protegiendo al mismo tiempo a los empleados de las miradas exteriores. La fachada transparente permite ver la organización internacional que ocupa el edificio y da a la Unión Internacional de Telecomunicaciones la sede que mejor representa su voluntad firme de mirar hacia el futuro.</w:t>
      </w:r>
    </w:p>
    <w:p w:rsidR="007B543F" w:rsidRPr="007B543F" w:rsidRDefault="007B543F" w:rsidP="007B543F">
      <w:pPr>
        <w:pStyle w:val="Headingb"/>
      </w:pPr>
      <w:r w:rsidRPr="007B543F">
        <w:t>Algunas cifras:</w:t>
      </w:r>
    </w:p>
    <w:p w:rsidR="007B543F" w:rsidRPr="007B543F" w:rsidRDefault="007B543F" w:rsidP="007B543F">
      <w:r w:rsidRPr="007B543F">
        <w:rPr>
          <w:b/>
          <w:bCs/>
        </w:rPr>
        <w:t>Superficie:</w:t>
      </w:r>
      <w:r w:rsidRPr="007B543F">
        <w:t xml:space="preserve"> 27 926 m</w:t>
      </w:r>
      <w:r w:rsidRPr="00892F5F">
        <w:rPr>
          <w:vertAlign w:val="superscript"/>
        </w:rPr>
        <w:t>2</w:t>
      </w:r>
      <w:r w:rsidRPr="007B543F">
        <w:t xml:space="preserve"> + 759 m</w:t>
      </w:r>
      <w:r w:rsidRPr="007B543F">
        <w:rPr>
          <w:vertAlign w:val="superscript"/>
        </w:rPr>
        <w:t>2</w:t>
      </w:r>
      <w:r w:rsidRPr="007B543F">
        <w:t xml:space="preserve"> = 28 685 m</w:t>
      </w:r>
      <w:r w:rsidRPr="007B543F">
        <w:rPr>
          <w:vertAlign w:val="superscript"/>
        </w:rPr>
        <w:t>2</w:t>
      </w:r>
      <w:r w:rsidRPr="007B543F">
        <w:t xml:space="preserve"> (edificio</w:t>
      </w:r>
      <w:r>
        <w:t xml:space="preserve"> </w:t>
      </w:r>
      <w:r w:rsidRPr="007B543F">
        <w:t>y garita)</w:t>
      </w:r>
    </w:p>
    <w:p w:rsidR="007B543F" w:rsidRPr="007B543F" w:rsidRDefault="007B543F" w:rsidP="007B543F">
      <w:r w:rsidRPr="007B543F">
        <w:rPr>
          <w:b/>
          <w:bCs/>
        </w:rPr>
        <w:t>Puestos de trabajo:</w:t>
      </w:r>
      <w:r w:rsidRPr="007B543F">
        <w:t xml:space="preserve"> 723</w:t>
      </w:r>
    </w:p>
    <w:p w:rsidR="007B543F" w:rsidRPr="007B543F" w:rsidRDefault="007B543F" w:rsidP="007B543F">
      <w:r w:rsidRPr="007B543F">
        <w:rPr>
          <w:b/>
          <w:bCs/>
        </w:rPr>
        <w:t>Número de plantas:</w:t>
      </w:r>
      <w:r w:rsidRPr="007B543F">
        <w:t xml:space="preserve"> 10, de las cuales 1 sótano, 1 planta técnica, 3 plantas de acceso público y 5 plantas de oficinas.</w:t>
      </w:r>
    </w:p>
    <w:p w:rsidR="007B543F" w:rsidRPr="007B543F" w:rsidRDefault="007B543F" w:rsidP="007B543F">
      <w:r w:rsidRPr="007B543F">
        <w:rPr>
          <w:b/>
          <w:bCs/>
        </w:rPr>
        <w:t>Salas de conferencias:</w:t>
      </w:r>
      <w:r w:rsidRPr="007B543F">
        <w:t xml:space="preserve"> 3, de las cuales una para 500 personas, divisible en dos; una para 234 personas, divisible en dos; y una para 100 personas.</w:t>
      </w:r>
    </w:p>
    <w:p w:rsidR="007B543F" w:rsidRPr="007B543F" w:rsidRDefault="007B543F" w:rsidP="007B543F">
      <w:r w:rsidRPr="007B543F">
        <w:rPr>
          <w:b/>
          <w:bCs/>
        </w:rPr>
        <w:t>Salas de reuniones:</w:t>
      </w:r>
      <w:r w:rsidRPr="007B543F">
        <w:t xml:space="preserve"> 27 salas de distintos tamaños, repartidas por todas las plantas.</w:t>
      </w:r>
    </w:p>
    <w:p w:rsidR="007B543F" w:rsidRPr="007B543F" w:rsidRDefault="007B543F" w:rsidP="007B543F">
      <w:r w:rsidRPr="007B543F">
        <w:rPr>
          <w:b/>
          <w:bCs/>
        </w:rPr>
        <w:t>Espacios de colaboración:</w:t>
      </w:r>
      <w:r w:rsidRPr="007B543F">
        <w:t xml:space="preserve"> terrazas ajardinadas, cocinas, espacios de consulta, centro de acceso de acceso para visitantes en todas las plantas.</w:t>
      </w:r>
    </w:p>
    <w:p w:rsidR="007B543F" w:rsidRPr="007B543F" w:rsidRDefault="007B543F" w:rsidP="007B543F">
      <w:r w:rsidRPr="007B543F">
        <w:rPr>
          <w:b/>
          <w:bCs/>
        </w:rPr>
        <w:t>Espacios culturales:</w:t>
      </w:r>
      <w:r w:rsidR="00892F5F">
        <w:t xml:space="preserve"> previstos para el personal a</w:t>
      </w:r>
      <w:bookmarkStart w:id="9" w:name="_GoBack"/>
      <w:bookmarkEnd w:id="9"/>
      <w:r w:rsidRPr="007B543F">
        <w:t xml:space="preserve"> nivel del jardín y en las plantas superiores.</w:t>
      </w:r>
    </w:p>
    <w:p w:rsidR="007B543F" w:rsidRPr="007B543F" w:rsidRDefault="007B543F" w:rsidP="0032202E">
      <w:pPr>
        <w:pStyle w:val="Reasons"/>
      </w:pPr>
    </w:p>
    <w:p w:rsidR="007B543F" w:rsidRPr="007B543F" w:rsidRDefault="007B543F">
      <w:pPr>
        <w:jc w:val="center"/>
      </w:pPr>
      <w:r w:rsidRPr="007B543F">
        <w:t>______________</w:t>
      </w:r>
    </w:p>
    <w:p w:rsidR="007B543F" w:rsidRPr="007B543F" w:rsidRDefault="007B543F" w:rsidP="007B543F"/>
    <w:sectPr w:rsidR="007B543F" w:rsidRPr="007B543F" w:rsidSect="006710F6">
      <w:headerReference w:type="default" r:id="rId12"/>
      <w:footerReference w:type="default" r:id="rId13"/>
      <w:footerReference w:type="first" r:id="rId14"/>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434FD" w:rsidRDefault="001434FD">
      <w:r>
        <w:separator/>
      </w:r>
    </w:p>
  </w:endnote>
  <w:endnote w:type="continuationSeparator" w:id="0">
    <w:p w:rsidR="001434FD" w:rsidRDefault="001434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G Times">
    <w:altName w:val="Times New Roman"/>
    <w:charset w:val="00"/>
    <w:family w:val="roman"/>
    <w:pitch w:val="variable"/>
    <w:sig w:usb0="00000007"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1C" w:rsidRPr="007B543F" w:rsidRDefault="00892F5F" w:rsidP="007B543F">
    <w:pPr>
      <w:pStyle w:val="Footer"/>
      <w:rPr>
        <w:lang w:val="fr-CH"/>
      </w:rPr>
    </w:pPr>
    <w:r>
      <w:rPr>
        <w:lang w:val="en-US"/>
      </w:rPr>
      <w:fldChar w:fldCharType="begin"/>
    </w:r>
    <w:r w:rsidRPr="007B543F">
      <w:rPr>
        <w:lang w:val="fr-CH"/>
      </w:rPr>
      <w:instrText xml:space="preserve"> FILENAME \p \* MERGEFORMAT </w:instrText>
    </w:r>
    <w:r>
      <w:rPr>
        <w:lang w:val="en-US"/>
      </w:rPr>
      <w:fldChar w:fldCharType="separate"/>
    </w:r>
    <w:r>
      <w:rPr>
        <w:lang w:val="fr-CH"/>
      </w:rPr>
      <w:t>P:\ESP\SG\CONSEIL\C18\INF\019S.docx</w:t>
    </w:r>
    <w:r>
      <w:rPr>
        <w:lang w:val="en-US"/>
      </w:rPr>
      <w:fldChar w:fldCharType="end"/>
    </w:r>
    <w:r w:rsidR="007B543F" w:rsidRPr="007B543F">
      <w:rPr>
        <w:lang w:val="fr-CH"/>
      </w:rPr>
      <w:t xml:space="preserve"> (445482)</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1C" w:rsidRPr="007B543F" w:rsidRDefault="00760F1C" w:rsidP="007B543F">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434FD" w:rsidRDefault="001434FD">
      <w:r>
        <w:t>____________________</w:t>
      </w:r>
    </w:p>
  </w:footnote>
  <w:footnote w:type="continuationSeparator" w:id="0">
    <w:p w:rsidR="001434FD" w:rsidRDefault="001434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0F1C" w:rsidRDefault="000B7C15" w:rsidP="007657F0">
    <w:pPr>
      <w:pStyle w:val="Header"/>
    </w:pPr>
    <w:r>
      <w:fldChar w:fldCharType="begin"/>
    </w:r>
    <w:r>
      <w:instrText>PAGE</w:instrText>
    </w:r>
    <w:r>
      <w:fldChar w:fldCharType="separate"/>
    </w:r>
    <w:r w:rsidR="00892F5F">
      <w:rPr>
        <w:noProof/>
      </w:rPr>
      <w:t>4</w:t>
    </w:r>
    <w:r>
      <w:rPr>
        <w:noProof/>
      </w:rPr>
      <w:fldChar w:fldCharType="end"/>
    </w:r>
  </w:p>
  <w:p w:rsidR="00760F1C" w:rsidRDefault="00760F1C" w:rsidP="009F4811">
    <w:pPr>
      <w:pStyle w:val="Header"/>
    </w:pPr>
    <w:r>
      <w:t>C</w:t>
    </w:r>
    <w:r w:rsidR="007F350B">
      <w:t>1</w:t>
    </w:r>
    <w:r w:rsidR="009F4811">
      <w:t>8</w:t>
    </w:r>
    <w:r w:rsidR="007B543F">
      <w:t>/INF/19</w:t>
    </w:r>
    <w:r>
      <w:t>-S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34FD"/>
    <w:rsid w:val="00093EEB"/>
    <w:rsid w:val="000B0D00"/>
    <w:rsid w:val="000B7C15"/>
    <w:rsid w:val="000D1D0F"/>
    <w:rsid w:val="000F5290"/>
    <w:rsid w:val="0010165C"/>
    <w:rsid w:val="001434FD"/>
    <w:rsid w:val="00146BFB"/>
    <w:rsid w:val="001F14A2"/>
    <w:rsid w:val="002801AA"/>
    <w:rsid w:val="002C4676"/>
    <w:rsid w:val="002C70B0"/>
    <w:rsid w:val="002F3CC4"/>
    <w:rsid w:val="004B58C2"/>
    <w:rsid w:val="00513630"/>
    <w:rsid w:val="00560125"/>
    <w:rsid w:val="00585553"/>
    <w:rsid w:val="005B34D9"/>
    <w:rsid w:val="005C029A"/>
    <w:rsid w:val="005D0CCF"/>
    <w:rsid w:val="005F3BCB"/>
    <w:rsid w:val="005F410F"/>
    <w:rsid w:val="0060149A"/>
    <w:rsid w:val="00601924"/>
    <w:rsid w:val="006447EA"/>
    <w:rsid w:val="0064731F"/>
    <w:rsid w:val="006710F6"/>
    <w:rsid w:val="006C1B56"/>
    <w:rsid w:val="006D4761"/>
    <w:rsid w:val="00726872"/>
    <w:rsid w:val="00760F1C"/>
    <w:rsid w:val="007657F0"/>
    <w:rsid w:val="0077252D"/>
    <w:rsid w:val="007B543F"/>
    <w:rsid w:val="007E5DD3"/>
    <w:rsid w:val="007F350B"/>
    <w:rsid w:val="00820BE4"/>
    <w:rsid w:val="008451E8"/>
    <w:rsid w:val="00892F5F"/>
    <w:rsid w:val="00913B9C"/>
    <w:rsid w:val="00956E77"/>
    <w:rsid w:val="009F4811"/>
    <w:rsid w:val="00AA390C"/>
    <w:rsid w:val="00B0200A"/>
    <w:rsid w:val="00B574DB"/>
    <w:rsid w:val="00B826C2"/>
    <w:rsid w:val="00B8298E"/>
    <w:rsid w:val="00BA10E7"/>
    <w:rsid w:val="00BD0723"/>
    <w:rsid w:val="00BD2518"/>
    <w:rsid w:val="00BF1D1C"/>
    <w:rsid w:val="00C20C59"/>
    <w:rsid w:val="00C55B1F"/>
    <w:rsid w:val="00CF1A67"/>
    <w:rsid w:val="00D2750E"/>
    <w:rsid w:val="00D62446"/>
    <w:rsid w:val="00DA4EA2"/>
    <w:rsid w:val="00DC3D3E"/>
    <w:rsid w:val="00DE2C90"/>
    <w:rsid w:val="00DE3B24"/>
    <w:rsid w:val="00E06947"/>
    <w:rsid w:val="00E3592D"/>
    <w:rsid w:val="00E92DE8"/>
    <w:rsid w:val="00EB1212"/>
    <w:rsid w:val="00ED65AB"/>
    <w:rsid w:val="00F12850"/>
    <w:rsid w:val="00F33BF4"/>
    <w:rsid w:val="00F7105E"/>
    <w:rsid w:val="00F75F57"/>
    <w:rsid w:val="00F82FEE"/>
    <w:rsid w:val="00FD57D3"/>
    <w:rsid w:val="00FF11B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B62652C8-906E-472F-B0FA-1089A35F4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0D00"/>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s-ES_tradnl" w:eastAsia="en-US"/>
    </w:rPr>
  </w:style>
  <w:style w:type="paragraph" w:styleId="Heading1">
    <w:name w:val="heading 1"/>
    <w:basedOn w:val="Normal"/>
    <w:next w:val="Normal"/>
    <w:qFormat/>
    <w:rsid w:val="000B0D00"/>
    <w:pPr>
      <w:keepNext/>
      <w:keepLines/>
      <w:spacing w:before="480"/>
      <w:ind w:left="567" w:hanging="567"/>
      <w:outlineLvl w:val="0"/>
    </w:pPr>
    <w:rPr>
      <w:b/>
      <w:sz w:val="28"/>
    </w:rPr>
  </w:style>
  <w:style w:type="paragraph" w:styleId="Heading2">
    <w:name w:val="heading 2"/>
    <w:basedOn w:val="Heading1"/>
    <w:next w:val="Normal"/>
    <w:qFormat/>
    <w:rsid w:val="000B0D00"/>
    <w:pPr>
      <w:spacing w:before="320"/>
      <w:outlineLvl w:val="1"/>
    </w:pPr>
    <w:rPr>
      <w:sz w:val="24"/>
    </w:rPr>
  </w:style>
  <w:style w:type="paragraph" w:styleId="Heading3">
    <w:name w:val="heading 3"/>
    <w:basedOn w:val="Heading1"/>
    <w:next w:val="Normal"/>
    <w:qFormat/>
    <w:rsid w:val="000B0D00"/>
    <w:pPr>
      <w:spacing w:before="200"/>
      <w:outlineLvl w:val="2"/>
    </w:pPr>
    <w:rPr>
      <w:sz w:val="24"/>
    </w:rPr>
  </w:style>
  <w:style w:type="paragraph" w:styleId="Heading4">
    <w:name w:val="heading 4"/>
    <w:basedOn w:val="Heading3"/>
    <w:next w:val="Normal"/>
    <w:qFormat/>
    <w:rsid w:val="000B0D00"/>
    <w:pPr>
      <w:ind w:left="1134" w:hanging="1134"/>
      <w:outlineLvl w:val="3"/>
    </w:pPr>
  </w:style>
  <w:style w:type="paragraph" w:styleId="Heading5">
    <w:name w:val="heading 5"/>
    <w:basedOn w:val="Heading4"/>
    <w:next w:val="Normal"/>
    <w:qFormat/>
    <w:rsid w:val="000B0D00"/>
    <w:pPr>
      <w:outlineLvl w:val="4"/>
    </w:pPr>
  </w:style>
  <w:style w:type="paragraph" w:styleId="Heading6">
    <w:name w:val="heading 6"/>
    <w:basedOn w:val="Heading4"/>
    <w:next w:val="Normal"/>
    <w:qFormat/>
    <w:rsid w:val="000B0D00"/>
    <w:pPr>
      <w:outlineLvl w:val="5"/>
    </w:pPr>
  </w:style>
  <w:style w:type="paragraph" w:styleId="Heading7">
    <w:name w:val="heading 7"/>
    <w:basedOn w:val="Heading4"/>
    <w:next w:val="Normal"/>
    <w:qFormat/>
    <w:rsid w:val="000B0D00"/>
    <w:pPr>
      <w:ind w:left="1701" w:hanging="1701"/>
      <w:outlineLvl w:val="6"/>
    </w:pPr>
  </w:style>
  <w:style w:type="paragraph" w:styleId="Heading8">
    <w:name w:val="heading 8"/>
    <w:basedOn w:val="Heading4"/>
    <w:next w:val="Normal"/>
    <w:qFormat/>
    <w:rsid w:val="000B0D00"/>
    <w:pPr>
      <w:ind w:left="1701" w:hanging="1701"/>
      <w:outlineLvl w:val="7"/>
    </w:pPr>
  </w:style>
  <w:style w:type="paragraph" w:styleId="Heading9">
    <w:name w:val="heading 9"/>
    <w:basedOn w:val="Heading4"/>
    <w:next w:val="Normal"/>
    <w:qFormat/>
    <w:rsid w:val="000B0D00"/>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TOC4"/>
    <w:rsid w:val="006710F6"/>
  </w:style>
  <w:style w:type="paragraph" w:styleId="TOC4">
    <w:name w:val="toc 4"/>
    <w:basedOn w:val="Normal"/>
    <w:next w:val="Normal"/>
    <w:rsid w:val="000B0D00"/>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rsid w:val="000B0D00"/>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0B0D00"/>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6710F6"/>
    <w:pPr>
      <w:ind w:left="1698"/>
    </w:pPr>
  </w:style>
  <w:style w:type="paragraph" w:styleId="Index6">
    <w:name w:val="index 6"/>
    <w:basedOn w:val="Normal"/>
    <w:next w:val="Normal"/>
    <w:rsid w:val="006710F6"/>
    <w:pPr>
      <w:ind w:left="1415"/>
    </w:pPr>
  </w:style>
  <w:style w:type="paragraph" w:styleId="Index5">
    <w:name w:val="index 5"/>
    <w:basedOn w:val="Normal"/>
    <w:next w:val="Normal"/>
    <w:rsid w:val="006710F6"/>
    <w:pPr>
      <w:ind w:left="1132"/>
    </w:pPr>
  </w:style>
  <w:style w:type="paragraph" w:styleId="Index4">
    <w:name w:val="index 4"/>
    <w:basedOn w:val="Normal"/>
    <w:next w:val="Normal"/>
    <w:rsid w:val="006710F6"/>
    <w:pPr>
      <w:ind w:left="849"/>
    </w:pPr>
  </w:style>
  <w:style w:type="paragraph" w:styleId="Index3">
    <w:name w:val="index 3"/>
    <w:basedOn w:val="Normal"/>
    <w:next w:val="Normal"/>
    <w:rsid w:val="006710F6"/>
    <w:pPr>
      <w:ind w:left="566"/>
    </w:pPr>
  </w:style>
  <w:style w:type="paragraph" w:styleId="Index2">
    <w:name w:val="index 2"/>
    <w:basedOn w:val="Normal"/>
    <w:next w:val="Normal"/>
    <w:rsid w:val="006710F6"/>
    <w:pPr>
      <w:ind w:left="283"/>
    </w:pPr>
  </w:style>
  <w:style w:type="paragraph" w:styleId="Index1">
    <w:name w:val="index 1"/>
    <w:basedOn w:val="Normal"/>
    <w:next w:val="Normal"/>
    <w:rsid w:val="006710F6"/>
  </w:style>
  <w:style w:type="character" w:styleId="LineNumber">
    <w:name w:val="line number"/>
    <w:basedOn w:val="DefaultParagraphFont"/>
    <w:rsid w:val="006710F6"/>
  </w:style>
  <w:style w:type="paragraph" w:styleId="IndexHeading">
    <w:name w:val="index heading"/>
    <w:basedOn w:val="Normal"/>
    <w:next w:val="Index1"/>
    <w:rsid w:val="006710F6"/>
  </w:style>
  <w:style w:type="paragraph" w:styleId="Footer">
    <w:name w:val="footer"/>
    <w:basedOn w:val="Normal"/>
    <w:rsid w:val="000B0D00"/>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rsid w:val="000B0D00"/>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basedOn w:val="DefaultParagraphFont"/>
    <w:rsid w:val="000B0D00"/>
    <w:rPr>
      <w:position w:val="6"/>
      <w:sz w:val="16"/>
    </w:rPr>
  </w:style>
  <w:style w:type="paragraph" w:styleId="FootnoteText">
    <w:name w:val="footnote text"/>
    <w:basedOn w:val="Normal"/>
    <w:rsid w:val="000B0D00"/>
    <w:pPr>
      <w:keepLines/>
      <w:tabs>
        <w:tab w:val="left" w:pos="256"/>
      </w:tabs>
      <w:ind w:left="256" w:hanging="256"/>
    </w:pPr>
  </w:style>
  <w:style w:type="paragraph" w:styleId="NormalIndent">
    <w:name w:val="Normal Indent"/>
    <w:basedOn w:val="Normal"/>
    <w:rsid w:val="000B0D00"/>
    <w:pPr>
      <w:ind w:left="567"/>
    </w:pPr>
  </w:style>
  <w:style w:type="paragraph" w:customStyle="1" w:styleId="AnnexNo">
    <w:name w:val="Annex_No"/>
    <w:basedOn w:val="Normal"/>
    <w:next w:val="Annexref"/>
    <w:rsid w:val="000B0D00"/>
    <w:pPr>
      <w:spacing w:before="720"/>
      <w:jc w:val="center"/>
    </w:pPr>
    <w:rPr>
      <w:caps/>
      <w:sz w:val="28"/>
    </w:rPr>
  </w:style>
  <w:style w:type="paragraph" w:customStyle="1" w:styleId="Annextitle">
    <w:name w:val="Annex_title"/>
    <w:basedOn w:val="Normal"/>
    <w:next w:val="Normal"/>
    <w:rsid w:val="000B0D00"/>
    <w:pPr>
      <w:spacing w:before="240" w:after="240"/>
      <w:jc w:val="center"/>
    </w:pPr>
    <w:rPr>
      <w:b/>
      <w:sz w:val="28"/>
    </w:rPr>
  </w:style>
  <w:style w:type="paragraph" w:customStyle="1" w:styleId="Annexref">
    <w:name w:val="Annex_ref"/>
    <w:basedOn w:val="Normal"/>
    <w:next w:val="Annextitle"/>
    <w:rsid w:val="000B0D00"/>
    <w:pPr>
      <w:jc w:val="center"/>
    </w:pPr>
    <w:rPr>
      <w:sz w:val="28"/>
    </w:rPr>
  </w:style>
  <w:style w:type="paragraph" w:customStyle="1" w:styleId="Normalaftertitle">
    <w:name w:val="Normal after title"/>
    <w:basedOn w:val="Normal"/>
    <w:next w:val="Normal"/>
    <w:rsid w:val="000B0D00"/>
    <w:pPr>
      <w:spacing w:before="240"/>
    </w:pPr>
  </w:style>
  <w:style w:type="paragraph" w:customStyle="1" w:styleId="AppendixNo">
    <w:name w:val="Appendix_No"/>
    <w:basedOn w:val="AnnexNo"/>
    <w:next w:val="Appendixref"/>
    <w:rsid w:val="000B0D00"/>
  </w:style>
  <w:style w:type="paragraph" w:customStyle="1" w:styleId="Appendixtitle">
    <w:name w:val="Appendix_title"/>
    <w:basedOn w:val="Annextitle"/>
    <w:next w:val="Normal"/>
    <w:rsid w:val="000B0D00"/>
  </w:style>
  <w:style w:type="paragraph" w:customStyle="1" w:styleId="Appendixref">
    <w:name w:val="Appendix_ref"/>
    <w:basedOn w:val="Annexref"/>
    <w:next w:val="Appendixtitle"/>
    <w:rsid w:val="000B0D00"/>
  </w:style>
  <w:style w:type="paragraph" w:customStyle="1" w:styleId="enumlev1">
    <w:name w:val="enumlev1"/>
    <w:basedOn w:val="Normal"/>
    <w:rsid w:val="000B0D00"/>
    <w:pPr>
      <w:spacing w:before="86"/>
      <w:ind w:left="567" w:hanging="567"/>
    </w:pPr>
  </w:style>
  <w:style w:type="paragraph" w:customStyle="1" w:styleId="enumlev2">
    <w:name w:val="enumlev2"/>
    <w:basedOn w:val="enumlev1"/>
    <w:rsid w:val="000B0D00"/>
    <w:pPr>
      <w:ind w:left="1134"/>
    </w:pPr>
  </w:style>
  <w:style w:type="paragraph" w:customStyle="1" w:styleId="enumlev3">
    <w:name w:val="enumlev3"/>
    <w:basedOn w:val="enumlev2"/>
    <w:rsid w:val="000B0D00"/>
    <w:pPr>
      <w:ind w:left="1701"/>
    </w:pPr>
  </w:style>
  <w:style w:type="paragraph" w:customStyle="1" w:styleId="Artheading">
    <w:name w:val="Art_heading"/>
    <w:basedOn w:val="Normal"/>
    <w:next w:val="Normalaftertitle"/>
    <w:rsid w:val="000B0D00"/>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0B0D00"/>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0B0D00"/>
    <w:pPr>
      <w:tabs>
        <w:tab w:val="clear" w:pos="567"/>
        <w:tab w:val="clear" w:pos="1134"/>
        <w:tab w:val="clear" w:pos="1701"/>
        <w:tab w:val="clear" w:pos="2268"/>
        <w:tab w:val="clear" w:pos="2835"/>
      </w:tabs>
      <w:spacing w:before="240" w:after="240"/>
      <w:jc w:val="center"/>
    </w:pPr>
    <w:rPr>
      <w:b/>
      <w:sz w:val="28"/>
    </w:rPr>
  </w:style>
  <w:style w:type="paragraph" w:customStyle="1" w:styleId="Call">
    <w:name w:val="Call"/>
    <w:basedOn w:val="Normal"/>
    <w:next w:val="Normal"/>
    <w:rsid w:val="000B0D00"/>
    <w:pPr>
      <w:keepNext/>
      <w:keepLines/>
      <w:tabs>
        <w:tab w:val="clear" w:pos="1134"/>
        <w:tab w:val="clear" w:pos="1701"/>
        <w:tab w:val="clear" w:pos="2268"/>
        <w:tab w:val="clear" w:pos="2835"/>
      </w:tabs>
      <w:spacing w:before="160"/>
      <w:ind w:left="567"/>
    </w:pPr>
    <w:rPr>
      <w:i/>
    </w:rPr>
  </w:style>
  <w:style w:type="paragraph" w:customStyle="1" w:styleId="ChapNo">
    <w:name w:val="Chap_No"/>
    <w:basedOn w:val="ArtNo"/>
    <w:next w:val="Chaptitle"/>
    <w:rsid w:val="000B0D00"/>
  </w:style>
  <w:style w:type="paragraph" w:customStyle="1" w:styleId="Chaptitle">
    <w:name w:val="Chap_title"/>
    <w:basedOn w:val="Arttitle"/>
    <w:next w:val="Normal"/>
    <w:rsid w:val="000B0D00"/>
  </w:style>
  <w:style w:type="paragraph" w:customStyle="1" w:styleId="Equationlegend">
    <w:name w:val="Equation_legend"/>
    <w:basedOn w:val="NormalIndent"/>
    <w:rsid w:val="006710F6"/>
    <w:pPr>
      <w:tabs>
        <w:tab w:val="right" w:pos="1531"/>
      </w:tabs>
      <w:spacing w:before="80"/>
      <w:ind w:left="1701" w:hanging="1701"/>
    </w:pPr>
  </w:style>
  <w:style w:type="paragraph" w:customStyle="1" w:styleId="Figure">
    <w:name w:val="Figure"/>
    <w:basedOn w:val="Normal"/>
    <w:next w:val="Figuretitle"/>
    <w:rsid w:val="006710F6"/>
    <w:pPr>
      <w:keepNext/>
      <w:keepLines/>
      <w:spacing w:after="120"/>
      <w:jc w:val="center"/>
    </w:pPr>
  </w:style>
  <w:style w:type="paragraph" w:customStyle="1" w:styleId="Figuretitle">
    <w:name w:val="Figure_title"/>
    <w:basedOn w:val="Tabletitle"/>
    <w:next w:val="Normalaftertitle"/>
    <w:rsid w:val="006710F6"/>
    <w:pPr>
      <w:spacing w:before="240" w:after="480"/>
    </w:pPr>
  </w:style>
  <w:style w:type="paragraph" w:customStyle="1" w:styleId="Tabletitle">
    <w:name w:val="Table_title"/>
    <w:basedOn w:val="TableNo"/>
    <w:next w:val="Tabletext"/>
    <w:rsid w:val="000B0D00"/>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0B0D00"/>
    <w:pPr>
      <w:keepNext/>
      <w:spacing w:before="560" w:after="120"/>
      <w:jc w:val="center"/>
    </w:pPr>
    <w:rPr>
      <w:caps/>
    </w:rPr>
  </w:style>
  <w:style w:type="paragraph" w:customStyle="1" w:styleId="Tabletext">
    <w:name w:val="Table_text"/>
    <w:basedOn w:val="Normal"/>
    <w:rsid w:val="000B0D00"/>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6710F6"/>
    <w:pPr>
      <w:keepNext/>
      <w:keepLines/>
      <w:spacing w:before="20" w:after="20"/>
    </w:pPr>
    <w:rPr>
      <w:sz w:val="18"/>
    </w:rPr>
  </w:style>
  <w:style w:type="paragraph" w:customStyle="1" w:styleId="Equation">
    <w:name w:val="Equation"/>
    <w:basedOn w:val="Normal"/>
    <w:rsid w:val="006710F6"/>
    <w:pPr>
      <w:tabs>
        <w:tab w:val="center" w:pos="4820"/>
        <w:tab w:val="right" w:pos="9639"/>
      </w:tabs>
    </w:pPr>
  </w:style>
  <w:style w:type="paragraph" w:customStyle="1" w:styleId="Head">
    <w:name w:val="Head"/>
    <w:basedOn w:val="Normal"/>
    <w:rsid w:val="006710F6"/>
    <w:pPr>
      <w:tabs>
        <w:tab w:val="left" w:pos="6663"/>
      </w:tabs>
      <w:overflowPunct/>
      <w:autoSpaceDE/>
      <w:autoSpaceDN/>
      <w:adjustRightInd/>
      <w:spacing w:before="0"/>
      <w:textAlignment w:val="auto"/>
    </w:pPr>
  </w:style>
  <w:style w:type="paragraph" w:customStyle="1" w:styleId="toc0">
    <w:name w:val="toc 0"/>
    <w:basedOn w:val="Normal"/>
    <w:next w:val="TOC1"/>
    <w:rsid w:val="000B0D00"/>
    <w:pPr>
      <w:tabs>
        <w:tab w:val="clear" w:pos="567"/>
        <w:tab w:val="clear" w:pos="1134"/>
        <w:tab w:val="clear" w:pos="1701"/>
        <w:tab w:val="clear" w:pos="2268"/>
        <w:tab w:val="clear" w:pos="2835"/>
        <w:tab w:val="right" w:pos="9781"/>
      </w:tabs>
    </w:pPr>
    <w:rPr>
      <w:b/>
    </w:rPr>
  </w:style>
  <w:style w:type="paragraph" w:styleId="List">
    <w:name w:val="List"/>
    <w:basedOn w:val="Normal"/>
    <w:rsid w:val="006710F6"/>
    <w:pPr>
      <w:tabs>
        <w:tab w:val="left" w:pos="2127"/>
      </w:tabs>
      <w:ind w:left="2127" w:hanging="2127"/>
    </w:pPr>
  </w:style>
  <w:style w:type="paragraph" w:customStyle="1" w:styleId="Part">
    <w:name w:val="Part"/>
    <w:basedOn w:val="Normal"/>
    <w:rsid w:val="006710F6"/>
    <w:pPr>
      <w:tabs>
        <w:tab w:val="left" w:pos="1276"/>
      </w:tabs>
      <w:spacing w:before="199"/>
      <w:ind w:left="1701" w:hanging="1701"/>
    </w:pPr>
    <w:rPr>
      <w:caps/>
    </w:rPr>
  </w:style>
  <w:style w:type="paragraph" w:customStyle="1" w:styleId="Figurewithouttitle">
    <w:name w:val="Figure_without_title"/>
    <w:basedOn w:val="Figure"/>
    <w:next w:val="Normalaftertitle"/>
    <w:rsid w:val="006710F6"/>
    <w:pPr>
      <w:keepNext w:val="0"/>
      <w:spacing w:after="240"/>
    </w:pPr>
  </w:style>
  <w:style w:type="character" w:styleId="PageNumber">
    <w:name w:val="page number"/>
    <w:basedOn w:val="DefaultParagraphFont"/>
    <w:rsid w:val="000B0D00"/>
    <w:rPr>
      <w:rFonts w:ascii="Calibri" w:hAnsi="Calibri"/>
    </w:rPr>
  </w:style>
  <w:style w:type="paragraph" w:customStyle="1" w:styleId="meeting">
    <w:name w:val="meeting"/>
    <w:basedOn w:val="Head"/>
    <w:next w:val="Head"/>
    <w:rsid w:val="006710F6"/>
    <w:pPr>
      <w:tabs>
        <w:tab w:val="left" w:pos="7371"/>
      </w:tabs>
      <w:spacing w:after="567"/>
    </w:pPr>
  </w:style>
  <w:style w:type="paragraph" w:customStyle="1" w:styleId="PartNo">
    <w:name w:val="Part_No"/>
    <w:basedOn w:val="AnnexNo"/>
    <w:next w:val="Parttitle"/>
    <w:rsid w:val="006710F6"/>
  </w:style>
  <w:style w:type="paragraph" w:customStyle="1" w:styleId="Parttitle">
    <w:name w:val="Part_title"/>
    <w:basedOn w:val="Annextitle"/>
    <w:next w:val="Partref"/>
    <w:rsid w:val="006710F6"/>
  </w:style>
  <w:style w:type="paragraph" w:customStyle="1" w:styleId="Partref">
    <w:name w:val="Part_ref"/>
    <w:basedOn w:val="Annexref"/>
    <w:next w:val="Normalaftertitle"/>
    <w:rsid w:val="006710F6"/>
  </w:style>
  <w:style w:type="paragraph" w:customStyle="1" w:styleId="Headingb">
    <w:name w:val="Heading_b"/>
    <w:basedOn w:val="Heading3"/>
    <w:next w:val="Normal"/>
    <w:rsid w:val="000B0D00"/>
    <w:pPr>
      <w:spacing w:before="160"/>
      <w:outlineLvl w:val="0"/>
    </w:pPr>
  </w:style>
  <w:style w:type="paragraph" w:customStyle="1" w:styleId="Subject">
    <w:name w:val="Subject"/>
    <w:basedOn w:val="Normal"/>
    <w:next w:val="Source"/>
    <w:rsid w:val="006710F6"/>
    <w:pPr>
      <w:tabs>
        <w:tab w:val="left" w:pos="709"/>
      </w:tabs>
      <w:spacing w:before="0"/>
      <w:ind w:left="709" w:hanging="709"/>
    </w:pPr>
  </w:style>
  <w:style w:type="paragraph" w:customStyle="1" w:styleId="Source">
    <w:name w:val="Source"/>
    <w:basedOn w:val="Normal"/>
    <w:next w:val="Title1"/>
    <w:rsid w:val="000B0D00"/>
    <w:pPr>
      <w:spacing w:before="840"/>
      <w:jc w:val="center"/>
    </w:pPr>
    <w:rPr>
      <w:b/>
      <w:sz w:val="28"/>
    </w:rPr>
  </w:style>
  <w:style w:type="paragraph" w:customStyle="1" w:styleId="Data">
    <w:name w:val="Data"/>
    <w:basedOn w:val="Subject"/>
    <w:next w:val="Subject"/>
    <w:rsid w:val="006710F6"/>
  </w:style>
  <w:style w:type="character" w:styleId="Hyperlink">
    <w:name w:val="Hyperlink"/>
    <w:basedOn w:val="DefaultParagraphFont"/>
    <w:rsid w:val="000B0D00"/>
    <w:rPr>
      <w:color w:val="0000FF"/>
      <w:u w:val="single"/>
    </w:rPr>
  </w:style>
  <w:style w:type="character" w:styleId="FollowedHyperlink">
    <w:name w:val="FollowedHyperlink"/>
    <w:basedOn w:val="DefaultParagraphFont"/>
    <w:rsid w:val="006710F6"/>
    <w:rPr>
      <w:color w:val="800080"/>
      <w:u w:val="single"/>
    </w:rPr>
  </w:style>
  <w:style w:type="paragraph" w:customStyle="1" w:styleId="FirstFooter">
    <w:name w:val="FirstFooter"/>
    <w:basedOn w:val="Footer"/>
    <w:rsid w:val="000B0D00"/>
    <w:rPr>
      <w:caps w:val="0"/>
    </w:rPr>
  </w:style>
  <w:style w:type="paragraph" w:customStyle="1" w:styleId="Note">
    <w:name w:val="Note"/>
    <w:basedOn w:val="Normal"/>
    <w:rsid w:val="000B0D00"/>
    <w:pPr>
      <w:tabs>
        <w:tab w:val="clear" w:pos="567"/>
        <w:tab w:val="left" w:pos="851"/>
      </w:tabs>
    </w:pPr>
  </w:style>
  <w:style w:type="paragraph" w:styleId="TOC9">
    <w:name w:val="toc 9"/>
    <w:basedOn w:val="TOC4"/>
    <w:rsid w:val="006710F6"/>
  </w:style>
  <w:style w:type="paragraph" w:customStyle="1" w:styleId="Headingi">
    <w:name w:val="Heading_i"/>
    <w:basedOn w:val="Heading3"/>
    <w:next w:val="Normal"/>
    <w:rsid w:val="000B0D00"/>
    <w:pPr>
      <w:spacing w:before="160"/>
      <w:outlineLvl w:val="0"/>
    </w:pPr>
    <w:rPr>
      <w:b w:val="0"/>
      <w:i/>
    </w:rPr>
  </w:style>
  <w:style w:type="paragraph" w:customStyle="1" w:styleId="Title1">
    <w:name w:val="Title 1"/>
    <w:basedOn w:val="Source"/>
    <w:next w:val="Title2"/>
    <w:rsid w:val="000B0D00"/>
    <w:pPr>
      <w:spacing w:before="240"/>
    </w:pPr>
    <w:rPr>
      <w:b w:val="0"/>
      <w:caps/>
    </w:rPr>
  </w:style>
  <w:style w:type="paragraph" w:customStyle="1" w:styleId="Title2">
    <w:name w:val="Title 2"/>
    <w:basedOn w:val="Source"/>
    <w:next w:val="Title3"/>
    <w:rsid w:val="000B0D00"/>
    <w:pPr>
      <w:spacing w:before="240"/>
    </w:pPr>
    <w:rPr>
      <w:b w:val="0"/>
      <w:caps/>
    </w:rPr>
  </w:style>
  <w:style w:type="paragraph" w:customStyle="1" w:styleId="Title3">
    <w:name w:val="Title 3"/>
    <w:basedOn w:val="Title2"/>
    <w:next w:val="Normalaftertitle"/>
    <w:rsid w:val="000B0D00"/>
    <w:rPr>
      <w:caps w:val="0"/>
    </w:rPr>
  </w:style>
  <w:style w:type="paragraph" w:customStyle="1" w:styleId="Title4">
    <w:name w:val="Title 4"/>
    <w:basedOn w:val="Title3"/>
    <w:next w:val="Heading1"/>
    <w:rsid w:val="006710F6"/>
    <w:rPr>
      <w:b/>
    </w:rPr>
  </w:style>
  <w:style w:type="paragraph" w:customStyle="1" w:styleId="dnum">
    <w:name w:val="dnum"/>
    <w:basedOn w:val="Normal"/>
    <w:rsid w:val="006710F6"/>
    <w:pPr>
      <w:framePr w:hSpace="181" w:wrap="notBeside" w:vAnchor="page" w:hAnchor="margin" w:x="1" w:y="852"/>
      <w:shd w:val="solid" w:color="FFFFFF" w:fill="FFFFFF"/>
      <w:tabs>
        <w:tab w:val="left" w:pos="1871"/>
      </w:tabs>
    </w:pPr>
    <w:rPr>
      <w:b/>
      <w:bCs/>
    </w:rPr>
  </w:style>
  <w:style w:type="paragraph" w:customStyle="1" w:styleId="ddate">
    <w:name w:val="ddate"/>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dorlang">
    <w:name w:val="dorlang"/>
    <w:basedOn w:val="Normal"/>
    <w:rsid w:val="006710F6"/>
    <w:pPr>
      <w:framePr w:hSpace="181" w:wrap="notBeside" w:vAnchor="page" w:hAnchor="margin" w:x="1" w:y="852"/>
      <w:shd w:val="solid" w:color="FFFFFF" w:fill="FFFFFF"/>
      <w:tabs>
        <w:tab w:val="left" w:pos="1871"/>
      </w:tabs>
      <w:spacing w:before="0"/>
    </w:pPr>
    <w:rPr>
      <w:b/>
      <w:bCs/>
    </w:rPr>
  </w:style>
  <w:style w:type="paragraph" w:customStyle="1" w:styleId="RecNo">
    <w:name w:val="Rec_No"/>
    <w:basedOn w:val="Normal"/>
    <w:next w:val="Rectitle"/>
    <w:rsid w:val="000B0D00"/>
    <w:pPr>
      <w:spacing w:before="720"/>
      <w:jc w:val="center"/>
    </w:pPr>
    <w:rPr>
      <w:caps/>
      <w:sz w:val="28"/>
    </w:rPr>
  </w:style>
  <w:style w:type="paragraph" w:customStyle="1" w:styleId="Rectitle">
    <w:name w:val="Rec_title"/>
    <w:basedOn w:val="Normal"/>
    <w:next w:val="Heading1"/>
    <w:rsid w:val="000B0D00"/>
    <w:pPr>
      <w:spacing w:before="240"/>
      <w:jc w:val="center"/>
    </w:pPr>
    <w:rPr>
      <w:b/>
      <w:sz w:val="28"/>
    </w:rPr>
  </w:style>
  <w:style w:type="paragraph" w:customStyle="1" w:styleId="Recref">
    <w:name w:val="Rec_ref"/>
    <w:basedOn w:val="Rectitle"/>
    <w:next w:val="Recdate"/>
    <w:rsid w:val="006710F6"/>
    <w:pPr>
      <w:spacing w:before="120"/>
    </w:pPr>
    <w:rPr>
      <w:rFonts w:ascii="Times New Roman" w:hAnsi="Times New Roman"/>
      <w:b w:val="0"/>
      <w:sz w:val="24"/>
    </w:rPr>
  </w:style>
  <w:style w:type="paragraph" w:customStyle="1" w:styleId="Recdate">
    <w:name w:val="Rec_date"/>
    <w:basedOn w:val="Recref"/>
    <w:next w:val="Normalaftertitle"/>
    <w:rsid w:val="006710F6"/>
    <w:pPr>
      <w:jc w:val="right"/>
    </w:pPr>
    <w:rPr>
      <w:sz w:val="22"/>
    </w:rPr>
  </w:style>
  <w:style w:type="paragraph" w:customStyle="1" w:styleId="Questiondate">
    <w:name w:val="Question_date"/>
    <w:basedOn w:val="Recdate"/>
    <w:next w:val="Normalaftertitle"/>
    <w:rsid w:val="006710F6"/>
  </w:style>
  <w:style w:type="paragraph" w:customStyle="1" w:styleId="QuestionNo">
    <w:name w:val="Question_No"/>
    <w:basedOn w:val="RecNo"/>
    <w:next w:val="Questiontitle"/>
    <w:rsid w:val="006710F6"/>
  </w:style>
  <w:style w:type="paragraph" w:customStyle="1" w:styleId="Questiontitle">
    <w:name w:val="Question_title"/>
    <w:basedOn w:val="Rectitle"/>
    <w:next w:val="Questionref"/>
    <w:rsid w:val="006710F6"/>
  </w:style>
  <w:style w:type="paragraph" w:customStyle="1" w:styleId="Questionref">
    <w:name w:val="Question_ref"/>
    <w:basedOn w:val="Recref"/>
    <w:next w:val="Questiondate"/>
    <w:rsid w:val="006710F6"/>
  </w:style>
  <w:style w:type="paragraph" w:customStyle="1" w:styleId="Reftext">
    <w:name w:val="Ref_text"/>
    <w:basedOn w:val="Normal"/>
    <w:rsid w:val="000B0D00"/>
    <w:pPr>
      <w:ind w:left="567" w:hanging="567"/>
    </w:pPr>
  </w:style>
  <w:style w:type="paragraph" w:customStyle="1" w:styleId="Reftitle">
    <w:name w:val="Ref_title"/>
    <w:basedOn w:val="Normal"/>
    <w:next w:val="Reftext"/>
    <w:rsid w:val="000B0D00"/>
    <w:pPr>
      <w:spacing w:before="480"/>
      <w:jc w:val="center"/>
    </w:pPr>
    <w:rPr>
      <w:caps/>
      <w:sz w:val="28"/>
    </w:rPr>
  </w:style>
  <w:style w:type="paragraph" w:customStyle="1" w:styleId="Repdate">
    <w:name w:val="Rep_date"/>
    <w:basedOn w:val="Recdate"/>
    <w:next w:val="Normalaftertitle"/>
    <w:rsid w:val="006710F6"/>
  </w:style>
  <w:style w:type="paragraph" w:customStyle="1" w:styleId="RepNo">
    <w:name w:val="Rep_No"/>
    <w:basedOn w:val="RecNo"/>
    <w:next w:val="Reptitle"/>
    <w:rsid w:val="006710F6"/>
  </w:style>
  <w:style w:type="paragraph" w:customStyle="1" w:styleId="Reptitle">
    <w:name w:val="Rep_title"/>
    <w:basedOn w:val="Rectitle"/>
    <w:next w:val="Repref"/>
    <w:rsid w:val="006710F6"/>
  </w:style>
  <w:style w:type="paragraph" w:customStyle="1" w:styleId="Repref">
    <w:name w:val="Rep_ref"/>
    <w:basedOn w:val="Recref"/>
    <w:next w:val="Repdate"/>
    <w:rsid w:val="006710F6"/>
  </w:style>
  <w:style w:type="paragraph" w:customStyle="1" w:styleId="Resdate">
    <w:name w:val="Res_date"/>
    <w:basedOn w:val="Recdate"/>
    <w:next w:val="Normalaftertitle"/>
    <w:rsid w:val="006710F6"/>
  </w:style>
  <w:style w:type="paragraph" w:customStyle="1" w:styleId="ResNo">
    <w:name w:val="Res_No"/>
    <w:basedOn w:val="AnnexNo"/>
    <w:next w:val="Restitle"/>
    <w:rsid w:val="000B0D00"/>
  </w:style>
  <w:style w:type="paragraph" w:customStyle="1" w:styleId="Restitle">
    <w:name w:val="Res_title"/>
    <w:basedOn w:val="Annextitle"/>
    <w:next w:val="Normal"/>
    <w:rsid w:val="000B0D00"/>
  </w:style>
  <w:style w:type="paragraph" w:customStyle="1" w:styleId="Resref">
    <w:name w:val="Res_ref"/>
    <w:basedOn w:val="Recref"/>
    <w:next w:val="Resdate"/>
    <w:rsid w:val="006710F6"/>
  </w:style>
  <w:style w:type="paragraph" w:customStyle="1" w:styleId="SectionNo">
    <w:name w:val="Section_No"/>
    <w:basedOn w:val="AnnexNo"/>
    <w:next w:val="Sectiontitle"/>
    <w:rsid w:val="006710F6"/>
  </w:style>
  <w:style w:type="paragraph" w:customStyle="1" w:styleId="Sectiontitle">
    <w:name w:val="Section_title"/>
    <w:basedOn w:val="Normal"/>
    <w:next w:val="Normalaftertitle"/>
    <w:rsid w:val="006710F6"/>
    <w:rPr>
      <w:sz w:val="28"/>
    </w:rPr>
  </w:style>
  <w:style w:type="paragraph" w:customStyle="1" w:styleId="SpecialFooter">
    <w:name w:val="Special Footer"/>
    <w:basedOn w:val="Footer"/>
    <w:rsid w:val="006710F6"/>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0B0D00"/>
    <w:pPr>
      <w:spacing w:before="120" w:after="120"/>
      <w:jc w:val="center"/>
    </w:pPr>
    <w:rPr>
      <w:b/>
    </w:rPr>
  </w:style>
  <w:style w:type="paragraph" w:customStyle="1" w:styleId="Tablelegend">
    <w:name w:val="Table_legend"/>
    <w:basedOn w:val="Tabletext"/>
    <w:rsid w:val="006710F6"/>
    <w:pPr>
      <w:spacing w:before="120"/>
    </w:pPr>
  </w:style>
  <w:style w:type="paragraph" w:customStyle="1" w:styleId="Tableref">
    <w:name w:val="Table_ref"/>
    <w:basedOn w:val="Normal"/>
    <w:next w:val="Tabletitle"/>
    <w:rsid w:val="006710F6"/>
    <w:pPr>
      <w:keepNext/>
      <w:spacing w:before="567"/>
      <w:jc w:val="center"/>
    </w:pPr>
  </w:style>
  <w:style w:type="paragraph" w:customStyle="1" w:styleId="Reasons">
    <w:name w:val="Reasons"/>
    <w:basedOn w:val="Normal"/>
    <w:qFormat/>
    <w:rsid w:val="000B0D00"/>
  </w:style>
  <w:style w:type="paragraph" w:customStyle="1" w:styleId="FigureNo">
    <w:name w:val="Figure_No"/>
    <w:basedOn w:val="Normal"/>
    <w:next w:val="Figuretitle"/>
    <w:rsid w:val="006710F6"/>
    <w:pPr>
      <w:keepNext/>
      <w:keepLines/>
      <w:spacing w:before="240" w:after="120"/>
      <w:jc w:val="center"/>
    </w:pPr>
    <w:rPr>
      <w:caps/>
    </w:rPr>
  </w:style>
  <w:style w:type="paragraph" w:customStyle="1" w:styleId="Table">
    <w:name w:val="Table_#"/>
    <w:basedOn w:val="Normal"/>
    <w:next w:val="Normal"/>
    <w:rsid w:val="00093EEB"/>
    <w:pPr>
      <w:keepNext/>
      <w:overflowPunct/>
      <w:autoSpaceDE/>
      <w:autoSpaceDN/>
      <w:adjustRightInd/>
      <w:spacing w:before="560" w:after="120"/>
      <w:jc w:val="center"/>
      <w:textAlignment w:val="auto"/>
    </w:pPr>
    <w:rPr>
      <w:cap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llejon\AppData\Roaming\Microsoft\Templates\POOL%20S%20-%20ITU\PS_C18FIN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PS_C18FINAL.dotx</Template>
  <TotalTime>20</TotalTime>
  <Pages>5</Pages>
  <Words>1057</Words>
  <Characters>5466</Characters>
  <Application>Microsoft Office Word</Application>
  <DocSecurity>0</DocSecurity>
  <Lines>45</Lines>
  <Paragraphs>13</Paragraphs>
  <ScaleCrop>false</ScaleCrop>
  <HeadingPairs>
    <vt:vector size="4" baseType="variant">
      <vt:variant>
        <vt:lpstr>Title</vt:lpstr>
      </vt:variant>
      <vt:variant>
        <vt:i4>1</vt:i4>
      </vt:variant>
      <vt:variant>
        <vt:lpstr>UNIÓN INTERNACIONAL DE TELECOMUNICACIONES	</vt:lpstr>
      </vt:variant>
      <vt:variant>
        <vt:i4>0</vt:i4>
      </vt:variant>
    </vt:vector>
  </HeadingPairs>
  <TitlesOfParts>
    <vt:vector size="1" baseType="lpstr">
      <vt:lpstr/>
    </vt:vector>
  </TitlesOfParts>
  <Manager>Secretaría General - Pool</Manager>
  <Company>Unión Internacional de Telecomunicaciones (UIT)</Company>
  <LinksUpToDate>false</LinksUpToDate>
  <CharactersWithSpaces>6510</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Consejo 2018</dc:subject>
  <dc:creator>Spanish</dc:creator>
  <cp:keywords>C2018, C18</cp:keywords>
  <dc:description/>
  <cp:lastModifiedBy>Callejon, Miguel</cp:lastModifiedBy>
  <cp:revision>4</cp:revision>
  <cp:lastPrinted>2018-10-22T14:49:00Z</cp:lastPrinted>
  <dcterms:created xsi:type="dcterms:W3CDTF">2018-10-22T14:36:00Z</dcterms:created>
  <dcterms:modified xsi:type="dcterms:W3CDTF">2018-10-22T14:57:00Z</dcterms:modified>
  <cp:category>Documento de conferencia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Documento C17/-S</vt:lpwstr>
  </property>
  <property fmtid="{D5CDD505-2E9C-101B-9397-08002B2CF9AE}" pid="3" name="Docdate">
    <vt:lpwstr>enero de 2017</vt:lpwstr>
  </property>
  <property fmtid="{D5CDD505-2E9C-101B-9397-08002B2CF9AE}" pid="4" name="Docorlang">
    <vt:lpwstr>Original: inglés</vt:lpwstr>
  </property>
  <property fmtid="{D5CDD505-2E9C-101B-9397-08002B2CF9AE}" pid="5" name="Docbluepink">
    <vt:lpwstr>Consejo 2017 Ginebra, 15-25 de mayo de 2017</vt:lpwstr>
  </property>
  <property fmtid="{D5CDD505-2E9C-101B-9397-08002B2CF9AE}" pid="6" name="Docdest">
    <vt:lpwstr/>
  </property>
  <property fmtid="{D5CDD505-2E9C-101B-9397-08002B2CF9AE}" pid="7" name="Docauthor">
    <vt:lpwstr/>
  </property>
</Properties>
</file>