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2E33B" w14:textId="2F1DE9E5" w:rsidR="00907232" w:rsidRDefault="00907232"/>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813E5E" w14:paraId="5C7764FB" w14:textId="77777777" w:rsidTr="00257BDE">
        <w:trPr>
          <w:cantSplit/>
          <w:trHeight w:val="1276"/>
        </w:trPr>
        <w:tc>
          <w:tcPr>
            <w:tcW w:w="6911" w:type="dxa"/>
          </w:tcPr>
          <w:p w14:paraId="5C7764F9" w14:textId="4530C3C3" w:rsidR="00E378C5" w:rsidRPr="00813E5E" w:rsidRDefault="00E378C5" w:rsidP="00DF0587">
            <w:pPr>
              <w:spacing w:before="360" w:after="48" w:line="240" w:lineRule="atLeast"/>
              <w:rPr>
                <w:position w:val="6"/>
              </w:rPr>
            </w:pPr>
            <w:r w:rsidRPr="00E378C5">
              <w:rPr>
                <w:b/>
                <w:bCs/>
                <w:position w:val="6"/>
                <w:sz w:val="30"/>
                <w:szCs w:val="30"/>
              </w:rPr>
              <w:t>Council 201</w:t>
            </w:r>
            <w:r w:rsidR="00650CAB">
              <w:rPr>
                <w:b/>
                <w:bCs/>
                <w:position w:val="6"/>
                <w:sz w:val="30"/>
                <w:szCs w:val="30"/>
              </w:rPr>
              <w:t>8</w:t>
            </w:r>
            <w:r w:rsidRPr="00E378C5">
              <w:rPr>
                <w:rFonts w:cs="Times"/>
                <w:b/>
                <w:position w:val="6"/>
                <w:sz w:val="26"/>
                <w:szCs w:val="26"/>
                <w:lang w:val="en-US"/>
              </w:rPr>
              <w:br/>
            </w:r>
            <w:r w:rsidRPr="00E378C5">
              <w:rPr>
                <w:b/>
                <w:bCs/>
                <w:position w:val="6"/>
                <w:szCs w:val="24"/>
              </w:rPr>
              <w:t xml:space="preserve">Geneva, </w:t>
            </w:r>
            <w:r w:rsidR="00194167">
              <w:rPr>
                <w:b/>
                <w:bCs/>
                <w:position w:val="6"/>
                <w:szCs w:val="24"/>
              </w:rPr>
              <w:t>1</w:t>
            </w:r>
            <w:r w:rsidR="00DF0587">
              <w:rPr>
                <w:b/>
                <w:bCs/>
                <w:position w:val="6"/>
                <w:szCs w:val="24"/>
              </w:rPr>
              <w:t>7</w:t>
            </w:r>
            <w:r w:rsidR="00194167">
              <w:rPr>
                <w:b/>
                <w:bCs/>
                <w:position w:val="6"/>
                <w:szCs w:val="24"/>
              </w:rPr>
              <w:t>–2</w:t>
            </w:r>
            <w:r w:rsidR="00DF0587">
              <w:rPr>
                <w:b/>
                <w:bCs/>
                <w:position w:val="6"/>
                <w:szCs w:val="24"/>
              </w:rPr>
              <w:t>7</w:t>
            </w:r>
            <w:r w:rsidR="00194167">
              <w:rPr>
                <w:b/>
                <w:bCs/>
                <w:position w:val="6"/>
                <w:szCs w:val="24"/>
              </w:rPr>
              <w:t xml:space="preserve"> </w:t>
            </w:r>
            <w:r w:rsidR="00DF0587">
              <w:rPr>
                <w:b/>
                <w:bCs/>
                <w:position w:val="6"/>
                <w:szCs w:val="24"/>
              </w:rPr>
              <w:t xml:space="preserve">April </w:t>
            </w:r>
            <w:r w:rsidR="00AB2815" w:rsidRPr="003B25F1">
              <w:rPr>
                <w:b/>
                <w:bCs/>
                <w:position w:val="6"/>
                <w:szCs w:val="24"/>
              </w:rPr>
              <w:t>201</w:t>
            </w:r>
            <w:r w:rsidR="00DF0587">
              <w:rPr>
                <w:b/>
                <w:bCs/>
                <w:position w:val="6"/>
                <w:szCs w:val="24"/>
              </w:rPr>
              <w:t>8</w:t>
            </w:r>
          </w:p>
        </w:tc>
        <w:tc>
          <w:tcPr>
            <w:tcW w:w="3120" w:type="dxa"/>
          </w:tcPr>
          <w:p w14:paraId="5C7764FA" w14:textId="77777777" w:rsidR="00E378C5" w:rsidRPr="00813E5E" w:rsidRDefault="00257BDE" w:rsidP="0049335F">
            <w:bookmarkStart w:id="0" w:name="ditulogo"/>
            <w:bookmarkEnd w:id="0"/>
            <w:r>
              <w:rPr>
                <w:noProof/>
                <w:lang w:val="en-US" w:eastAsia="zh-CN"/>
              </w:rPr>
              <w:drawing>
                <wp:inline distT="0" distB="0" distL="0" distR="0" wp14:anchorId="5C77651C" wp14:editId="5C77651D">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813E5E" w14:paraId="5C7764FE" w14:textId="77777777">
        <w:trPr>
          <w:cantSplit/>
        </w:trPr>
        <w:tc>
          <w:tcPr>
            <w:tcW w:w="6911" w:type="dxa"/>
            <w:tcBorders>
              <w:bottom w:val="single" w:sz="12" w:space="0" w:color="auto"/>
            </w:tcBorders>
          </w:tcPr>
          <w:p w14:paraId="5C7764FC" w14:textId="37EC517F" w:rsidR="00E378C5" w:rsidRPr="00813E5E" w:rsidRDefault="00E378C5">
            <w:pPr>
              <w:spacing w:before="0" w:after="48" w:line="240" w:lineRule="atLeast"/>
              <w:rPr>
                <w:b/>
                <w:smallCaps/>
                <w:szCs w:val="24"/>
              </w:rPr>
            </w:pPr>
          </w:p>
        </w:tc>
        <w:tc>
          <w:tcPr>
            <w:tcW w:w="3120" w:type="dxa"/>
            <w:tcBorders>
              <w:bottom w:val="single" w:sz="12" w:space="0" w:color="auto"/>
            </w:tcBorders>
          </w:tcPr>
          <w:p w14:paraId="5C7764FD" w14:textId="77777777" w:rsidR="00E378C5" w:rsidRPr="00813E5E" w:rsidRDefault="00E378C5">
            <w:pPr>
              <w:spacing w:before="0" w:line="240" w:lineRule="atLeast"/>
              <w:rPr>
                <w:szCs w:val="24"/>
              </w:rPr>
            </w:pPr>
          </w:p>
        </w:tc>
      </w:tr>
      <w:tr w:rsidR="00E378C5" w:rsidRPr="00813E5E" w14:paraId="5C776501" w14:textId="77777777">
        <w:trPr>
          <w:cantSplit/>
        </w:trPr>
        <w:tc>
          <w:tcPr>
            <w:tcW w:w="6911" w:type="dxa"/>
            <w:tcBorders>
              <w:top w:val="single" w:sz="12" w:space="0" w:color="auto"/>
            </w:tcBorders>
          </w:tcPr>
          <w:p w14:paraId="5C7764FF" w14:textId="77777777" w:rsidR="00E378C5" w:rsidRPr="00813E5E" w:rsidRDefault="00E378C5">
            <w:pPr>
              <w:spacing w:before="0" w:after="48" w:line="240" w:lineRule="atLeast"/>
              <w:rPr>
                <w:b/>
                <w:smallCaps/>
                <w:szCs w:val="24"/>
              </w:rPr>
            </w:pPr>
          </w:p>
        </w:tc>
        <w:tc>
          <w:tcPr>
            <w:tcW w:w="3120" w:type="dxa"/>
            <w:tcBorders>
              <w:top w:val="single" w:sz="12" w:space="0" w:color="auto"/>
            </w:tcBorders>
          </w:tcPr>
          <w:p w14:paraId="5C776500" w14:textId="77777777" w:rsidR="00E378C5" w:rsidRPr="00813E5E" w:rsidRDefault="00E378C5">
            <w:pPr>
              <w:spacing w:before="0" w:line="240" w:lineRule="atLeast"/>
              <w:rPr>
                <w:szCs w:val="24"/>
              </w:rPr>
            </w:pPr>
          </w:p>
        </w:tc>
      </w:tr>
      <w:tr w:rsidR="00E378C5" w:rsidRPr="00813E5E" w14:paraId="5C776504" w14:textId="77777777">
        <w:trPr>
          <w:cantSplit/>
          <w:trHeight w:val="23"/>
        </w:trPr>
        <w:tc>
          <w:tcPr>
            <w:tcW w:w="6911" w:type="dxa"/>
            <w:vMerge w:val="restart"/>
          </w:tcPr>
          <w:p w14:paraId="5C776502" w14:textId="690733AA" w:rsidR="00E378C5" w:rsidRPr="00E378C5" w:rsidRDefault="00E378C5">
            <w:pPr>
              <w:tabs>
                <w:tab w:val="left" w:pos="851"/>
              </w:tabs>
              <w:spacing w:line="240" w:lineRule="atLeast"/>
              <w:rPr>
                <w:b/>
              </w:rPr>
            </w:pPr>
            <w:bookmarkStart w:id="1" w:name="dmeeting" w:colFirst="0" w:colLast="0"/>
            <w:bookmarkStart w:id="2" w:name="dnum" w:colFirst="1" w:colLast="1"/>
          </w:p>
        </w:tc>
        <w:tc>
          <w:tcPr>
            <w:tcW w:w="3120" w:type="dxa"/>
          </w:tcPr>
          <w:p w14:paraId="5C776503" w14:textId="722C2F98" w:rsidR="00E378C5" w:rsidRPr="003921CF" w:rsidRDefault="00E378C5" w:rsidP="00A17E91">
            <w:pPr>
              <w:tabs>
                <w:tab w:val="left" w:pos="851"/>
              </w:tabs>
              <w:spacing w:before="0" w:line="240" w:lineRule="atLeast"/>
              <w:rPr>
                <w:b/>
              </w:rPr>
            </w:pPr>
            <w:r w:rsidRPr="003921CF">
              <w:rPr>
                <w:b/>
              </w:rPr>
              <w:t>Document C1</w:t>
            </w:r>
            <w:r w:rsidR="00650CAB">
              <w:rPr>
                <w:b/>
              </w:rPr>
              <w:t>8</w:t>
            </w:r>
            <w:r w:rsidRPr="003921CF">
              <w:rPr>
                <w:b/>
              </w:rPr>
              <w:t>/</w:t>
            </w:r>
            <w:r w:rsidR="00A17E91">
              <w:rPr>
                <w:b/>
              </w:rPr>
              <w:t>INF/1</w:t>
            </w:r>
            <w:r w:rsidR="00BA6BF7">
              <w:rPr>
                <w:b/>
              </w:rPr>
              <w:t>-E</w:t>
            </w:r>
          </w:p>
        </w:tc>
      </w:tr>
      <w:tr w:rsidR="00E378C5" w:rsidRPr="00813E5E" w14:paraId="5C776507" w14:textId="77777777">
        <w:trPr>
          <w:cantSplit/>
          <w:trHeight w:val="23"/>
        </w:trPr>
        <w:tc>
          <w:tcPr>
            <w:tcW w:w="6911" w:type="dxa"/>
            <w:vMerge/>
          </w:tcPr>
          <w:p w14:paraId="5C776505" w14:textId="77777777" w:rsidR="00E378C5" w:rsidRPr="00813E5E" w:rsidRDefault="00E378C5">
            <w:pPr>
              <w:tabs>
                <w:tab w:val="left" w:pos="851"/>
              </w:tabs>
              <w:spacing w:line="240" w:lineRule="atLeast"/>
              <w:rPr>
                <w:b/>
              </w:rPr>
            </w:pPr>
            <w:bookmarkStart w:id="3" w:name="ddate" w:colFirst="1" w:colLast="1"/>
            <w:bookmarkEnd w:id="1"/>
            <w:bookmarkEnd w:id="2"/>
          </w:p>
        </w:tc>
        <w:tc>
          <w:tcPr>
            <w:tcW w:w="3120" w:type="dxa"/>
          </w:tcPr>
          <w:p w14:paraId="5C776506" w14:textId="18BCED92" w:rsidR="00E378C5" w:rsidRPr="00EF5274" w:rsidRDefault="00A17E91" w:rsidP="00BA6BF7">
            <w:pPr>
              <w:tabs>
                <w:tab w:val="left" w:pos="993"/>
              </w:tabs>
              <w:spacing w:before="0"/>
              <w:rPr>
                <w:b/>
              </w:rPr>
            </w:pPr>
            <w:r>
              <w:rPr>
                <w:b/>
              </w:rPr>
              <w:t>8</w:t>
            </w:r>
            <w:r w:rsidR="00BA6BF7">
              <w:rPr>
                <w:b/>
              </w:rPr>
              <w:t xml:space="preserve"> February </w:t>
            </w:r>
            <w:r w:rsidR="00E378C5" w:rsidRPr="00EF5274">
              <w:rPr>
                <w:b/>
              </w:rPr>
              <w:t>201</w:t>
            </w:r>
            <w:r w:rsidR="001845FA">
              <w:rPr>
                <w:b/>
              </w:rPr>
              <w:t>8</w:t>
            </w:r>
          </w:p>
        </w:tc>
      </w:tr>
      <w:tr w:rsidR="00E378C5" w:rsidRPr="00813E5E" w14:paraId="5C77650A" w14:textId="77777777">
        <w:trPr>
          <w:cantSplit/>
          <w:trHeight w:val="23"/>
        </w:trPr>
        <w:tc>
          <w:tcPr>
            <w:tcW w:w="6911" w:type="dxa"/>
            <w:vMerge/>
          </w:tcPr>
          <w:p w14:paraId="5C776508" w14:textId="77777777" w:rsidR="00E378C5" w:rsidRPr="00813E5E" w:rsidRDefault="00E378C5">
            <w:pPr>
              <w:tabs>
                <w:tab w:val="left" w:pos="851"/>
              </w:tabs>
              <w:spacing w:line="240" w:lineRule="atLeast"/>
              <w:rPr>
                <w:b/>
              </w:rPr>
            </w:pPr>
            <w:bookmarkStart w:id="4" w:name="dorlang" w:colFirst="1" w:colLast="1"/>
            <w:bookmarkEnd w:id="3"/>
          </w:p>
        </w:tc>
        <w:tc>
          <w:tcPr>
            <w:tcW w:w="3120" w:type="dxa"/>
          </w:tcPr>
          <w:p w14:paraId="5C776509" w14:textId="10313023" w:rsidR="00E378C5" w:rsidRPr="003921CF" w:rsidRDefault="0008758F" w:rsidP="00194167">
            <w:pPr>
              <w:tabs>
                <w:tab w:val="left" w:pos="993"/>
              </w:tabs>
              <w:spacing w:before="0"/>
              <w:rPr>
                <w:b/>
              </w:rPr>
            </w:pPr>
            <w:r>
              <w:rPr>
                <w:b/>
              </w:rPr>
              <w:t>English only</w:t>
            </w:r>
            <w:bookmarkStart w:id="5" w:name="_GoBack"/>
            <w:bookmarkEnd w:id="5"/>
          </w:p>
        </w:tc>
      </w:tr>
      <w:tr w:rsidR="00E378C5" w:rsidRPr="00813E5E" w14:paraId="5C77650C" w14:textId="77777777">
        <w:trPr>
          <w:cantSplit/>
        </w:trPr>
        <w:tc>
          <w:tcPr>
            <w:tcW w:w="10031" w:type="dxa"/>
            <w:gridSpan w:val="2"/>
          </w:tcPr>
          <w:p w14:paraId="5C77650B" w14:textId="77777777" w:rsidR="00E378C5" w:rsidRPr="00813E5E" w:rsidRDefault="00E378C5">
            <w:pPr>
              <w:pStyle w:val="Source"/>
            </w:pPr>
            <w:bookmarkStart w:id="6" w:name="dsource" w:colFirst="0" w:colLast="0"/>
            <w:bookmarkEnd w:id="4"/>
            <w:r>
              <w:t>Report by the Secretary-General</w:t>
            </w:r>
          </w:p>
        </w:tc>
      </w:tr>
      <w:tr w:rsidR="00E378C5" w:rsidRPr="00813E5E" w14:paraId="5C77650E" w14:textId="77777777">
        <w:trPr>
          <w:cantSplit/>
        </w:trPr>
        <w:tc>
          <w:tcPr>
            <w:tcW w:w="10031" w:type="dxa"/>
            <w:gridSpan w:val="2"/>
          </w:tcPr>
          <w:p w14:paraId="5C77650D" w14:textId="4E1B5B7B" w:rsidR="00E378C5" w:rsidRPr="00813E5E" w:rsidRDefault="003921CF" w:rsidP="00650CAB">
            <w:pPr>
              <w:pStyle w:val="Title1"/>
            </w:pPr>
            <w:bookmarkStart w:id="7" w:name="dtitle1" w:colFirst="0" w:colLast="0"/>
            <w:bookmarkEnd w:id="6"/>
            <w:r w:rsidRPr="006172F2">
              <w:rPr>
                <w:rFonts w:asciiTheme="minorHAnsi" w:hAnsiTheme="minorHAnsi"/>
              </w:rPr>
              <w:t>REPORT OF THE BUDGET CONTROL COMMITTEE</w:t>
            </w:r>
            <w:r>
              <w:rPr>
                <w:rFonts w:asciiTheme="minorHAnsi" w:hAnsiTheme="minorHAnsi"/>
              </w:rPr>
              <w:br/>
            </w:r>
            <w:r w:rsidRPr="006172F2">
              <w:rPr>
                <w:rFonts w:asciiTheme="minorHAnsi" w:hAnsiTheme="minorHAnsi"/>
              </w:rPr>
              <w:t xml:space="preserve">OF THE </w:t>
            </w:r>
            <w:r w:rsidR="00D42F8D">
              <w:rPr>
                <w:rFonts w:asciiTheme="minorHAnsi" w:hAnsiTheme="minorHAnsi"/>
              </w:rPr>
              <w:t xml:space="preserve">WORLD TELECOMMUNICATION </w:t>
            </w:r>
            <w:r w:rsidR="00650CAB">
              <w:rPr>
                <w:rFonts w:asciiTheme="minorHAnsi" w:hAnsiTheme="minorHAnsi"/>
              </w:rPr>
              <w:t>DEVELOPMENT CONFERENCE</w:t>
            </w:r>
            <w:r w:rsidR="00D42F8D">
              <w:rPr>
                <w:rFonts w:asciiTheme="minorHAnsi" w:hAnsiTheme="minorHAnsi"/>
              </w:rPr>
              <w:t xml:space="preserve"> </w:t>
            </w:r>
            <w:r w:rsidR="00601286">
              <w:rPr>
                <w:rFonts w:asciiTheme="minorHAnsi" w:hAnsiTheme="minorHAnsi"/>
              </w:rPr>
              <w:t>(</w:t>
            </w:r>
            <w:r w:rsidR="00D42F8D">
              <w:rPr>
                <w:rFonts w:asciiTheme="minorHAnsi" w:hAnsiTheme="minorHAnsi"/>
              </w:rPr>
              <w:t>WT</w:t>
            </w:r>
            <w:r w:rsidR="00650CAB">
              <w:rPr>
                <w:rFonts w:asciiTheme="minorHAnsi" w:hAnsiTheme="minorHAnsi"/>
              </w:rPr>
              <w:t>DC</w:t>
            </w:r>
            <w:r w:rsidR="00601286">
              <w:rPr>
                <w:rFonts w:asciiTheme="minorHAnsi" w:hAnsiTheme="minorHAnsi"/>
              </w:rPr>
              <w:t>-1</w:t>
            </w:r>
            <w:r w:rsidR="00650CAB">
              <w:rPr>
                <w:rFonts w:asciiTheme="minorHAnsi" w:hAnsiTheme="minorHAnsi"/>
              </w:rPr>
              <w:t>7</w:t>
            </w:r>
            <w:r>
              <w:rPr>
                <w:rFonts w:asciiTheme="minorHAnsi" w:hAnsiTheme="minorHAnsi"/>
              </w:rPr>
              <w:t>)</w:t>
            </w:r>
          </w:p>
        </w:tc>
      </w:tr>
      <w:bookmarkEnd w:id="7"/>
    </w:tbl>
    <w:p w14:paraId="4C07FD75" w14:textId="77777777" w:rsidR="00D303CC" w:rsidRPr="00D303CC" w:rsidRDefault="00D303CC" w:rsidP="00F61858">
      <w:pPr>
        <w:keepNext/>
        <w:keepLines/>
        <w:tabs>
          <w:tab w:val="clear" w:pos="567"/>
          <w:tab w:val="clear" w:pos="1134"/>
          <w:tab w:val="clear" w:pos="1701"/>
          <w:tab w:val="clear" w:pos="2268"/>
          <w:tab w:val="clear" w:pos="2835"/>
          <w:tab w:val="left" w:pos="794"/>
          <w:tab w:val="left" w:pos="1191"/>
          <w:tab w:val="left" w:pos="1588"/>
          <w:tab w:val="left" w:pos="1985"/>
        </w:tabs>
        <w:snapToGrid w:val="0"/>
        <w:ind w:left="794" w:hanging="794"/>
        <w:outlineLvl w:val="1"/>
        <w:rPr>
          <w:rFonts w:ascii="Times New Roman" w:hAnsi="Times New Roman"/>
          <w:b/>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D303CC" w:rsidRPr="00F61858" w14:paraId="07083667" w14:textId="77777777" w:rsidTr="00812C1F">
        <w:trPr>
          <w:trHeight w:val="2516"/>
        </w:trPr>
        <w:tc>
          <w:tcPr>
            <w:tcW w:w="8647" w:type="dxa"/>
            <w:tcBorders>
              <w:top w:val="single" w:sz="12" w:space="0" w:color="auto"/>
              <w:left w:val="single" w:sz="12" w:space="0" w:color="auto"/>
              <w:bottom w:val="single" w:sz="12" w:space="0" w:color="auto"/>
              <w:right w:val="single" w:sz="12" w:space="0" w:color="auto"/>
            </w:tcBorders>
          </w:tcPr>
          <w:p w14:paraId="69934D37" w14:textId="77777777" w:rsidR="00D303CC" w:rsidRPr="00F61858" w:rsidRDefault="00D303CC" w:rsidP="00D303CC">
            <w:pPr>
              <w:tabs>
                <w:tab w:val="clear" w:pos="567"/>
                <w:tab w:val="clear" w:pos="1134"/>
                <w:tab w:val="clear" w:pos="1701"/>
                <w:tab w:val="clear" w:pos="2268"/>
                <w:tab w:val="clear" w:pos="2835"/>
                <w:tab w:val="left" w:pos="794"/>
                <w:tab w:val="left" w:pos="1191"/>
                <w:tab w:val="left" w:pos="1588"/>
                <w:tab w:val="left" w:pos="1985"/>
                <w:tab w:val="center" w:pos="8789"/>
              </w:tabs>
              <w:spacing w:after="120"/>
              <w:ind w:left="34"/>
              <w:rPr>
                <w:b/>
                <w:bCs/>
                <w:szCs w:val="24"/>
              </w:rPr>
            </w:pPr>
            <w:r w:rsidRPr="00F61858">
              <w:rPr>
                <w:b/>
                <w:bCs/>
                <w:szCs w:val="24"/>
              </w:rPr>
              <w:t>Summary</w:t>
            </w:r>
          </w:p>
          <w:p w14:paraId="53061D68" w14:textId="77777777" w:rsidR="00D303CC" w:rsidRPr="00F61858" w:rsidRDefault="00D303CC" w:rsidP="00AE0278">
            <w:pPr>
              <w:tabs>
                <w:tab w:val="clear" w:pos="567"/>
                <w:tab w:val="clear" w:pos="1134"/>
                <w:tab w:val="clear" w:pos="1701"/>
                <w:tab w:val="clear" w:pos="2268"/>
                <w:tab w:val="clear" w:pos="2835"/>
              </w:tabs>
              <w:snapToGrid w:val="0"/>
              <w:spacing w:after="120"/>
              <w:rPr>
                <w:szCs w:val="24"/>
              </w:rPr>
            </w:pPr>
            <w:r w:rsidRPr="00F61858">
              <w:rPr>
                <w:szCs w:val="24"/>
              </w:rPr>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04E64964" w14:textId="211A41FE" w:rsidR="00D303CC" w:rsidRPr="00F61858" w:rsidRDefault="00D303CC" w:rsidP="00AE0278">
            <w:pPr>
              <w:tabs>
                <w:tab w:val="clear" w:pos="567"/>
                <w:tab w:val="clear" w:pos="1134"/>
                <w:tab w:val="clear" w:pos="1701"/>
                <w:tab w:val="clear" w:pos="2268"/>
                <w:tab w:val="clear" w:pos="2835"/>
              </w:tabs>
              <w:snapToGrid w:val="0"/>
              <w:spacing w:after="120"/>
              <w:rPr>
                <w:rFonts w:eastAsia="SimSun"/>
                <w:szCs w:val="24"/>
                <w:lang w:eastAsia="zh-CN"/>
              </w:rPr>
            </w:pPr>
            <w:r w:rsidRPr="00F61858">
              <w:rPr>
                <w:szCs w:val="24"/>
              </w:rPr>
              <w:t xml:space="preserve">The report of the Budget Control Committee of the </w:t>
            </w:r>
            <w:r w:rsidR="00D42F8D" w:rsidRPr="00F61858">
              <w:rPr>
                <w:szCs w:val="24"/>
              </w:rPr>
              <w:t xml:space="preserve">World Telecommunication </w:t>
            </w:r>
            <w:r w:rsidR="00FD1144" w:rsidRPr="00F61858">
              <w:rPr>
                <w:szCs w:val="24"/>
              </w:rPr>
              <w:t xml:space="preserve">Development Conference </w:t>
            </w:r>
            <w:r w:rsidR="00D42F8D" w:rsidRPr="00F61858">
              <w:rPr>
                <w:szCs w:val="24"/>
              </w:rPr>
              <w:t>(WT</w:t>
            </w:r>
            <w:r w:rsidR="00FD1144" w:rsidRPr="00F61858">
              <w:rPr>
                <w:szCs w:val="24"/>
              </w:rPr>
              <w:t>DC</w:t>
            </w:r>
            <w:r w:rsidR="00D42F8D" w:rsidRPr="00F61858">
              <w:rPr>
                <w:szCs w:val="24"/>
              </w:rPr>
              <w:t>-1</w:t>
            </w:r>
            <w:r w:rsidR="00FD1144" w:rsidRPr="00F61858">
              <w:rPr>
                <w:szCs w:val="24"/>
              </w:rPr>
              <w:t>7</w:t>
            </w:r>
            <w:r w:rsidR="00D42F8D" w:rsidRPr="00F61858">
              <w:rPr>
                <w:szCs w:val="24"/>
              </w:rPr>
              <w:t xml:space="preserve">) </w:t>
            </w:r>
            <w:r w:rsidR="00F61858" w:rsidRPr="00F61858">
              <w:rPr>
                <w:szCs w:val="24"/>
              </w:rPr>
              <w:t xml:space="preserve">is </w:t>
            </w:r>
            <w:r w:rsidR="00D42F8D" w:rsidRPr="00F61858">
              <w:rPr>
                <w:szCs w:val="24"/>
              </w:rPr>
              <w:t xml:space="preserve">contained in </w:t>
            </w:r>
            <w:hyperlink r:id="rId12" w:history="1">
              <w:r w:rsidR="00D42F8D" w:rsidRPr="00F61858">
                <w:rPr>
                  <w:color w:val="0000FF"/>
                  <w:szCs w:val="24"/>
                  <w:u w:val="single"/>
                </w:rPr>
                <w:t>Document </w:t>
              </w:r>
              <w:r w:rsidR="00A90058" w:rsidRPr="00F61858">
                <w:rPr>
                  <w:color w:val="0000FF"/>
                  <w:szCs w:val="24"/>
                  <w:u w:val="single"/>
                </w:rPr>
                <w:t>WT</w:t>
              </w:r>
              <w:r w:rsidR="005B2D7A" w:rsidRPr="00F61858">
                <w:rPr>
                  <w:color w:val="0000FF"/>
                  <w:szCs w:val="24"/>
                  <w:u w:val="single"/>
                </w:rPr>
                <w:t>DC</w:t>
              </w:r>
              <w:r w:rsidR="00A90058" w:rsidRPr="00F61858">
                <w:rPr>
                  <w:color w:val="0000FF"/>
                  <w:szCs w:val="24"/>
                  <w:u w:val="single"/>
                </w:rPr>
                <w:t>-1</w:t>
              </w:r>
              <w:r w:rsidR="005B2D7A" w:rsidRPr="00F61858">
                <w:rPr>
                  <w:color w:val="0000FF"/>
                  <w:szCs w:val="24"/>
                  <w:u w:val="single"/>
                </w:rPr>
                <w:t>7</w:t>
              </w:r>
              <w:r w:rsidR="00A90058" w:rsidRPr="00F61858">
                <w:rPr>
                  <w:color w:val="0000FF"/>
                  <w:szCs w:val="24"/>
                  <w:u w:val="single"/>
                </w:rPr>
                <w:t>/</w:t>
              </w:r>
              <w:r w:rsidR="005B2D7A" w:rsidRPr="00F61858">
                <w:rPr>
                  <w:color w:val="0000FF"/>
                  <w:szCs w:val="24"/>
                  <w:u w:val="single"/>
                </w:rPr>
                <w:t>85</w:t>
              </w:r>
            </w:hyperlink>
            <w:r w:rsidR="00F61858" w:rsidRPr="00F61858">
              <w:rPr>
                <w:color w:val="0000FF"/>
                <w:szCs w:val="24"/>
                <w:u w:val="single"/>
              </w:rPr>
              <w:t>.</w:t>
            </w:r>
          </w:p>
          <w:p w14:paraId="4739E4BC" w14:textId="77777777" w:rsidR="00F61858" w:rsidRPr="00F61858" w:rsidRDefault="00F61858" w:rsidP="00AE0278">
            <w:pPr>
              <w:tabs>
                <w:tab w:val="clear" w:pos="567"/>
                <w:tab w:val="clear" w:pos="1134"/>
              </w:tabs>
              <w:snapToGrid w:val="0"/>
              <w:spacing w:before="240" w:after="120"/>
              <w:rPr>
                <w:szCs w:val="24"/>
              </w:rPr>
            </w:pPr>
            <w:r w:rsidRPr="00F61858">
              <w:rPr>
                <w:szCs w:val="24"/>
              </w:rPr>
              <w:t>The observations of the Plenary Meeting are recorded as follows:</w:t>
            </w:r>
          </w:p>
          <w:p w14:paraId="54FBAA04" w14:textId="77777777" w:rsidR="00F61858" w:rsidRPr="00F61858" w:rsidRDefault="00F61858" w:rsidP="00AE0278">
            <w:pPr>
              <w:tabs>
                <w:tab w:val="clear" w:pos="567"/>
                <w:tab w:val="clear" w:pos="1134"/>
                <w:tab w:val="left" w:pos="318"/>
              </w:tabs>
              <w:snapToGrid w:val="0"/>
              <w:spacing w:after="120"/>
              <w:rPr>
                <w:szCs w:val="24"/>
              </w:rPr>
            </w:pPr>
            <w:r w:rsidRPr="00F61858">
              <w:rPr>
                <w:szCs w:val="24"/>
              </w:rPr>
              <w:t>1.</w:t>
            </w:r>
            <w:r w:rsidRPr="00F61858">
              <w:rPr>
                <w:szCs w:val="24"/>
              </w:rPr>
              <w:tab/>
              <w:t>Final expenditures for WTDC-17 remained within the approved budget.</w:t>
            </w:r>
          </w:p>
          <w:p w14:paraId="4C075A52" w14:textId="5A8CC0CE" w:rsidR="00F61858" w:rsidRPr="00F61858" w:rsidRDefault="00F61858" w:rsidP="00AE0278">
            <w:pPr>
              <w:tabs>
                <w:tab w:val="clear" w:pos="567"/>
                <w:tab w:val="clear" w:pos="1134"/>
                <w:tab w:val="left" w:pos="318"/>
              </w:tabs>
              <w:snapToGrid w:val="0"/>
              <w:spacing w:before="240" w:after="120"/>
              <w:rPr>
                <w:rFonts w:eastAsia="SimSun"/>
                <w:lang w:eastAsia="zh-CN"/>
              </w:rPr>
            </w:pPr>
            <w:r w:rsidRPr="00F61858">
              <w:rPr>
                <w:rFonts w:eastAsia="SimSun"/>
                <w:lang w:eastAsia="zh-CN"/>
              </w:rPr>
              <w:t>2.</w:t>
            </w:r>
            <w:r w:rsidR="00812C1F">
              <w:rPr>
                <w:rFonts w:eastAsia="SimSun"/>
                <w:lang w:eastAsia="zh-CN"/>
              </w:rPr>
              <w:tab/>
            </w:r>
            <w:r w:rsidRPr="00F61858">
              <w:rPr>
                <w:rFonts w:eastAsia="SimSun"/>
                <w:lang w:eastAsia="zh-CN"/>
              </w:rPr>
              <w:t xml:space="preserve">The attention of the Conference was drawn to No. 142 </w:t>
            </w:r>
            <w:r w:rsidR="00C011D2">
              <w:rPr>
                <w:rFonts w:eastAsia="SimSun"/>
                <w:lang w:eastAsia="zh-CN"/>
              </w:rPr>
              <w:t>(</w:t>
            </w:r>
            <w:r w:rsidRPr="00F61858">
              <w:rPr>
                <w:rFonts w:eastAsia="SimSun"/>
                <w:lang w:eastAsia="zh-CN"/>
              </w:rPr>
              <w:t>Article 22</w:t>
            </w:r>
            <w:r w:rsidR="00C011D2">
              <w:rPr>
                <w:rFonts w:eastAsia="SimSun"/>
                <w:lang w:eastAsia="zh-CN"/>
              </w:rPr>
              <w:t>)</w:t>
            </w:r>
            <w:r w:rsidRPr="00F61858">
              <w:rPr>
                <w:rFonts w:eastAsia="SimSun"/>
                <w:lang w:eastAsia="zh-CN"/>
              </w:rPr>
              <w:t xml:space="preserve"> of the Constitution of the International Telecommunication Union which states</w:t>
            </w:r>
            <w:r w:rsidR="00F77E5F">
              <w:rPr>
                <w:rFonts w:eastAsia="SimSun"/>
                <w:lang w:eastAsia="zh-CN"/>
              </w:rPr>
              <w:t>,</w:t>
            </w:r>
            <w:r w:rsidRPr="00F61858">
              <w:rPr>
                <w:rFonts w:eastAsia="SimSun"/>
                <w:lang w:eastAsia="zh-CN"/>
              </w:rPr>
              <w:t xml:space="preserve"> </w:t>
            </w:r>
            <w:r w:rsidRPr="00F77E5F">
              <w:rPr>
                <w:rFonts w:eastAsia="SimSun"/>
                <w:i/>
                <w:iCs/>
                <w:lang w:eastAsia="zh-CN"/>
              </w:rPr>
              <w:t>inter alia</w:t>
            </w:r>
            <w:r w:rsidR="00F77E5F">
              <w:rPr>
                <w:rFonts w:eastAsia="SimSun"/>
                <w:i/>
                <w:iCs/>
                <w:lang w:eastAsia="zh-CN"/>
              </w:rPr>
              <w:t>,</w:t>
            </w:r>
            <w:r w:rsidRPr="00F61858">
              <w:rPr>
                <w:rFonts w:eastAsia="SimSun"/>
                <w:lang w:eastAsia="zh-CN"/>
              </w:rPr>
              <w:t xml:space="preserve"> that “</w:t>
            </w:r>
            <w:r w:rsidRPr="00F61858">
              <w:rPr>
                <w:i/>
                <w:iCs/>
              </w:rPr>
              <w:t>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r w:rsidRPr="00F61858">
              <w:t>”</w:t>
            </w:r>
            <w:r w:rsidRPr="00F61858">
              <w:rPr>
                <w:rFonts w:eastAsia="SimSun"/>
                <w:lang w:eastAsia="zh-CN"/>
              </w:rPr>
              <w:t>.</w:t>
            </w:r>
          </w:p>
          <w:p w14:paraId="73F82FED" w14:textId="64CD7AC5" w:rsidR="00F61858" w:rsidRPr="00F61858" w:rsidRDefault="00F61858" w:rsidP="00AE0278">
            <w:pPr>
              <w:tabs>
                <w:tab w:val="clear" w:pos="567"/>
                <w:tab w:val="clear" w:pos="1134"/>
                <w:tab w:val="left" w:pos="318"/>
              </w:tabs>
              <w:snapToGrid w:val="0"/>
              <w:spacing w:after="120"/>
              <w:rPr>
                <w:rFonts w:eastAsia="SimSun"/>
                <w:lang w:eastAsia="zh-CN"/>
              </w:rPr>
            </w:pPr>
            <w:r w:rsidRPr="00F61858">
              <w:rPr>
                <w:rFonts w:eastAsia="SimSun"/>
                <w:lang w:eastAsia="zh-CN"/>
              </w:rPr>
              <w:t xml:space="preserve">The attention of the Conference was also drawn to Nos 488 and 489 </w:t>
            </w:r>
            <w:r w:rsidR="00C011D2">
              <w:rPr>
                <w:rFonts w:eastAsia="SimSun"/>
                <w:lang w:eastAsia="zh-CN"/>
              </w:rPr>
              <w:t>(</w:t>
            </w:r>
            <w:r w:rsidRPr="00F61858">
              <w:rPr>
                <w:rFonts w:eastAsia="SimSun"/>
                <w:lang w:eastAsia="zh-CN"/>
              </w:rPr>
              <w:t>Article 34</w:t>
            </w:r>
            <w:r w:rsidR="00C011D2">
              <w:rPr>
                <w:rFonts w:eastAsia="SimSun"/>
                <w:lang w:eastAsia="zh-CN"/>
              </w:rPr>
              <w:t>)</w:t>
            </w:r>
            <w:r w:rsidRPr="00F61858">
              <w:rPr>
                <w:rFonts w:eastAsia="SimSun"/>
                <w:lang w:eastAsia="zh-CN"/>
              </w:rPr>
              <w:t xml:space="preserve"> of the Convention of the International Telecommunication Union which state</w:t>
            </w:r>
            <w:r w:rsidR="00F77E5F" w:rsidRPr="00F77E5F">
              <w:rPr>
                <w:rFonts w:eastAsia="SimSun"/>
                <w:i/>
                <w:iCs/>
                <w:lang w:eastAsia="zh-CN"/>
              </w:rPr>
              <w:t>, inter alia</w:t>
            </w:r>
            <w:r w:rsidR="00F77E5F">
              <w:rPr>
                <w:rFonts w:eastAsia="SimSun"/>
                <w:lang w:eastAsia="zh-CN"/>
              </w:rPr>
              <w:t xml:space="preserve">, </w:t>
            </w:r>
            <w:r w:rsidRPr="00F61858">
              <w:rPr>
                <w:rFonts w:eastAsia="SimSun"/>
                <w:lang w:eastAsia="zh-CN"/>
              </w:rPr>
              <w:t>that: “</w:t>
            </w:r>
            <w:r w:rsidRPr="00F61858">
              <w:rPr>
                <w:i/>
                <w:iCs/>
              </w:rPr>
              <w:t>No decision of a conference shall be put into effect if it will result in a direct or indirect increase in expenses beyond the credits that the Council is empowered to authorize</w:t>
            </w:r>
            <w:r w:rsidRPr="00F61858">
              <w:t>”.</w:t>
            </w:r>
          </w:p>
          <w:p w14:paraId="04DE04F8" w14:textId="05E14878" w:rsidR="00F61858" w:rsidRPr="00F61858" w:rsidRDefault="00F61858" w:rsidP="00AE0278">
            <w:pPr>
              <w:tabs>
                <w:tab w:val="clear" w:pos="567"/>
                <w:tab w:val="clear" w:pos="1134"/>
                <w:tab w:val="left" w:pos="318"/>
              </w:tabs>
              <w:snapToGrid w:val="0"/>
              <w:spacing w:before="240" w:after="120"/>
              <w:rPr>
                <w:rFonts w:eastAsia="SimSun" w:cstheme="minorHAnsi"/>
                <w:color w:val="000000"/>
                <w:szCs w:val="24"/>
                <w:lang w:eastAsia="zh-CN"/>
              </w:rPr>
            </w:pPr>
            <w:r w:rsidRPr="00F61858">
              <w:rPr>
                <w:szCs w:val="24"/>
              </w:rPr>
              <w:t>3.</w:t>
            </w:r>
            <w:r w:rsidRPr="00F61858">
              <w:rPr>
                <w:szCs w:val="24"/>
              </w:rPr>
              <w:tab/>
              <w:t>In light of 2) above, and as regard</w:t>
            </w:r>
            <w:r w:rsidR="003C3490">
              <w:rPr>
                <w:szCs w:val="24"/>
              </w:rPr>
              <w:t xml:space="preserve">s the </w:t>
            </w:r>
            <w:r w:rsidRPr="00F61858">
              <w:rPr>
                <w:szCs w:val="24"/>
              </w:rPr>
              <w:t>eventual financial implications of</w:t>
            </w:r>
            <w:r w:rsidR="00C011D2">
              <w:rPr>
                <w:szCs w:val="24"/>
              </w:rPr>
              <w:t xml:space="preserve"> the decisions taken by</w:t>
            </w:r>
            <w:r w:rsidRPr="00F61858">
              <w:rPr>
                <w:szCs w:val="24"/>
              </w:rPr>
              <w:t xml:space="preserve"> WTDC-17, the Chairman of </w:t>
            </w:r>
            <w:r w:rsidRPr="00F61858">
              <w:rPr>
                <w:rFonts w:eastAsia="SimSun" w:cstheme="minorHAnsi"/>
                <w:color w:val="000000"/>
                <w:szCs w:val="24"/>
                <w:lang w:eastAsia="zh-CN"/>
              </w:rPr>
              <w:t>Committee 2 and the Secretary</w:t>
            </w:r>
            <w:r w:rsidR="008D23F8">
              <w:rPr>
                <w:rFonts w:eastAsia="SimSun" w:cstheme="minorHAnsi"/>
                <w:color w:val="000000"/>
                <w:szCs w:val="24"/>
                <w:lang w:eastAsia="zh-CN"/>
              </w:rPr>
              <w:t>-G</w:t>
            </w:r>
            <w:r w:rsidRPr="00F61858">
              <w:rPr>
                <w:rFonts w:eastAsia="SimSun" w:cstheme="minorHAnsi"/>
                <w:color w:val="000000"/>
                <w:szCs w:val="24"/>
                <w:lang w:eastAsia="zh-CN"/>
              </w:rPr>
              <w:t>eneral of ITU reminded delegates that</w:t>
            </w:r>
            <w:r w:rsidR="00C011D2">
              <w:rPr>
                <w:rFonts w:eastAsia="SimSun" w:cstheme="minorHAnsi"/>
                <w:color w:val="000000"/>
                <w:szCs w:val="24"/>
                <w:lang w:eastAsia="zh-CN"/>
              </w:rPr>
              <w:t xml:space="preserve"> the decisions of WTDC-17 with regards to the resources requirements will result in expenses in excess of the financial limit laid </w:t>
            </w:r>
            <w:r w:rsidR="00C011D2">
              <w:rPr>
                <w:rFonts w:eastAsia="SimSun" w:cstheme="minorHAnsi"/>
                <w:color w:val="000000"/>
                <w:szCs w:val="24"/>
                <w:lang w:eastAsia="zh-CN"/>
              </w:rPr>
              <w:lastRenderedPageBreak/>
              <w:t>down by PP-14 for the Financial Plan 2016-2019 and that</w:t>
            </w:r>
            <w:r w:rsidRPr="00F61858">
              <w:rPr>
                <w:rFonts w:eastAsia="SimSun"/>
                <w:lang w:eastAsia="zh-CN"/>
              </w:rPr>
              <w:t xml:space="preserve"> the actions called for will only be undertaken subject to the availability of financial resources.</w:t>
            </w:r>
          </w:p>
          <w:p w14:paraId="189B5380" w14:textId="77777777" w:rsidR="00F61858" w:rsidRPr="00F61858" w:rsidRDefault="00F61858" w:rsidP="00AE0278">
            <w:pPr>
              <w:tabs>
                <w:tab w:val="clear" w:pos="567"/>
                <w:tab w:val="clear" w:pos="1134"/>
                <w:tab w:val="left" w:pos="318"/>
              </w:tabs>
              <w:snapToGrid w:val="0"/>
              <w:spacing w:before="240" w:after="120"/>
              <w:rPr>
                <w:rFonts w:eastAsia="SimSun"/>
                <w:szCs w:val="24"/>
                <w:lang w:eastAsia="zh-CN"/>
              </w:rPr>
            </w:pPr>
            <w:r w:rsidRPr="00F61858">
              <w:rPr>
                <w:rFonts w:eastAsia="SimSun"/>
                <w:szCs w:val="24"/>
                <w:lang w:eastAsia="zh-CN"/>
              </w:rPr>
              <w:t>4.</w:t>
            </w:r>
            <w:r w:rsidRPr="00F61858">
              <w:rPr>
                <w:rFonts w:eastAsia="SimSun"/>
                <w:szCs w:val="24"/>
                <w:lang w:eastAsia="zh-CN"/>
              </w:rPr>
              <w:tab/>
              <w:t>The Plenary approved the report of the Budget Control Committee.</w:t>
            </w:r>
          </w:p>
          <w:p w14:paraId="0569E2E8" w14:textId="4A328D43" w:rsidR="00AE0278" w:rsidRPr="00AE0278" w:rsidRDefault="00AE0278" w:rsidP="00AE0278">
            <w:pPr>
              <w:pStyle w:val="Index1"/>
              <w:snapToGrid w:val="0"/>
              <w:spacing w:after="120"/>
              <w:jc w:val="center"/>
              <w:rPr>
                <w:szCs w:val="24"/>
              </w:rPr>
            </w:pPr>
            <w:r w:rsidRPr="00AE0278">
              <w:rPr>
                <w:szCs w:val="24"/>
              </w:rPr>
              <w:t>________________</w:t>
            </w:r>
          </w:p>
          <w:p w14:paraId="19DF193D" w14:textId="77777777" w:rsidR="00F61858" w:rsidRPr="00F61858" w:rsidRDefault="00F61858" w:rsidP="00AE0278">
            <w:pPr>
              <w:pStyle w:val="Index1"/>
              <w:snapToGrid w:val="0"/>
              <w:rPr>
                <w:b/>
                <w:bCs/>
                <w:szCs w:val="24"/>
              </w:rPr>
            </w:pPr>
            <w:r w:rsidRPr="00F61858">
              <w:rPr>
                <w:b/>
                <w:bCs/>
                <w:szCs w:val="24"/>
              </w:rPr>
              <w:t>Action required</w:t>
            </w:r>
          </w:p>
          <w:p w14:paraId="1ED7F46E" w14:textId="27069AA5" w:rsidR="00F61858" w:rsidRPr="00F61858" w:rsidRDefault="00F61858" w:rsidP="00AE0278">
            <w:pPr>
              <w:snapToGrid w:val="0"/>
              <w:spacing w:before="0" w:after="120"/>
              <w:rPr>
                <w:szCs w:val="24"/>
              </w:rPr>
            </w:pPr>
            <w:r w:rsidRPr="00F61858">
              <w:rPr>
                <w:szCs w:val="24"/>
              </w:rPr>
              <w:t xml:space="preserve">The Council is invited to </w:t>
            </w:r>
            <w:r w:rsidRPr="00F61858">
              <w:rPr>
                <w:b/>
                <w:szCs w:val="24"/>
              </w:rPr>
              <w:t>take note</w:t>
            </w:r>
            <w:r w:rsidRPr="00F61858">
              <w:rPr>
                <w:szCs w:val="24"/>
              </w:rPr>
              <w:t xml:space="preserve"> of the present document.</w:t>
            </w:r>
          </w:p>
          <w:p w14:paraId="5DC8ED6F" w14:textId="77777777" w:rsidR="00F61858" w:rsidRPr="00F61858" w:rsidRDefault="00F61858" w:rsidP="00AE0278">
            <w:pPr>
              <w:snapToGrid w:val="0"/>
              <w:spacing w:before="240"/>
              <w:rPr>
                <w:b/>
                <w:bCs/>
                <w:szCs w:val="24"/>
              </w:rPr>
            </w:pPr>
            <w:r w:rsidRPr="00F61858">
              <w:rPr>
                <w:b/>
                <w:bCs/>
                <w:szCs w:val="24"/>
              </w:rPr>
              <w:t>Reference</w:t>
            </w:r>
          </w:p>
          <w:p w14:paraId="55E9D7CA" w14:textId="18468522" w:rsidR="00D303CC" w:rsidRPr="00F61858" w:rsidRDefault="0008758F" w:rsidP="00AE0278">
            <w:pPr>
              <w:tabs>
                <w:tab w:val="clear" w:pos="567"/>
                <w:tab w:val="clear" w:pos="1134"/>
                <w:tab w:val="clear" w:pos="1701"/>
                <w:tab w:val="clear" w:pos="2268"/>
                <w:tab w:val="clear" w:pos="2835"/>
                <w:tab w:val="left" w:pos="794"/>
                <w:tab w:val="left" w:pos="1191"/>
                <w:tab w:val="left" w:pos="1588"/>
                <w:tab w:val="left" w:pos="1985"/>
              </w:tabs>
              <w:snapToGrid w:val="0"/>
              <w:spacing w:before="0" w:after="120"/>
              <w:rPr>
                <w:i/>
                <w:iCs/>
                <w:color w:val="000000"/>
                <w:szCs w:val="24"/>
                <w:lang w:val="en-US"/>
              </w:rPr>
            </w:pPr>
            <w:hyperlink r:id="rId13" w:history="1">
              <w:r w:rsidR="00F61858" w:rsidRPr="00F61858">
                <w:rPr>
                  <w:rStyle w:val="Hyperlink"/>
                  <w:szCs w:val="24"/>
                </w:rPr>
                <w:t>WTDC-17/85</w:t>
              </w:r>
            </w:hyperlink>
          </w:p>
        </w:tc>
      </w:tr>
    </w:tbl>
    <w:p w14:paraId="7CEF701F" w14:textId="7DF39A0D" w:rsidR="007E779B" w:rsidRPr="00F61858" w:rsidRDefault="001978E8" w:rsidP="00AE0278">
      <w:pPr>
        <w:tabs>
          <w:tab w:val="clear" w:pos="567"/>
          <w:tab w:val="clear" w:pos="1134"/>
          <w:tab w:val="clear" w:pos="1701"/>
          <w:tab w:val="clear" w:pos="2268"/>
          <w:tab w:val="clear" w:pos="2835"/>
        </w:tabs>
        <w:overflowPunct/>
        <w:autoSpaceDE/>
        <w:autoSpaceDN/>
        <w:adjustRightInd/>
        <w:spacing w:before="840"/>
        <w:jc w:val="center"/>
        <w:textAlignment w:val="auto"/>
      </w:pPr>
      <w:r w:rsidRPr="00F61858">
        <w:lastRenderedPageBreak/>
        <w:t>_______________</w:t>
      </w:r>
    </w:p>
    <w:sectPr w:rsidR="007E779B" w:rsidRPr="00F61858"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76520" w14:textId="77777777" w:rsidR="00E378C5" w:rsidRDefault="00E378C5">
      <w:r>
        <w:separator/>
      </w:r>
    </w:p>
  </w:endnote>
  <w:endnote w:type="continuationSeparator" w:id="0">
    <w:p w14:paraId="5C776521" w14:textId="77777777" w:rsidR="00E378C5" w:rsidRDefault="00E3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6524" w14:textId="22EEB300" w:rsidR="00CB18FF" w:rsidRDefault="00AB2815" w:rsidP="00AB2815">
    <w:pPr>
      <w:pStyle w:val="Footer"/>
    </w:pPr>
    <w:r w:rsidRPr="00907232">
      <w:rPr>
        <w:color w:val="D9D9D9"/>
      </w:rPr>
      <w:fldChar w:fldCharType="begin"/>
    </w:r>
    <w:r w:rsidRPr="00907232">
      <w:rPr>
        <w:color w:val="D9D9D9"/>
      </w:rPr>
      <w:instrText xml:space="preserve"> FILENAME \p \* MERGEFORMAT </w:instrText>
    </w:r>
    <w:r w:rsidRPr="00907232">
      <w:rPr>
        <w:color w:val="D9D9D9"/>
      </w:rPr>
      <w:fldChar w:fldCharType="separate"/>
    </w:r>
    <w:r w:rsidR="004443CC">
      <w:rPr>
        <w:color w:val="D9D9D9"/>
      </w:rPr>
      <w:t>N:\CWFHR\2018\EIGHTH MEETING\2 WTDC 17 BUDGET CONTROL CTTEE.docx</w:t>
    </w:r>
    <w:r w:rsidRPr="00907232">
      <w:rPr>
        <w:color w:val="D9D9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6525"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7651E" w14:textId="77777777" w:rsidR="00E378C5" w:rsidRDefault="00E378C5">
      <w:r>
        <w:t>____________________</w:t>
      </w:r>
    </w:p>
  </w:footnote>
  <w:footnote w:type="continuationSeparator" w:id="0">
    <w:p w14:paraId="5C77651F" w14:textId="77777777" w:rsidR="00E378C5" w:rsidRDefault="00E37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6522" w14:textId="5F46AC67" w:rsidR="00322D0D" w:rsidRPr="00AE0278" w:rsidRDefault="00812C1F" w:rsidP="00812C1F">
    <w:pPr>
      <w:pStyle w:val="Header"/>
      <w:rPr>
        <w:sz w:val="20"/>
      </w:rPr>
    </w:pPr>
    <w:r w:rsidRPr="00AE0278">
      <w:rPr>
        <w:sz w:val="20"/>
      </w:rPr>
      <w:t>- 2 -</w:t>
    </w:r>
  </w:p>
  <w:p w14:paraId="5C776523" w14:textId="603EA5BD" w:rsidR="00322D0D" w:rsidRPr="00AE0278" w:rsidRDefault="00AB2815" w:rsidP="00BA6BF7">
    <w:pPr>
      <w:pStyle w:val="Header"/>
      <w:rPr>
        <w:sz w:val="20"/>
      </w:rPr>
    </w:pPr>
    <w:r w:rsidRPr="00AE0278">
      <w:rPr>
        <w:sz w:val="20"/>
      </w:rPr>
      <w:t>C1</w:t>
    </w:r>
    <w:r w:rsidR="00C863C3" w:rsidRPr="00AE0278">
      <w:rPr>
        <w:sz w:val="20"/>
      </w:rPr>
      <w:t>8</w:t>
    </w:r>
    <w:r w:rsidR="00F61858" w:rsidRPr="00AE0278">
      <w:rPr>
        <w:sz w:val="20"/>
      </w:rPr>
      <w:t>/</w:t>
    </w:r>
    <w:r w:rsidR="00BA6BF7">
      <w:rPr>
        <w:sz w:val="20"/>
      </w:rPr>
      <w:t>62</w:t>
    </w:r>
    <w:r w:rsidR="00E378C5" w:rsidRPr="00AE0278">
      <w:rPr>
        <w:sz w:val="20"/>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47FA6"/>
    <w:rsid w:val="00063016"/>
    <w:rsid w:val="00071453"/>
    <w:rsid w:val="00076AF6"/>
    <w:rsid w:val="00085CF2"/>
    <w:rsid w:val="0008758F"/>
    <w:rsid w:val="000B1705"/>
    <w:rsid w:val="000B6312"/>
    <w:rsid w:val="000C65AF"/>
    <w:rsid w:val="000D0A1A"/>
    <w:rsid w:val="000D75B2"/>
    <w:rsid w:val="000F643A"/>
    <w:rsid w:val="001121F5"/>
    <w:rsid w:val="00116798"/>
    <w:rsid w:val="00130665"/>
    <w:rsid w:val="00134B94"/>
    <w:rsid w:val="00140CE1"/>
    <w:rsid w:val="00144165"/>
    <w:rsid w:val="00146255"/>
    <w:rsid w:val="0017539C"/>
    <w:rsid w:val="00175AC2"/>
    <w:rsid w:val="0017609F"/>
    <w:rsid w:val="001845FA"/>
    <w:rsid w:val="00194167"/>
    <w:rsid w:val="001978E8"/>
    <w:rsid w:val="001C1411"/>
    <w:rsid w:val="001C49AB"/>
    <w:rsid w:val="001C628E"/>
    <w:rsid w:val="001E0F7B"/>
    <w:rsid w:val="002119FD"/>
    <w:rsid w:val="002130E0"/>
    <w:rsid w:val="002209BB"/>
    <w:rsid w:val="00257BDE"/>
    <w:rsid w:val="00265875"/>
    <w:rsid w:val="0027303B"/>
    <w:rsid w:val="0028109B"/>
    <w:rsid w:val="002B1F58"/>
    <w:rsid w:val="002C1C7A"/>
    <w:rsid w:val="002C5104"/>
    <w:rsid w:val="002F31F4"/>
    <w:rsid w:val="0030160F"/>
    <w:rsid w:val="00322D0D"/>
    <w:rsid w:val="00332B57"/>
    <w:rsid w:val="00337B29"/>
    <w:rsid w:val="00354B90"/>
    <w:rsid w:val="00375357"/>
    <w:rsid w:val="003921CF"/>
    <w:rsid w:val="003942D4"/>
    <w:rsid w:val="003958A8"/>
    <w:rsid w:val="003A254F"/>
    <w:rsid w:val="003C2533"/>
    <w:rsid w:val="003C3490"/>
    <w:rsid w:val="003C36E0"/>
    <w:rsid w:val="0040435A"/>
    <w:rsid w:val="00416A24"/>
    <w:rsid w:val="00431D9E"/>
    <w:rsid w:val="00433CE8"/>
    <w:rsid w:val="00434A5C"/>
    <w:rsid w:val="004443CC"/>
    <w:rsid w:val="004544D9"/>
    <w:rsid w:val="00490E72"/>
    <w:rsid w:val="004921C8"/>
    <w:rsid w:val="0049335F"/>
    <w:rsid w:val="004D1851"/>
    <w:rsid w:val="004D599D"/>
    <w:rsid w:val="004E2EA5"/>
    <w:rsid w:val="004E3AEB"/>
    <w:rsid w:val="0050223C"/>
    <w:rsid w:val="005174ED"/>
    <w:rsid w:val="005215E1"/>
    <w:rsid w:val="00521734"/>
    <w:rsid w:val="005243FF"/>
    <w:rsid w:val="00564FBC"/>
    <w:rsid w:val="00582442"/>
    <w:rsid w:val="005B2D7A"/>
    <w:rsid w:val="00601286"/>
    <w:rsid w:val="006241B0"/>
    <w:rsid w:val="00637BE0"/>
    <w:rsid w:val="00650CAB"/>
    <w:rsid w:val="006535F1"/>
    <w:rsid w:val="0065557D"/>
    <w:rsid w:val="00662984"/>
    <w:rsid w:val="006716BB"/>
    <w:rsid w:val="006A2673"/>
    <w:rsid w:val="006B6DCC"/>
    <w:rsid w:val="00733824"/>
    <w:rsid w:val="00745ABC"/>
    <w:rsid w:val="0075051B"/>
    <w:rsid w:val="00794D34"/>
    <w:rsid w:val="007E0E5F"/>
    <w:rsid w:val="007E779B"/>
    <w:rsid w:val="00812C1F"/>
    <w:rsid w:val="00813E5E"/>
    <w:rsid w:val="0083581B"/>
    <w:rsid w:val="00850C0B"/>
    <w:rsid w:val="00864AFF"/>
    <w:rsid w:val="00866C6F"/>
    <w:rsid w:val="008A7676"/>
    <w:rsid w:val="008B4A6A"/>
    <w:rsid w:val="008C6F6A"/>
    <w:rsid w:val="008C7E27"/>
    <w:rsid w:val="008D23F8"/>
    <w:rsid w:val="008D4D71"/>
    <w:rsid w:val="00907232"/>
    <w:rsid w:val="00907942"/>
    <w:rsid w:val="00910832"/>
    <w:rsid w:val="0091285A"/>
    <w:rsid w:val="009173EF"/>
    <w:rsid w:val="00932906"/>
    <w:rsid w:val="009370A0"/>
    <w:rsid w:val="00961B0B"/>
    <w:rsid w:val="009B38C3"/>
    <w:rsid w:val="009E17BD"/>
    <w:rsid w:val="00A0337F"/>
    <w:rsid w:val="00A04CEC"/>
    <w:rsid w:val="00A17E91"/>
    <w:rsid w:val="00A27F92"/>
    <w:rsid w:val="00A32257"/>
    <w:rsid w:val="00A36D20"/>
    <w:rsid w:val="00A36D40"/>
    <w:rsid w:val="00A37A87"/>
    <w:rsid w:val="00A55622"/>
    <w:rsid w:val="00A83502"/>
    <w:rsid w:val="00A90058"/>
    <w:rsid w:val="00AB2815"/>
    <w:rsid w:val="00AE0278"/>
    <w:rsid w:val="00AF6E49"/>
    <w:rsid w:val="00B04A67"/>
    <w:rsid w:val="00B0583C"/>
    <w:rsid w:val="00B40A81"/>
    <w:rsid w:val="00B44910"/>
    <w:rsid w:val="00B52DB2"/>
    <w:rsid w:val="00B55968"/>
    <w:rsid w:val="00B72267"/>
    <w:rsid w:val="00B76EB6"/>
    <w:rsid w:val="00B824C8"/>
    <w:rsid w:val="00BA6BF7"/>
    <w:rsid w:val="00BB2907"/>
    <w:rsid w:val="00BC251A"/>
    <w:rsid w:val="00BD032B"/>
    <w:rsid w:val="00BE2640"/>
    <w:rsid w:val="00C01189"/>
    <w:rsid w:val="00C011D2"/>
    <w:rsid w:val="00C374DE"/>
    <w:rsid w:val="00C40E41"/>
    <w:rsid w:val="00C47AD4"/>
    <w:rsid w:val="00C52D81"/>
    <w:rsid w:val="00C55198"/>
    <w:rsid w:val="00C863C3"/>
    <w:rsid w:val="00CA6393"/>
    <w:rsid w:val="00CB18FF"/>
    <w:rsid w:val="00CD0C08"/>
    <w:rsid w:val="00CE03FB"/>
    <w:rsid w:val="00CE433C"/>
    <w:rsid w:val="00CF33F3"/>
    <w:rsid w:val="00D06183"/>
    <w:rsid w:val="00D22C42"/>
    <w:rsid w:val="00D27DE9"/>
    <w:rsid w:val="00D303CC"/>
    <w:rsid w:val="00D42F8D"/>
    <w:rsid w:val="00D65041"/>
    <w:rsid w:val="00D73243"/>
    <w:rsid w:val="00D770ED"/>
    <w:rsid w:val="00D80F9B"/>
    <w:rsid w:val="00DF0587"/>
    <w:rsid w:val="00DF3E96"/>
    <w:rsid w:val="00E00541"/>
    <w:rsid w:val="00E10E80"/>
    <w:rsid w:val="00E124F0"/>
    <w:rsid w:val="00E36A07"/>
    <w:rsid w:val="00E378C5"/>
    <w:rsid w:val="00E60F04"/>
    <w:rsid w:val="00EB0D6F"/>
    <w:rsid w:val="00EB2232"/>
    <w:rsid w:val="00EB54D7"/>
    <w:rsid w:val="00EC5337"/>
    <w:rsid w:val="00EF5274"/>
    <w:rsid w:val="00F130B0"/>
    <w:rsid w:val="00F2150A"/>
    <w:rsid w:val="00F231D8"/>
    <w:rsid w:val="00F46C5F"/>
    <w:rsid w:val="00F5289D"/>
    <w:rsid w:val="00F61858"/>
    <w:rsid w:val="00F77E5F"/>
    <w:rsid w:val="00F94A63"/>
    <w:rsid w:val="00FB7596"/>
    <w:rsid w:val="00FD1144"/>
    <w:rsid w:val="00FE4077"/>
    <w:rsid w:val="00FE77D2"/>
    <w:rsid w:val="00FF15DF"/>
    <w:rsid w:val="00FF6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C7764F9"/>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011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11D2"/>
    <w:rPr>
      <w:rFonts w:ascii="Segoe UI" w:hAnsi="Segoe UI" w:cs="Segoe UI"/>
      <w:sz w:val="18"/>
      <w:szCs w:val="18"/>
      <w:lang w:val="en-GB" w:eastAsia="en-US"/>
    </w:rPr>
  </w:style>
  <w:style w:type="character" w:styleId="CommentReference">
    <w:name w:val="annotation reference"/>
    <w:basedOn w:val="DefaultParagraphFont"/>
    <w:semiHidden/>
    <w:unhideWhenUsed/>
    <w:rsid w:val="00C011D2"/>
    <w:rPr>
      <w:sz w:val="16"/>
      <w:szCs w:val="16"/>
    </w:rPr>
  </w:style>
  <w:style w:type="paragraph" w:styleId="CommentText">
    <w:name w:val="annotation text"/>
    <w:basedOn w:val="Normal"/>
    <w:link w:val="CommentTextChar"/>
    <w:semiHidden/>
    <w:unhideWhenUsed/>
    <w:rsid w:val="00C011D2"/>
    <w:rPr>
      <w:sz w:val="20"/>
    </w:rPr>
  </w:style>
  <w:style w:type="character" w:customStyle="1" w:styleId="CommentTextChar">
    <w:name w:val="Comment Text Char"/>
    <w:basedOn w:val="DefaultParagraphFont"/>
    <w:link w:val="CommentText"/>
    <w:semiHidden/>
    <w:rsid w:val="00C011D2"/>
    <w:rPr>
      <w:rFonts w:ascii="Calibri" w:hAnsi="Calibri"/>
      <w:lang w:val="en-GB" w:eastAsia="en-US"/>
    </w:rPr>
  </w:style>
  <w:style w:type="paragraph" w:styleId="CommentSubject">
    <w:name w:val="annotation subject"/>
    <w:basedOn w:val="CommentText"/>
    <w:next w:val="CommentText"/>
    <w:link w:val="CommentSubjectChar"/>
    <w:semiHidden/>
    <w:unhideWhenUsed/>
    <w:rsid w:val="00C011D2"/>
    <w:rPr>
      <w:b/>
      <w:bCs/>
    </w:rPr>
  </w:style>
  <w:style w:type="character" w:customStyle="1" w:styleId="CommentSubjectChar">
    <w:name w:val="Comment Subject Char"/>
    <w:basedOn w:val="CommentTextChar"/>
    <w:link w:val="CommentSubject"/>
    <w:semiHidden/>
    <w:rsid w:val="00C011D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4-WTDC17-C-0085/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4-WTDC17-C-0085/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6D2B-EC23-485A-8DE3-416B649FD9C2}">
  <ds:schemaRefs>
    <ds:schemaRef ds:uri="http://schemas.microsoft.com/sharepoint/v3/contenttype/forms"/>
  </ds:schemaRefs>
</ds:datastoreItem>
</file>

<file path=customXml/itemProps2.xml><?xml version="1.0" encoding="utf-8"?>
<ds:datastoreItem xmlns:ds="http://schemas.openxmlformats.org/officeDocument/2006/customXml" ds:itemID="{CB02CFFA-6ACE-42BF-8F51-18FFA299B5B6}">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B7E9F9A-D116-4A64-B4DF-000F9E362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D32526-47A0-40E4-9963-3E7CE290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Report of the budget control committee on WTDC-17</vt:lpstr>
    </vt:vector>
  </TitlesOfParts>
  <Manager>General Secretariat - Pool</Manager>
  <Company>International Telecommunication Union (ITU)</Company>
  <LinksUpToDate>false</LinksUpToDate>
  <CharactersWithSpaces>2486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budget control committee on WTDC-17</dc:title>
  <dc:subject>Council 2018</dc:subject>
  <dc:creator>Fabry-Fredriksen, Marianne</dc:creator>
  <cp:keywords>C2018, C18</cp:keywords>
  <dc:description/>
  <cp:lastModifiedBy>Janin</cp:lastModifiedBy>
  <cp:revision>5</cp:revision>
  <cp:lastPrinted>2017-01-25T14:18:00Z</cp:lastPrinted>
  <dcterms:created xsi:type="dcterms:W3CDTF">2017-11-17T08:20:00Z</dcterms:created>
  <dcterms:modified xsi:type="dcterms:W3CDTF">2018-02-14T13:45:00Z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