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1914D7">
            <w:pPr>
              <w:spacing w:before="0"/>
              <w:rPr>
                <w:b/>
                <w:bCs/>
                <w:szCs w:val="24"/>
              </w:rPr>
            </w:pPr>
            <w:r>
              <w:rPr>
                <w:b/>
                <w:bCs/>
                <w:szCs w:val="24"/>
              </w:rPr>
              <w:t>Documento C1</w:t>
            </w:r>
            <w:r w:rsidR="009F4811">
              <w:rPr>
                <w:b/>
                <w:bCs/>
                <w:szCs w:val="24"/>
              </w:rPr>
              <w:t>8</w:t>
            </w:r>
            <w:r>
              <w:rPr>
                <w:b/>
                <w:bCs/>
                <w:szCs w:val="24"/>
              </w:rPr>
              <w:t>/</w:t>
            </w:r>
            <w:r w:rsidR="001914D7">
              <w:rPr>
                <w:b/>
                <w:bCs/>
                <w:szCs w:val="24"/>
              </w:rPr>
              <w:t>119</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1914D7" w:rsidP="00A80C50">
            <w:pPr>
              <w:spacing w:before="0"/>
              <w:rPr>
                <w:b/>
                <w:bCs/>
                <w:szCs w:val="24"/>
              </w:rPr>
            </w:pPr>
            <w:r w:rsidRPr="001914D7">
              <w:rPr>
                <w:b/>
                <w:bCs/>
                <w:szCs w:val="24"/>
              </w:rPr>
              <w:t>1</w:t>
            </w:r>
            <w:r w:rsidR="00A80C50">
              <w:rPr>
                <w:b/>
                <w:bCs/>
                <w:szCs w:val="24"/>
              </w:rPr>
              <w:t>7</w:t>
            </w:r>
            <w:bookmarkStart w:id="6" w:name="_GoBack"/>
            <w:bookmarkEnd w:id="6"/>
            <w:r w:rsidRPr="001914D7">
              <w:rPr>
                <w:b/>
                <w:bCs/>
                <w:szCs w:val="24"/>
              </w:rPr>
              <w:t xml:space="preserve"> de mayo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93EEB">
            <w:pPr>
              <w:pStyle w:val="Source"/>
            </w:pPr>
            <w:bookmarkStart w:id="8" w:name="dsource" w:colFirst="0" w:colLast="0"/>
            <w:bookmarkEnd w:id="1"/>
            <w:bookmarkEnd w:id="7"/>
          </w:p>
        </w:tc>
      </w:tr>
      <w:tr w:rsidR="00093EEB" w:rsidRPr="000B0D00">
        <w:trPr>
          <w:cantSplit/>
        </w:trPr>
        <w:tc>
          <w:tcPr>
            <w:tcW w:w="10173" w:type="dxa"/>
            <w:gridSpan w:val="2"/>
          </w:tcPr>
          <w:p w:rsidR="001914D7" w:rsidRDefault="001914D7" w:rsidP="00D54102">
            <w:pPr>
              <w:pStyle w:val="Title1"/>
            </w:pPr>
            <w:bookmarkStart w:id="9" w:name="dtitle1" w:colFirst="0" w:colLast="0"/>
            <w:bookmarkEnd w:id="8"/>
            <w:r>
              <w:t>RESUMEN DE LOS DEBATES</w:t>
            </w:r>
          </w:p>
          <w:p w:rsidR="00D54102" w:rsidRDefault="001914D7" w:rsidP="001914D7">
            <w:pPr>
              <w:pStyle w:val="Title1"/>
            </w:pPr>
            <w:r>
              <w:t xml:space="preserve">DE LA </w:t>
            </w:r>
          </w:p>
          <w:p w:rsidR="00093EEB" w:rsidRPr="000B0D00" w:rsidRDefault="001914D7" w:rsidP="001914D7">
            <w:pPr>
              <w:pStyle w:val="Title1"/>
            </w:pPr>
            <w:r>
              <w:t>SÉPTIMA SESIÓN PLENARIA</w:t>
            </w:r>
          </w:p>
        </w:tc>
      </w:tr>
      <w:tr w:rsidR="001914D7" w:rsidRPr="000B0D00">
        <w:trPr>
          <w:cantSplit/>
        </w:trPr>
        <w:tc>
          <w:tcPr>
            <w:tcW w:w="10173" w:type="dxa"/>
            <w:gridSpan w:val="2"/>
          </w:tcPr>
          <w:p w:rsidR="001914D7" w:rsidRPr="001914D7" w:rsidRDefault="001914D7" w:rsidP="001914D7">
            <w:pPr>
              <w:pStyle w:val="Title1"/>
              <w:rPr>
                <w:sz w:val="24"/>
                <w:szCs w:val="24"/>
              </w:rPr>
            </w:pPr>
            <w:r w:rsidRPr="001914D7">
              <w:rPr>
                <w:caps w:val="0"/>
                <w:sz w:val="24"/>
                <w:szCs w:val="24"/>
              </w:rPr>
              <w:t>Miércoles</w:t>
            </w:r>
            <w:r w:rsidRPr="001914D7">
              <w:rPr>
                <w:sz w:val="24"/>
                <w:szCs w:val="24"/>
              </w:rPr>
              <w:t xml:space="preserve">, 25 </w:t>
            </w:r>
            <w:r w:rsidRPr="001914D7">
              <w:rPr>
                <w:caps w:val="0"/>
                <w:sz w:val="24"/>
                <w:szCs w:val="24"/>
              </w:rPr>
              <w:t xml:space="preserve">de abril de </w:t>
            </w:r>
            <w:r w:rsidRPr="001914D7">
              <w:rPr>
                <w:sz w:val="24"/>
                <w:szCs w:val="24"/>
              </w:rPr>
              <w:t xml:space="preserve">2018, </w:t>
            </w:r>
            <w:r w:rsidRPr="001914D7">
              <w:rPr>
                <w:caps w:val="0"/>
                <w:sz w:val="24"/>
                <w:szCs w:val="24"/>
              </w:rPr>
              <w:t xml:space="preserve">de las </w:t>
            </w:r>
            <w:r w:rsidRPr="001914D7">
              <w:rPr>
                <w:sz w:val="24"/>
                <w:szCs w:val="24"/>
              </w:rPr>
              <w:t xml:space="preserve">16.00 </w:t>
            </w:r>
            <w:r w:rsidRPr="001914D7">
              <w:rPr>
                <w:caps w:val="0"/>
                <w:sz w:val="24"/>
                <w:szCs w:val="24"/>
              </w:rPr>
              <w:t xml:space="preserve">a las </w:t>
            </w:r>
            <w:r w:rsidRPr="001914D7">
              <w:rPr>
                <w:sz w:val="24"/>
                <w:szCs w:val="24"/>
              </w:rPr>
              <w:t xml:space="preserve">16.40 </w:t>
            </w:r>
            <w:r w:rsidRPr="001914D7">
              <w:rPr>
                <w:caps w:val="0"/>
                <w:sz w:val="24"/>
                <w:szCs w:val="24"/>
              </w:rPr>
              <w:t>horas</w:t>
            </w:r>
          </w:p>
        </w:tc>
      </w:tr>
      <w:tr w:rsidR="001914D7" w:rsidRPr="000B0D00">
        <w:trPr>
          <w:cantSplit/>
        </w:trPr>
        <w:tc>
          <w:tcPr>
            <w:tcW w:w="10173" w:type="dxa"/>
            <w:gridSpan w:val="2"/>
          </w:tcPr>
          <w:p w:rsidR="001914D7" w:rsidRPr="001914D7" w:rsidRDefault="001914D7" w:rsidP="001914D7">
            <w:pPr>
              <w:pStyle w:val="Title1"/>
              <w:rPr>
                <w:sz w:val="24"/>
                <w:szCs w:val="24"/>
              </w:rPr>
            </w:pPr>
            <w:r w:rsidRPr="00560371">
              <w:rPr>
                <w:b/>
                <w:bCs/>
                <w:caps w:val="0"/>
                <w:sz w:val="24"/>
                <w:szCs w:val="24"/>
              </w:rPr>
              <w:t>Presidente</w:t>
            </w:r>
            <w:r w:rsidRPr="001914D7">
              <w:rPr>
                <w:sz w:val="24"/>
                <w:szCs w:val="24"/>
              </w:rPr>
              <w:t xml:space="preserve">: </w:t>
            </w:r>
            <w:r w:rsidRPr="001914D7">
              <w:rPr>
                <w:caps w:val="0"/>
                <w:sz w:val="24"/>
                <w:szCs w:val="24"/>
              </w:rPr>
              <w:t>Sr</w:t>
            </w:r>
            <w:r w:rsidRPr="001914D7">
              <w:rPr>
                <w:sz w:val="24"/>
                <w:szCs w:val="24"/>
              </w:rPr>
              <w:t xml:space="preserve">. R. </w:t>
            </w:r>
            <w:r w:rsidRPr="001914D7">
              <w:rPr>
                <w:caps w:val="0"/>
                <w:sz w:val="24"/>
                <w:szCs w:val="24"/>
              </w:rPr>
              <w:t xml:space="preserve">ISMAILOV </w:t>
            </w:r>
            <w:r w:rsidRPr="001914D7">
              <w:rPr>
                <w:sz w:val="24"/>
                <w:szCs w:val="24"/>
              </w:rPr>
              <w:t>(</w:t>
            </w:r>
            <w:r w:rsidRPr="001914D7">
              <w:rPr>
                <w:caps w:val="0"/>
                <w:sz w:val="24"/>
                <w:szCs w:val="24"/>
              </w:rPr>
              <w:t>Federación de Rusia</w:t>
            </w:r>
            <w:r w:rsidRPr="001914D7">
              <w:rPr>
                <w:sz w:val="24"/>
                <w:szCs w:val="24"/>
              </w:rPr>
              <w:t>)</w:t>
            </w:r>
          </w:p>
        </w:tc>
      </w:tr>
      <w:bookmarkEnd w:id="9"/>
    </w:tbl>
    <w:p w:rsidR="00093EEB" w:rsidRPr="000B0D00" w:rsidRDefault="00093EEB"/>
    <w:tbl>
      <w:tblPr>
        <w:tblW w:w="5221" w:type="pct"/>
        <w:tblLook w:val="0000" w:firstRow="0" w:lastRow="0" w:firstColumn="0" w:lastColumn="0" w:noHBand="0" w:noVBand="0"/>
      </w:tblPr>
      <w:tblGrid>
        <w:gridCol w:w="505"/>
        <w:gridCol w:w="7575"/>
        <w:gridCol w:w="1985"/>
      </w:tblGrid>
      <w:tr w:rsidR="001914D7" w:rsidRPr="00224CB8" w:rsidTr="00AA4091">
        <w:tc>
          <w:tcPr>
            <w:tcW w:w="251" w:type="pct"/>
          </w:tcPr>
          <w:p w:rsidR="001914D7" w:rsidRPr="00560371" w:rsidRDefault="001914D7" w:rsidP="00560371">
            <w:pPr>
              <w:spacing w:after="120"/>
              <w:rPr>
                <w:b/>
              </w:rPr>
            </w:pPr>
            <w:r w:rsidRPr="00560371">
              <w:rPr>
                <w:b/>
                <w:lang w:val="es"/>
              </w:rPr>
              <w:br w:type="page"/>
            </w:r>
            <w:r w:rsidRPr="00560371">
              <w:rPr>
                <w:b/>
                <w:lang w:val="es"/>
              </w:rPr>
              <w:br w:type="page"/>
            </w:r>
          </w:p>
        </w:tc>
        <w:tc>
          <w:tcPr>
            <w:tcW w:w="3763" w:type="pct"/>
          </w:tcPr>
          <w:p w:rsidR="001914D7" w:rsidRPr="00560371" w:rsidRDefault="001914D7" w:rsidP="00560371">
            <w:pPr>
              <w:spacing w:after="120"/>
              <w:rPr>
                <w:b/>
              </w:rPr>
            </w:pPr>
            <w:r w:rsidRPr="00560371">
              <w:rPr>
                <w:b/>
                <w:lang w:val="es"/>
              </w:rPr>
              <w:t>Asuntos tratados</w:t>
            </w:r>
          </w:p>
        </w:tc>
        <w:tc>
          <w:tcPr>
            <w:tcW w:w="986" w:type="pct"/>
          </w:tcPr>
          <w:p w:rsidR="001914D7" w:rsidRPr="00560371" w:rsidRDefault="001914D7" w:rsidP="00560371">
            <w:pPr>
              <w:spacing w:after="120"/>
              <w:jc w:val="center"/>
              <w:rPr>
                <w:b/>
              </w:rPr>
            </w:pPr>
            <w:r w:rsidRPr="00560371">
              <w:rPr>
                <w:b/>
                <w:lang w:val="es"/>
              </w:rPr>
              <w:t>Documentos</w:t>
            </w:r>
          </w:p>
        </w:tc>
      </w:tr>
      <w:tr w:rsidR="001914D7" w:rsidRPr="00224CB8" w:rsidTr="00AA4091">
        <w:tc>
          <w:tcPr>
            <w:tcW w:w="251" w:type="pct"/>
          </w:tcPr>
          <w:p w:rsidR="001914D7" w:rsidRPr="00224CB8" w:rsidRDefault="001914D7" w:rsidP="00AA4091">
            <w:r>
              <w:rPr>
                <w:lang w:val="es"/>
              </w:rPr>
              <w:t>1</w:t>
            </w:r>
          </w:p>
        </w:tc>
        <w:tc>
          <w:tcPr>
            <w:tcW w:w="3763" w:type="pct"/>
          </w:tcPr>
          <w:p w:rsidR="001914D7" w:rsidRPr="00224CB8" w:rsidRDefault="001914D7" w:rsidP="00AA4091">
            <w:r>
              <w:rPr>
                <w:lang w:val="es"/>
              </w:rPr>
              <w:t>Anuncio del consejero de Bulgaria</w:t>
            </w:r>
          </w:p>
        </w:tc>
        <w:tc>
          <w:tcPr>
            <w:tcW w:w="986" w:type="pct"/>
          </w:tcPr>
          <w:p w:rsidR="001914D7" w:rsidRPr="00224CB8" w:rsidRDefault="001914D7" w:rsidP="00AA4091">
            <w:pPr>
              <w:jc w:val="center"/>
            </w:pPr>
            <w:r>
              <w:rPr>
                <w:lang w:val="es"/>
              </w:rPr>
              <w:t>–</w:t>
            </w:r>
          </w:p>
        </w:tc>
      </w:tr>
      <w:tr w:rsidR="001914D7" w:rsidRPr="00224CB8" w:rsidTr="00AA4091">
        <w:tc>
          <w:tcPr>
            <w:tcW w:w="251" w:type="pct"/>
          </w:tcPr>
          <w:p w:rsidR="001914D7" w:rsidRPr="00224CB8" w:rsidRDefault="001914D7" w:rsidP="00AA4091">
            <w:r>
              <w:rPr>
                <w:lang w:val="es"/>
              </w:rPr>
              <w:t>2</w:t>
            </w:r>
          </w:p>
        </w:tc>
        <w:tc>
          <w:tcPr>
            <w:tcW w:w="3763" w:type="pct"/>
          </w:tcPr>
          <w:p w:rsidR="001914D7" w:rsidRPr="00224CB8" w:rsidRDefault="001914D7" w:rsidP="00AA4091">
            <w:r>
              <w:rPr>
                <w:lang w:val="es"/>
              </w:rPr>
              <w:t>Fechas propuestas y duración de las reuniones de 2019, 2020 y 2021 del Consejo (continuación)</w:t>
            </w:r>
          </w:p>
        </w:tc>
        <w:tc>
          <w:tcPr>
            <w:tcW w:w="986" w:type="pct"/>
          </w:tcPr>
          <w:p w:rsidR="001914D7" w:rsidRPr="00224CB8" w:rsidRDefault="00A80C50" w:rsidP="00AA4091">
            <w:pPr>
              <w:jc w:val="center"/>
            </w:pPr>
            <w:hyperlink r:id="rId8" w:history="1">
              <w:r w:rsidR="001914D7">
                <w:rPr>
                  <w:rStyle w:val="Hyperlink"/>
                  <w:lang w:val="es"/>
                </w:rPr>
                <w:t>C18/2</w:t>
              </w:r>
            </w:hyperlink>
          </w:p>
        </w:tc>
      </w:tr>
      <w:tr w:rsidR="001914D7" w:rsidRPr="00A80C50" w:rsidTr="00AA4091">
        <w:tc>
          <w:tcPr>
            <w:tcW w:w="251" w:type="pct"/>
          </w:tcPr>
          <w:p w:rsidR="001914D7" w:rsidRPr="00224CB8" w:rsidRDefault="001914D7" w:rsidP="00AA4091">
            <w:r>
              <w:rPr>
                <w:lang w:val="es"/>
              </w:rPr>
              <w:t>3</w:t>
            </w:r>
          </w:p>
        </w:tc>
        <w:tc>
          <w:tcPr>
            <w:tcW w:w="3763" w:type="pct"/>
          </w:tcPr>
          <w:p w:rsidR="001914D7" w:rsidRDefault="001914D7" w:rsidP="00D54102">
            <w:r>
              <w:rPr>
                <w:lang w:val="es"/>
              </w:rPr>
              <w:t>Informe oral de la President</w:t>
            </w:r>
            <w:r w:rsidR="00D54102">
              <w:rPr>
                <w:lang w:val="es"/>
              </w:rPr>
              <w:t>a</w:t>
            </w:r>
            <w:r>
              <w:rPr>
                <w:lang w:val="es"/>
              </w:rPr>
              <w:t xml:space="preserve"> de la Comisión Permanente sobre Administración y Gestión</w:t>
            </w:r>
          </w:p>
        </w:tc>
        <w:tc>
          <w:tcPr>
            <w:tcW w:w="986" w:type="pct"/>
          </w:tcPr>
          <w:p w:rsidR="001914D7" w:rsidRPr="001914D7" w:rsidRDefault="00A80C50" w:rsidP="00560371">
            <w:pPr>
              <w:jc w:val="center"/>
              <w:rPr>
                <w:lang w:val="en-GB"/>
              </w:rPr>
            </w:pPr>
            <w:hyperlink r:id="rId9" w:history="1">
              <w:r w:rsidR="001914D7">
                <w:rPr>
                  <w:rStyle w:val="Hyperlink"/>
                  <w:lang w:val="en-GB"/>
                </w:rPr>
                <w:t>C18/85</w:t>
              </w:r>
              <w:r w:rsidR="001914D7" w:rsidRPr="001914D7">
                <w:rPr>
                  <w:rStyle w:val="Hyperlink"/>
                  <w:lang w:val="en-GB"/>
                </w:rPr>
                <w:t>(Rev.1)</w:t>
              </w:r>
            </w:hyperlink>
            <w:r w:rsidR="001914D7" w:rsidRPr="001914D7">
              <w:rPr>
                <w:lang w:val="en-GB"/>
              </w:rPr>
              <w:t xml:space="preserve">, </w:t>
            </w:r>
            <w:hyperlink r:id="rId10" w:history="1">
              <w:r w:rsidR="001914D7" w:rsidRPr="001914D7">
                <w:rPr>
                  <w:rStyle w:val="Hyperlink"/>
                  <w:lang w:val="en-GB"/>
                </w:rPr>
                <w:t>C18/DT/7</w:t>
              </w:r>
            </w:hyperlink>
            <w:r w:rsidR="001914D7" w:rsidRPr="001914D7">
              <w:rPr>
                <w:lang w:val="en-GB"/>
              </w:rPr>
              <w:t xml:space="preserve">, </w:t>
            </w:r>
            <w:hyperlink r:id="rId11" w:history="1">
              <w:r w:rsidR="001914D7">
                <w:rPr>
                  <w:rStyle w:val="Hyperlink"/>
                  <w:lang w:val="en-GB"/>
                </w:rPr>
                <w:t>C18/DT/8</w:t>
              </w:r>
              <w:r w:rsidR="001914D7" w:rsidRPr="001914D7">
                <w:rPr>
                  <w:rStyle w:val="Hyperlink"/>
                  <w:lang w:val="en-GB"/>
                </w:rPr>
                <w:t>(Rev.2)</w:t>
              </w:r>
            </w:hyperlink>
            <w:r w:rsidR="001914D7" w:rsidRPr="001914D7">
              <w:rPr>
                <w:lang w:val="en-GB"/>
              </w:rPr>
              <w:t>,</w:t>
            </w:r>
            <w:r w:rsidR="00560371">
              <w:rPr>
                <w:lang w:val="en-GB"/>
              </w:rPr>
              <w:t xml:space="preserve"> </w:t>
            </w:r>
            <w:hyperlink r:id="rId12" w:history="1">
              <w:r w:rsidR="001914D7" w:rsidRPr="001914D7">
                <w:rPr>
                  <w:rStyle w:val="Hyperlink"/>
                  <w:lang w:val="en-GB"/>
                </w:rPr>
                <w:t>C18/DT/9</w:t>
              </w:r>
            </w:hyperlink>
          </w:p>
        </w:tc>
      </w:tr>
    </w:tbl>
    <w:p w:rsidR="001914D7" w:rsidRPr="001914D7" w:rsidRDefault="001914D7" w:rsidP="00560371">
      <w:pPr>
        <w:rPr>
          <w:lang w:val="en-GB"/>
        </w:rPr>
      </w:pPr>
      <w:r w:rsidRPr="001914D7">
        <w:rPr>
          <w:lang w:val="en-GB"/>
        </w:rPr>
        <w:br w:type="page"/>
      </w:r>
    </w:p>
    <w:p w:rsidR="001914D7" w:rsidRPr="001914D7" w:rsidRDefault="001914D7" w:rsidP="00560371">
      <w:pPr>
        <w:pStyle w:val="Heading1"/>
        <w:rPr>
          <w:lang w:val="es-ES"/>
        </w:rPr>
      </w:pPr>
      <w:r w:rsidRPr="001914D7">
        <w:rPr>
          <w:lang w:val="es"/>
        </w:rPr>
        <w:lastRenderedPageBreak/>
        <w:t>1</w:t>
      </w:r>
      <w:r w:rsidRPr="001914D7">
        <w:rPr>
          <w:lang w:val="es"/>
        </w:rPr>
        <w:tab/>
        <w:t>Anuncio del consejero de Bulgaria</w:t>
      </w:r>
    </w:p>
    <w:p w:rsidR="001914D7" w:rsidRPr="001914D7" w:rsidRDefault="001914D7" w:rsidP="001914D7">
      <w:pPr>
        <w:rPr>
          <w:lang w:val="es-ES"/>
        </w:rPr>
      </w:pPr>
      <w:r w:rsidRPr="001914D7">
        <w:rPr>
          <w:lang w:val="es"/>
        </w:rPr>
        <w:t>1.1</w:t>
      </w:r>
      <w:r w:rsidRPr="001914D7">
        <w:rPr>
          <w:lang w:val="es"/>
        </w:rPr>
        <w:tab/>
        <w:t>El consejero de Bulgaria declara</w:t>
      </w:r>
      <w:r w:rsidR="00FF2C87">
        <w:rPr>
          <w:lang w:val="es"/>
        </w:rPr>
        <w:t>, en nombre de su Excelencia</w:t>
      </w:r>
      <w:r w:rsidR="00321301">
        <w:rPr>
          <w:lang w:val="es"/>
        </w:rPr>
        <w:t>,</w:t>
      </w:r>
      <w:r w:rsidR="00FF2C87">
        <w:rPr>
          <w:lang w:val="es"/>
        </w:rPr>
        <w:t xml:space="preserve"> </w:t>
      </w:r>
      <w:r w:rsidRPr="001914D7">
        <w:rPr>
          <w:lang w:val="es"/>
        </w:rPr>
        <w:t>el Sr. Dimitar GENOVSKI, Viceministro de Transporte, Tecnología de la Información y Comunicaciones, que su país se presentará a reelección para el Consejo en la PP-18.</w:t>
      </w:r>
    </w:p>
    <w:p w:rsidR="001914D7" w:rsidRPr="00560371" w:rsidRDefault="001914D7" w:rsidP="00560371">
      <w:pPr>
        <w:pStyle w:val="Heading1"/>
        <w:rPr>
          <w:lang w:val="es"/>
        </w:rPr>
      </w:pPr>
      <w:r w:rsidRPr="00560371">
        <w:rPr>
          <w:lang w:val="es"/>
        </w:rPr>
        <w:t>2</w:t>
      </w:r>
      <w:r w:rsidRPr="00560371">
        <w:rPr>
          <w:lang w:val="es"/>
        </w:rPr>
        <w:tab/>
        <w:t xml:space="preserve">Fechas propuestas y duración de las reuniones de 2019, 2020 y 2021 del Consejo (continuación) (Documento </w:t>
      </w:r>
      <w:hyperlink r:id="rId13" w:history="1">
        <w:r w:rsidRPr="00560371">
          <w:rPr>
            <w:rStyle w:val="Hyperlink"/>
            <w:lang w:val="es"/>
          </w:rPr>
          <w:t>C18/2</w:t>
        </w:r>
      </w:hyperlink>
      <w:r w:rsidRPr="00560371">
        <w:rPr>
          <w:lang w:val="es"/>
        </w:rPr>
        <w:t>)</w:t>
      </w:r>
    </w:p>
    <w:p w:rsidR="001914D7" w:rsidRPr="001914D7" w:rsidRDefault="001914D7" w:rsidP="00560371">
      <w:pPr>
        <w:rPr>
          <w:lang w:val="es-ES"/>
        </w:rPr>
      </w:pPr>
      <w:r w:rsidRPr="001914D7">
        <w:rPr>
          <w:lang w:val="es"/>
        </w:rPr>
        <w:t>2.1</w:t>
      </w:r>
      <w:r w:rsidRPr="001914D7">
        <w:rPr>
          <w:lang w:val="es"/>
        </w:rPr>
        <w:tab/>
        <w:t>Tras confirmar que las fechas propuestas del Consejo 2019 no se superponen con las del Consejo de Administración de la UPU ni coinciden con una festividad religiosa importante, el Presidente declara que el Consejo pudiera aprobar las fechas propuestas para las reuniones de</w:t>
      </w:r>
      <w:r w:rsidR="00560371">
        <w:rPr>
          <w:lang w:val="es"/>
        </w:rPr>
        <w:t> </w:t>
      </w:r>
      <w:r w:rsidRPr="001914D7">
        <w:rPr>
          <w:lang w:val="es"/>
        </w:rPr>
        <w:t>2019, 2020 y 2021 y adoptar, en consecuencia, el proyecto de decisión estipulado en el anexo al Documento C18/2.</w:t>
      </w:r>
    </w:p>
    <w:p w:rsidR="001914D7" w:rsidRPr="001914D7" w:rsidRDefault="001914D7" w:rsidP="001914D7">
      <w:pPr>
        <w:rPr>
          <w:lang w:val="es-ES"/>
        </w:rPr>
      </w:pPr>
      <w:r w:rsidRPr="001914D7">
        <w:rPr>
          <w:lang w:val="es"/>
        </w:rPr>
        <w:t>2.2</w:t>
      </w:r>
      <w:r w:rsidRPr="001914D7">
        <w:rPr>
          <w:lang w:val="es"/>
        </w:rPr>
        <w:tab/>
        <w:t xml:space="preserve">Así se </w:t>
      </w:r>
      <w:r w:rsidRPr="001914D7">
        <w:rPr>
          <w:b/>
          <w:bCs/>
          <w:lang w:val="es"/>
        </w:rPr>
        <w:t>acuerda</w:t>
      </w:r>
      <w:r w:rsidRPr="001914D7">
        <w:rPr>
          <w:lang w:val="es"/>
        </w:rPr>
        <w:t>.</w:t>
      </w:r>
    </w:p>
    <w:p w:rsidR="001914D7" w:rsidRPr="00560371" w:rsidRDefault="001914D7" w:rsidP="00637CCB">
      <w:pPr>
        <w:pStyle w:val="Heading1"/>
        <w:rPr>
          <w:lang w:val="es"/>
        </w:rPr>
      </w:pPr>
      <w:r w:rsidRPr="00560371">
        <w:rPr>
          <w:lang w:val="es"/>
        </w:rPr>
        <w:t>3</w:t>
      </w:r>
      <w:r w:rsidRPr="00560371">
        <w:rPr>
          <w:lang w:val="es"/>
        </w:rPr>
        <w:tab/>
        <w:t>Informe oral de la President</w:t>
      </w:r>
      <w:r w:rsidR="00637CCB">
        <w:rPr>
          <w:lang w:val="es"/>
        </w:rPr>
        <w:t>a</w:t>
      </w:r>
      <w:r w:rsidRPr="00560371">
        <w:rPr>
          <w:lang w:val="es"/>
        </w:rPr>
        <w:t xml:space="preserve"> de la Comisión Permanente sobre Administración y Gestión (Documentos </w:t>
      </w:r>
      <w:hyperlink r:id="rId14" w:history="1">
        <w:r w:rsidRPr="00560371">
          <w:rPr>
            <w:rStyle w:val="Hyperlink"/>
            <w:lang w:val="es"/>
          </w:rPr>
          <w:t>C18/85(Rev.1)</w:t>
        </w:r>
      </w:hyperlink>
      <w:r w:rsidRPr="00560371">
        <w:rPr>
          <w:lang w:val="es"/>
        </w:rPr>
        <w:t xml:space="preserve">, </w:t>
      </w:r>
      <w:hyperlink r:id="rId15" w:history="1">
        <w:r w:rsidRPr="00560371">
          <w:rPr>
            <w:rStyle w:val="Hyperlink"/>
            <w:lang w:val="es"/>
          </w:rPr>
          <w:t>C18/DT/7</w:t>
        </w:r>
      </w:hyperlink>
      <w:r w:rsidRPr="00560371">
        <w:rPr>
          <w:lang w:val="es"/>
        </w:rPr>
        <w:t xml:space="preserve">, </w:t>
      </w:r>
      <w:hyperlink r:id="rId16" w:history="1">
        <w:r w:rsidRPr="00560371">
          <w:rPr>
            <w:rStyle w:val="Hyperlink"/>
            <w:lang w:val="es"/>
          </w:rPr>
          <w:t>C18/DT/8(Rev.2)</w:t>
        </w:r>
      </w:hyperlink>
      <w:r w:rsidRPr="00560371">
        <w:rPr>
          <w:lang w:val="es"/>
        </w:rPr>
        <w:t xml:space="preserve"> y </w:t>
      </w:r>
      <w:hyperlink r:id="rId17" w:history="1">
        <w:r w:rsidRPr="00560371">
          <w:rPr>
            <w:rStyle w:val="Hyperlink"/>
            <w:lang w:val="es"/>
          </w:rPr>
          <w:t>C18/DT/9</w:t>
        </w:r>
      </w:hyperlink>
      <w:r w:rsidRPr="00560371">
        <w:rPr>
          <w:lang w:val="es"/>
        </w:rPr>
        <w:t>)</w:t>
      </w:r>
    </w:p>
    <w:p w:rsidR="001914D7" w:rsidRPr="001914D7" w:rsidRDefault="001914D7" w:rsidP="00637CCB">
      <w:pPr>
        <w:rPr>
          <w:lang w:val="es-ES"/>
        </w:rPr>
      </w:pPr>
      <w:r w:rsidRPr="001914D7">
        <w:rPr>
          <w:lang w:val="es"/>
        </w:rPr>
        <w:t>3.1</w:t>
      </w:r>
      <w:r w:rsidRPr="001914D7">
        <w:rPr>
          <w:lang w:val="es"/>
        </w:rPr>
        <w:tab/>
        <w:t>A falta de la traducción y publicación del informe sobre la Comisión Permanente sobre Administración y Gestión, la President</w:t>
      </w:r>
      <w:r w:rsidR="00637CCB">
        <w:rPr>
          <w:lang w:val="es"/>
        </w:rPr>
        <w:t>a</w:t>
      </w:r>
      <w:r w:rsidRPr="001914D7">
        <w:rPr>
          <w:lang w:val="es"/>
        </w:rPr>
        <w:t xml:space="preserve"> de dicha Comisión presenta varios puntos a la Plenaria para su aprobación y decisión.</w:t>
      </w:r>
    </w:p>
    <w:p w:rsidR="001914D7" w:rsidRPr="001914D7" w:rsidRDefault="001914D7" w:rsidP="001914D7">
      <w:pPr>
        <w:rPr>
          <w:b/>
          <w:bCs/>
          <w:lang w:val="es-ES"/>
        </w:rPr>
      </w:pPr>
      <w:r w:rsidRPr="001914D7">
        <w:rPr>
          <w:b/>
          <w:bCs/>
          <w:lang w:val="es"/>
        </w:rPr>
        <w:t>Creación de una oficina zonal de la UIT para Asia Meridional y de un centro de innovación tecnológica en la India (Documento C18/85(Rev.1))</w:t>
      </w:r>
    </w:p>
    <w:p w:rsidR="001914D7" w:rsidRPr="001914D7" w:rsidRDefault="001914D7" w:rsidP="00637CCB">
      <w:pPr>
        <w:rPr>
          <w:lang w:val="es-ES"/>
        </w:rPr>
      </w:pPr>
      <w:r w:rsidRPr="001914D7">
        <w:rPr>
          <w:lang w:val="es"/>
        </w:rPr>
        <w:t>3.2</w:t>
      </w:r>
      <w:r w:rsidRPr="001914D7">
        <w:rPr>
          <w:lang w:val="es"/>
        </w:rPr>
        <w:tab/>
        <w:t>La President</w:t>
      </w:r>
      <w:r w:rsidR="00637CCB">
        <w:rPr>
          <w:lang w:val="es"/>
        </w:rPr>
        <w:t>a</w:t>
      </w:r>
      <w:r w:rsidRPr="001914D7">
        <w:rPr>
          <w:lang w:val="es"/>
        </w:rPr>
        <w:t xml:space="preserve"> de la Comisión Permanente declara que los debates mantenidos sobre la propuesta de la India, Bangladesh, Burkina Faso y Nigeria, c</w:t>
      </w:r>
      <w:r w:rsidR="00FC13A7">
        <w:rPr>
          <w:lang w:val="es"/>
        </w:rPr>
        <w:t>ontenida en el Documento C18/85</w:t>
      </w:r>
      <w:r w:rsidRPr="001914D7">
        <w:rPr>
          <w:lang w:val="es"/>
        </w:rPr>
        <w:t>(Rev.1), de crear una oficina zonal de la UIT para Asia Meridional y un centro de innovación tecnológica en la India, se resumirán en el informe de la Comisión Permanente a la Plenaria. La Comisión Permanente ha llegado a la conclusión de que abrir dicha oficina tendría consecuencias financieras indirectas, pero no directas.</w:t>
      </w:r>
    </w:p>
    <w:p w:rsidR="001914D7" w:rsidRPr="001914D7" w:rsidRDefault="001914D7" w:rsidP="00440D84">
      <w:pPr>
        <w:rPr>
          <w:lang w:val="es-ES"/>
        </w:rPr>
      </w:pPr>
      <w:r w:rsidRPr="001914D7">
        <w:rPr>
          <w:lang w:val="es"/>
        </w:rPr>
        <w:t>3.3</w:t>
      </w:r>
      <w:r w:rsidRPr="001914D7">
        <w:rPr>
          <w:lang w:val="es"/>
        </w:rPr>
        <w:tab/>
        <w:t>La consejera de la India pasa revista a los motivos subyacentes de la propuesta, sobre la cual se pidió al Consejo que la aprobara en principio. En respuesta a la pregunta de un consejero, observa que Pakistán es partidari</w:t>
      </w:r>
      <w:r w:rsidR="00440D84">
        <w:rPr>
          <w:lang w:val="es"/>
        </w:rPr>
        <w:t>o</w:t>
      </w:r>
      <w:r w:rsidRPr="001914D7">
        <w:rPr>
          <w:lang w:val="es"/>
        </w:rPr>
        <w:t xml:space="preserve"> de la idea de abrir una oficina de zona y que la India está dispuesta a proporcionar toda la infraestructura y el apoyo logístico necesario.</w:t>
      </w:r>
    </w:p>
    <w:p w:rsidR="001914D7" w:rsidRPr="001914D7" w:rsidRDefault="001914D7" w:rsidP="00FC13A7">
      <w:pPr>
        <w:rPr>
          <w:lang w:val="es-ES"/>
        </w:rPr>
      </w:pPr>
      <w:r w:rsidRPr="001914D7">
        <w:rPr>
          <w:lang w:val="es"/>
        </w:rPr>
        <w:t>3.4</w:t>
      </w:r>
      <w:r w:rsidRPr="001914D7">
        <w:rPr>
          <w:lang w:val="es"/>
        </w:rPr>
        <w:tab/>
        <w:t>Varios consejeros observan que en la Región de Asia</w:t>
      </w:r>
      <w:r w:rsidR="00FC13A7">
        <w:rPr>
          <w:lang w:val="es"/>
        </w:rPr>
        <w:t>-</w:t>
      </w:r>
      <w:r w:rsidRPr="001914D7">
        <w:rPr>
          <w:lang w:val="es"/>
        </w:rPr>
        <w:t xml:space="preserve">Pacífico habita más de un tercio de la población mundial y, por tanto, hacen suyas las propuestas de la India y acuerdan en que el Consejo apruebe en principio la creación de una oficina zonal. El Consejo debe </w:t>
      </w:r>
      <w:r w:rsidR="00440D84">
        <w:rPr>
          <w:lang w:val="es"/>
        </w:rPr>
        <w:t>pedir a la Secretaría que lleve</w:t>
      </w:r>
      <w:r w:rsidRPr="001914D7">
        <w:rPr>
          <w:lang w:val="es"/>
        </w:rPr>
        <w:t xml:space="preserve"> a cabo un proceso de debida diligencia sobre, por ejemplo, las repercusiones financieras, las condiciones contractuales, los privilegios e inmunidades, e informar a la última reunión del Consejo de 2018, que tendrá lugar justo antes de la PP-18. El proceso de debida diligencia debe tener plenamente en cuenta las cuestiones planteadas en los debates de la Comisión Permanente. Uno de los consejeros que refrendan la propuesta insta a la India a llevar a cabo consultas con los países vecinos. Otro sugiere que ha llegado la hora de investigar detenidamente la presencia regional de la UIT y los medios disponibles para desempeñar las tareas afines. Otra consejera aduce que quizá sea necesario modificar en consecuencia algunos de los documentos jurídicos necesarios para la creación de oficinas regionales.</w:t>
      </w:r>
    </w:p>
    <w:p w:rsidR="001914D7" w:rsidRPr="001914D7" w:rsidRDefault="001914D7" w:rsidP="001914D7">
      <w:pPr>
        <w:rPr>
          <w:lang w:val="es-ES"/>
        </w:rPr>
      </w:pPr>
      <w:r w:rsidRPr="001914D7">
        <w:rPr>
          <w:lang w:val="es"/>
        </w:rPr>
        <w:t>3.5</w:t>
      </w:r>
      <w:r w:rsidRPr="001914D7">
        <w:rPr>
          <w:lang w:val="es"/>
        </w:rPr>
        <w:tab/>
        <w:t>Un consejero señala que la última reunión del Consejo, que se celebra justo antes de la Conferencia de Plenipotenciarios, tiene un mandato específico, a saber, garantizar el funcionamiento armonioso de la Conferencia, por lo que se pregunta de cuánto tiempo dispondrá el Consejo de</w:t>
      </w:r>
      <w:r w:rsidR="00560371">
        <w:rPr>
          <w:lang w:val="es"/>
        </w:rPr>
        <w:t xml:space="preserve"> 2018 para dedicar a este tema.</w:t>
      </w:r>
    </w:p>
    <w:p w:rsidR="001914D7" w:rsidRPr="001914D7" w:rsidRDefault="001914D7" w:rsidP="00F75437">
      <w:pPr>
        <w:rPr>
          <w:lang w:val="es-ES"/>
        </w:rPr>
      </w:pPr>
      <w:r w:rsidRPr="001914D7">
        <w:rPr>
          <w:lang w:val="es"/>
        </w:rPr>
        <w:t>3.6</w:t>
      </w:r>
      <w:r w:rsidRPr="001914D7">
        <w:rPr>
          <w:lang w:val="es"/>
        </w:rPr>
        <w:tab/>
        <w:t>El President</w:t>
      </w:r>
      <w:r w:rsidR="00F75437">
        <w:rPr>
          <w:lang w:val="es"/>
        </w:rPr>
        <w:t>e</w:t>
      </w:r>
      <w:r w:rsidRPr="001914D7">
        <w:rPr>
          <w:lang w:val="es"/>
        </w:rPr>
        <w:t xml:space="preserve"> toma nota de que el Consejo pudiera aprobar en principio la creación de esta Oficina Zonal de la UIT para Asia Meridional, cuya decisión final se tomará en la última reunión del Consejo de 2018, y pedir a la Secretaría que siga realizando análisis e informe al Consejo sobre cuestiones tales como las repercusiones financieras indirectas, las relaciones contractuales de los destinados a esa oficina, la inmunidad diplomática y los equipos.</w:t>
      </w:r>
    </w:p>
    <w:p w:rsidR="001914D7" w:rsidRPr="001914D7" w:rsidRDefault="001914D7" w:rsidP="001914D7">
      <w:pPr>
        <w:rPr>
          <w:lang w:val="es-ES"/>
        </w:rPr>
      </w:pPr>
      <w:r w:rsidRPr="001914D7">
        <w:rPr>
          <w:lang w:val="es"/>
        </w:rPr>
        <w:t>3.7</w:t>
      </w:r>
      <w:r w:rsidRPr="001914D7">
        <w:rPr>
          <w:lang w:val="es"/>
        </w:rPr>
        <w:tab/>
        <w:t xml:space="preserve">Así se </w:t>
      </w:r>
      <w:r w:rsidRPr="001914D7">
        <w:rPr>
          <w:b/>
          <w:bCs/>
          <w:lang w:val="es"/>
        </w:rPr>
        <w:t>acuerda</w:t>
      </w:r>
      <w:r w:rsidRPr="001914D7">
        <w:rPr>
          <w:lang w:val="es"/>
        </w:rPr>
        <w:t>.</w:t>
      </w:r>
    </w:p>
    <w:p w:rsidR="001914D7" w:rsidRPr="001914D7" w:rsidRDefault="001914D7" w:rsidP="001914D7">
      <w:pPr>
        <w:rPr>
          <w:b/>
          <w:bCs/>
          <w:lang w:val="es-ES"/>
        </w:rPr>
      </w:pPr>
      <w:r w:rsidRPr="001914D7">
        <w:rPr>
          <w:b/>
          <w:bCs/>
          <w:lang w:val="es"/>
        </w:rPr>
        <w:t>Creación de un puesto D1, Director Regional, en la Oficina Regional de la UIT para la Región de la CEI (Documento C18/DT/9)</w:t>
      </w:r>
    </w:p>
    <w:p w:rsidR="001914D7" w:rsidRPr="001914D7" w:rsidRDefault="001914D7" w:rsidP="007365F4">
      <w:pPr>
        <w:rPr>
          <w:lang w:val="es-ES"/>
        </w:rPr>
      </w:pPr>
      <w:r w:rsidRPr="001914D7">
        <w:rPr>
          <w:lang w:val="es"/>
        </w:rPr>
        <w:t>3.8</w:t>
      </w:r>
      <w:r w:rsidRPr="001914D7">
        <w:rPr>
          <w:lang w:val="es"/>
        </w:rPr>
        <w:tab/>
        <w:t>La President</w:t>
      </w:r>
      <w:r w:rsidR="007365F4">
        <w:rPr>
          <w:lang w:val="es"/>
        </w:rPr>
        <w:t>a</w:t>
      </w:r>
      <w:r w:rsidRPr="001914D7">
        <w:rPr>
          <w:lang w:val="es"/>
        </w:rPr>
        <w:t xml:space="preserve"> de la Comisión Permanente presenta el proyecto de decisión sobre la estructura propuesta de la Oficina Regional de la UIT para la Región de la CEI y la creación del puesto D1 de Director Regional, contenido en el Documento C18/DT/9. En respuesta al comentario de un consejero, confirma que el informe de la Comisión Permanente contendrá un párrafo sobre las consecuentes modificaciones que se han de introducir en el proyecto de Plan Financiero para 2020-2023.</w:t>
      </w:r>
    </w:p>
    <w:p w:rsidR="001914D7" w:rsidRPr="001914D7" w:rsidRDefault="001914D7" w:rsidP="001914D7">
      <w:pPr>
        <w:rPr>
          <w:lang w:val="es-ES"/>
        </w:rPr>
      </w:pPr>
      <w:r w:rsidRPr="001914D7">
        <w:rPr>
          <w:lang w:val="es"/>
        </w:rPr>
        <w:t>3.9</w:t>
      </w:r>
      <w:r w:rsidRPr="001914D7">
        <w:rPr>
          <w:lang w:val="es"/>
        </w:rPr>
        <w:tab/>
        <w:t xml:space="preserve">Se </w:t>
      </w:r>
      <w:r w:rsidRPr="001914D7">
        <w:rPr>
          <w:b/>
          <w:bCs/>
          <w:lang w:val="es"/>
        </w:rPr>
        <w:t>adopta</w:t>
      </w:r>
      <w:r w:rsidRPr="001914D7">
        <w:rPr>
          <w:lang w:val="es"/>
        </w:rPr>
        <w:t xml:space="preserve"> el proyecto de Acuerdo contenido en el Documento C18/DT/9.</w:t>
      </w:r>
    </w:p>
    <w:p w:rsidR="001914D7" w:rsidRPr="001914D7" w:rsidRDefault="001914D7" w:rsidP="001914D7">
      <w:pPr>
        <w:rPr>
          <w:b/>
          <w:bCs/>
          <w:lang w:val="es-ES"/>
        </w:rPr>
      </w:pPr>
      <w:r w:rsidRPr="001914D7">
        <w:rPr>
          <w:b/>
          <w:bCs/>
          <w:lang w:val="es"/>
        </w:rPr>
        <w:t>Revisión del Acuerdo 482 (Documento C18/DT/7)</w:t>
      </w:r>
    </w:p>
    <w:p w:rsidR="001914D7" w:rsidRPr="001914D7" w:rsidRDefault="001914D7" w:rsidP="00321301">
      <w:pPr>
        <w:rPr>
          <w:lang w:val="es-ES"/>
        </w:rPr>
      </w:pPr>
      <w:r w:rsidRPr="001914D7">
        <w:rPr>
          <w:lang w:val="es"/>
        </w:rPr>
        <w:t>3.10</w:t>
      </w:r>
      <w:r w:rsidRPr="001914D7">
        <w:rPr>
          <w:lang w:val="es"/>
        </w:rPr>
        <w:tab/>
        <w:t>La President</w:t>
      </w:r>
      <w:r w:rsidR="00321301">
        <w:rPr>
          <w:lang w:val="es"/>
        </w:rPr>
        <w:t>a</w:t>
      </w:r>
      <w:r w:rsidRPr="001914D7">
        <w:rPr>
          <w:lang w:val="es"/>
        </w:rPr>
        <w:t xml:space="preserve"> de la Comisión Permanente presenta el Documento C18/DT/7, que contiene las modificaciones del Acuerdo 482 para integrar la aplicación del Procedimiento A (véase el Documento C18/36) a la recuperación de costes de notificaciones de redes de satélites; se postergaron los Procedimientos B y C.</w:t>
      </w:r>
    </w:p>
    <w:p w:rsidR="001914D7" w:rsidRPr="001914D7" w:rsidRDefault="001914D7" w:rsidP="001914D7">
      <w:pPr>
        <w:rPr>
          <w:lang w:val="es-ES"/>
        </w:rPr>
      </w:pPr>
      <w:r w:rsidRPr="001914D7">
        <w:rPr>
          <w:lang w:val="es"/>
        </w:rPr>
        <w:t>3.11</w:t>
      </w:r>
      <w:r w:rsidRPr="001914D7">
        <w:rPr>
          <w:lang w:val="es"/>
        </w:rPr>
        <w:tab/>
        <w:t xml:space="preserve">Se </w:t>
      </w:r>
      <w:r w:rsidRPr="001914D7">
        <w:rPr>
          <w:b/>
          <w:bCs/>
          <w:lang w:val="es"/>
        </w:rPr>
        <w:t xml:space="preserve">aprueban </w:t>
      </w:r>
      <w:r w:rsidRPr="001914D7">
        <w:rPr>
          <w:lang w:val="es"/>
        </w:rPr>
        <w:t>las modificaciones del Acuerdo 482 (Documento C18/DT/7).</w:t>
      </w:r>
    </w:p>
    <w:p w:rsidR="001914D7" w:rsidRPr="001914D7" w:rsidRDefault="001914D7" w:rsidP="00560371">
      <w:pPr>
        <w:rPr>
          <w:b/>
          <w:bCs/>
          <w:lang w:val="es-ES"/>
        </w:rPr>
      </w:pPr>
      <w:r w:rsidRPr="001914D7">
        <w:rPr>
          <w:b/>
          <w:bCs/>
          <w:lang w:val="es"/>
        </w:rPr>
        <w:t xml:space="preserve">Mandato del Grupo de Expertos del Consejo sobre el </w:t>
      </w:r>
      <w:r w:rsidR="00560371">
        <w:rPr>
          <w:b/>
          <w:bCs/>
          <w:lang w:val="es"/>
        </w:rPr>
        <w:t>Acuerdo 482 (Documento C18/DT/8</w:t>
      </w:r>
      <w:r w:rsidRPr="001914D7">
        <w:rPr>
          <w:b/>
          <w:bCs/>
          <w:lang w:val="es"/>
        </w:rPr>
        <w:t>(Rev.2))</w:t>
      </w:r>
    </w:p>
    <w:p w:rsidR="001914D7" w:rsidRPr="001914D7" w:rsidRDefault="001914D7" w:rsidP="00321301">
      <w:pPr>
        <w:rPr>
          <w:lang w:val="es-ES"/>
        </w:rPr>
      </w:pPr>
      <w:r w:rsidRPr="001914D7">
        <w:rPr>
          <w:lang w:val="es"/>
        </w:rPr>
        <w:t>3.12</w:t>
      </w:r>
      <w:r w:rsidRPr="001914D7">
        <w:rPr>
          <w:lang w:val="es"/>
        </w:rPr>
        <w:tab/>
        <w:t>La President</w:t>
      </w:r>
      <w:r w:rsidR="00321301">
        <w:rPr>
          <w:lang w:val="es"/>
        </w:rPr>
        <w:t>a</w:t>
      </w:r>
      <w:r w:rsidRPr="001914D7">
        <w:rPr>
          <w:lang w:val="es"/>
        </w:rPr>
        <w:t xml:space="preserve"> de la Comisión Permanente de</w:t>
      </w:r>
      <w:r w:rsidR="00FC13A7">
        <w:rPr>
          <w:lang w:val="es"/>
        </w:rPr>
        <w:t>clara que el Documento C18/DT/8</w:t>
      </w:r>
      <w:r w:rsidRPr="001914D7">
        <w:rPr>
          <w:lang w:val="es"/>
        </w:rPr>
        <w:t>(Rev.2)) representa una solución de compromiso minuciosamente elaborada sobre el mandato del Grupo de Expertos del Consejo sobre el Acuerdo 482.</w:t>
      </w:r>
    </w:p>
    <w:p w:rsidR="001914D7" w:rsidRPr="001914D7" w:rsidRDefault="001914D7" w:rsidP="001914D7">
      <w:pPr>
        <w:rPr>
          <w:lang w:val="es-ES"/>
        </w:rPr>
      </w:pPr>
      <w:r w:rsidRPr="001914D7">
        <w:rPr>
          <w:lang w:val="es"/>
        </w:rPr>
        <w:t>3.13</w:t>
      </w:r>
      <w:r w:rsidRPr="001914D7">
        <w:rPr>
          <w:lang w:val="es"/>
        </w:rPr>
        <w:tab/>
        <w:t xml:space="preserve">Se </w:t>
      </w:r>
      <w:r w:rsidRPr="001914D7">
        <w:rPr>
          <w:b/>
          <w:bCs/>
          <w:lang w:val="es"/>
        </w:rPr>
        <w:t>aprueba</w:t>
      </w:r>
      <w:r w:rsidRPr="001914D7">
        <w:rPr>
          <w:lang w:val="es"/>
        </w:rPr>
        <w:t xml:space="preserve"> el mandato del Grupo de Expertos de</w:t>
      </w:r>
      <w:r w:rsidR="00560371">
        <w:rPr>
          <w:lang w:val="es"/>
        </w:rPr>
        <w:t>l Consejo sobre el Acuerdo 482.</w:t>
      </w:r>
    </w:p>
    <w:p w:rsidR="001914D7" w:rsidRPr="001914D7" w:rsidRDefault="001914D7" w:rsidP="001914D7">
      <w:pPr>
        <w:rPr>
          <w:lang w:val="es-ES"/>
        </w:rPr>
      </w:pPr>
      <w:r w:rsidRPr="001914D7">
        <w:rPr>
          <w:lang w:val="es"/>
        </w:rPr>
        <w:t>3.14</w:t>
      </w:r>
      <w:r w:rsidRPr="001914D7">
        <w:rPr>
          <w:lang w:val="es"/>
        </w:rPr>
        <w:tab/>
        <w:t>El Director de la BR declara que se están manteniendo consultas sobre el nombramiento del Presidente del Grupo de Expertos.</w:t>
      </w:r>
    </w:p>
    <w:p w:rsidR="001914D7" w:rsidRPr="00560371" w:rsidRDefault="00560371" w:rsidP="00FC13A7">
      <w:pPr>
        <w:tabs>
          <w:tab w:val="clear" w:pos="1134"/>
          <w:tab w:val="clear" w:pos="1701"/>
          <w:tab w:val="clear" w:pos="2268"/>
          <w:tab w:val="clear" w:pos="2835"/>
          <w:tab w:val="left" w:pos="6521"/>
        </w:tabs>
        <w:spacing w:before="840"/>
        <w:rPr>
          <w:lang w:val="es-ES"/>
        </w:rPr>
      </w:pPr>
      <w:r w:rsidRPr="00355534">
        <w:rPr>
          <w:lang w:val="es-ES"/>
        </w:rPr>
        <w:t>El Secretario General:</w:t>
      </w:r>
      <w:r w:rsidRPr="00355534">
        <w:rPr>
          <w:lang w:val="es-ES"/>
        </w:rPr>
        <w:tab/>
        <w:t>El Presidente:</w:t>
      </w:r>
      <w:r w:rsidRPr="00355534">
        <w:rPr>
          <w:lang w:val="es-ES"/>
        </w:rPr>
        <w:br/>
        <w:t>H. ZHAO</w:t>
      </w:r>
      <w:r w:rsidRPr="00355534">
        <w:rPr>
          <w:lang w:val="es-ES"/>
        </w:rPr>
        <w:tab/>
        <w:t>R. ISMAILOV</w:t>
      </w:r>
    </w:p>
    <w:sectPr w:rsidR="001914D7" w:rsidRPr="00560371"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D7" w:rsidRDefault="001914D7">
      <w:r>
        <w:separator/>
      </w:r>
    </w:p>
  </w:endnote>
  <w:endnote w:type="continuationSeparator" w:id="0">
    <w:p w:rsidR="001914D7" w:rsidRDefault="0019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60371" w:rsidRDefault="00560371" w:rsidP="00560371">
    <w:pPr>
      <w:pStyle w:val="Footer"/>
      <w:rPr>
        <w:lang w:val="fr-CH"/>
      </w:rPr>
    </w:pPr>
    <w:r>
      <w:fldChar w:fldCharType="begin"/>
    </w:r>
    <w:r w:rsidRPr="00560371">
      <w:rPr>
        <w:lang w:val="fr-CH"/>
      </w:rPr>
      <w:instrText xml:space="preserve"> FILENAME \p  \* MERGEFORMAT </w:instrText>
    </w:r>
    <w:r>
      <w:fldChar w:fldCharType="separate"/>
    </w:r>
    <w:r w:rsidR="00D54102">
      <w:rPr>
        <w:lang w:val="fr-CH"/>
      </w:rPr>
      <w:t>P:\ESP\SG\CONSEIL\C18\100\119S.docx</w:t>
    </w:r>
    <w:r>
      <w:fldChar w:fldCharType="end"/>
    </w:r>
    <w:r w:rsidRPr="00560371">
      <w:rPr>
        <w:lang w:val="fr-CH"/>
      </w:rPr>
      <w:t xml:space="preserve"> (</w:t>
    </w:r>
    <w:r>
      <w:rPr>
        <w:lang w:val="fr-CH"/>
      </w:rPr>
      <w:t>436380</w:t>
    </w:r>
    <w:r w:rsidRPr="0056037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560371" w:rsidRDefault="00560371" w:rsidP="00560371">
    <w:pPr>
      <w:pStyle w:val="Footer"/>
      <w:rPr>
        <w:lang w:val="fr-CH"/>
      </w:rPr>
    </w:pPr>
    <w:r>
      <w:fldChar w:fldCharType="begin"/>
    </w:r>
    <w:r w:rsidRPr="00560371">
      <w:rPr>
        <w:lang w:val="fr-CH"/>
      </w:rPr>
      <w:instrText xml:space="preserve"> FILENAME \p  \* MERGEFORMAT </w:instrText>
    </w:r>
    <w:r>
      <w:fldChar w:fldCharType="separate"/>
    </w:r>
    <w:r w:rsidR="00D54102">
      <w:rPr>
        <w:lang w:val="fr-CH"/>
      </w:rPr>
      <w:t>P:\ESP\SG\CONSEIL\C18\100\119S.docx</w:t>
    </w:r>
    <w:r>
      <w:fldChar w:fldCharType="end"/>
    </w:r>
    <w:r w:rsidRPr="00560371">
      <w:rPr>
        <w:lang w:val="fr-CH"/>
      </w:rPr>
      <w:t xml:space="preserve"> (</w:t>
    </w:r>
    <w:r>
      <w:rPr>
        <w:lang w:val="fr-CH"/>
      </w:rPr>
      <w:t>436380</w:t>
    </w:r>
    <w:r w:rsidRPr="00560371">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D7" w:rsidRDefault="001914D7">
      <w:r>
        <w:t>____________________</w:t>
      </w:r>
    </w:p>
  </w:footnote>
  <w:footnote w:type="continuationSeparator" w:id="0">
    <w:p w:rsidR="001914D7" w:rsidRDefault="0019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80C50">
      <w:rPr>
        <w:noProof/>
      </w:rPr>
      <w:t>3</w:t>
    </w:r>
    <w:r>
      <w:rPr>
        <w:noProof/>
      </w:rPr>
      <w:fldChar w:fldCharType="end"/>
    </w:r>
  </w:p>
  <w:p w:rsidR="00760F1C" w:rsidRDefault="00760F1C" w:rsidP="00560371">
    <w:pPr>
      <w:pStyle w:val="Header"/>
    </w:pPr>
    <w:r>
      <w:t>C</w:t>
    </w:r>
    <w:r w:rsidR="007F350B">
      <w:t>1</w:t>
    </w:r>
    <w:r w:rsidR="009F4811">
      <w:t>8</w:t>
    </w:r>
    <w:r>
      <w:t>/</w:t>
    </w:r>
    <w:r w:rsidR="00560371">
      <w:t>119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7"/>
    <w:rsid w:val="00093EEB"/>
    <w:rsid w:val="000B0D00"/>
    <w:rsid w:val="000B7C15"/>
    <w:rsid w:val="000D1D0F"/>
    <w:rsid w:val="000F5290"/>
    <w:rsid w:val="0010165C"/>
    <w:rsid w:val="00146BFB"/>
    <w:rsid w:val="001914D7"/>
    <w:rsid w:val="001F14A2"/>
    <w:rsid w:val="002801AA"/>
    <w:rsid w:val="002C4676"/>
    <w:rsid w:val="002C70B0"/>
    <w:rsid w:val="002F3CC4"/>
    <w:rsid w:val="00321301"/>
    <w:rsid w:val="00440D84"/>
    <w:rsid w:val="00513630"/>
    <w:rsid w:val="00560125"/>
    <w:rsid w:val="00560371"/>
    <w:rsid w:val="00585553"/>
    <w:rsid w:val="005B34D9"/>
    <w:rsid w:val="005D0CCF"/>
    <w:rsid w:val="005F3BCB"/>
    <w:rsid w:val="005F410F"/>
    <w:rsid w:val="0060149A"/>
    <w:rsid w:val="00601924"/>
    <w:rsid w:val="00637CCB"/>
    <w:rsid w:val="006447EA"/>
    <w:rsid w:val="0064731F"/>
    <w:rsid w:val="006710F6"/>
    <w:rsid w:val="006C1B56"/>
    <w:rsid w:val="006D4761"/>
    <w:rsid w:val="00726872"/>
    <w:rsid w:val="007365F4"/>
    <w:rsid w:val="00760F1C"/>
    <w:rsid w:val="007657F0"/>
    <w:rsid w:val="0077252D"/>
    <w:rsid w:val="007E5DD3"/>
    <w:rsid w:val="007F350B"/>
    <w:rsid w:val="00820BE4"/>
    <w:rsid w:val="008451E8"/>
    <w:rsid w:val="00913B9C"/>
    <w:rsid w:val="00956E77"/>
    <w:rsid w:val="009F4811"/>
    <w:rsid w:val="00A80C50"/>
    <w:rsid w:val="00AA390C"/>
    <w:rsid w:val="00B0200A"/>
    <w:rsid w:val="00B574DB"/>
    <w:rsid w:val="00B826C2"/>
    <w:rsid w:val="00B8298E"/>
    <w:rsid w:val="00BD0723"/>
    <w:rsid w:val="00BD2518"/>
    <w:rsid w:val="00BF1D1C"/>
    <w:rsid w:val="00C20C59"/>
    <w:rsid w:val="00C55B1F"/>
    <w:rsid w:val="00CF1A67"/>
    <w:rsid w:val="00D2750E"/>
    <w:rsid w:val="00D54102"/>
    <w:rsid w:val="00D62446"/>
    <w:rsid w:val="00DA4EA2"/>
    <w:rsid w:val="00DC3D3E"/>
    <w:rsid w:val="00DE2C90"/>
    <w:rsid w:val="00DE3B24"/>
    <w:rsid w:val="00E06947"/>
    <w:rsid w:val="00E3592D"/>
    <w:rsid w:val="00E92DE8"/>
    <w:rsid w:val="00EB1212"/>
    <w:rsid w:val="00ED65AB"/>
    <w:rsid w:val="00F12850"/>
    <w:rsid w:val="00F33BF4"/>
    <w:rsid w:val="00F7105E"/>
    <w:rsid w:val="00F75437"/>
    <w:rsid w:val="00F75F57"/>
    <w:rsid w:val="00F82FEE"/>
    <w:rsid w:val="00FC13A7"/>
    <w:rsid w:val="00FD57D3"/>
    <w:rsid w:val="00FF11BD"/>
    <w:rsid w:val="00FF2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08D799-C979-4087-BD33-1369293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02/es" TargetMode="External"/><Relationship Id="rId13" Type="http://schemas.openxmlformats.org/officeDocument/2006/relationships/hyperlink" Target="https://www.itu.int/md/S18-CL-C-0002/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8-CL-180417-TD-GEN-0009/es" TargetMode="External"/><Relationship Id="rId17" Type="http://schemas.openxmlformats.org/officeDocument/2006/relationships/hyperlink" Target="https://www.itu.int/md/S18-CL-180417-TD-GEN-0009/es" TargetMode="External"/><Relationship Id="rId2" Type="http://schemas.openxmlformats.org/officeDocument/2006/relationships/styles" Target="styles.xml"/><Relationship Id="rId16" Type="http://schemas.openxmlformats.org/officeDocument/2006/relationships/hyperlink" Target="https://www.itu.int/md/S18-CL-180417-TD-GEN-0008/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180417-TD-GEN-0008/es" TargetMode="External"/><Relationship Id="rId5" Type="http://schemas.openxmlformats.org/officeDocument/2006/relationships/footnotes" Target="footnotes.xml"/><Relationship Id="rId15" Type="http://schemas.openxmlformats.org/officeDocument/2006/relationships/hyperlink" Target="https://www.itu.int/md/S18-CL-180417-TD-GEN-0007/es" TargetMode="External"/><Relationship Id="rId10" Type="http://schemas.openxmlformats.org/officeDocument/2006/relationships/hyperlink" Target="https://www.itu.int/md/S18-CL-180417-TD-GEN-0007/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8-CL-C-0085/es" TargetMode="External"/><Relationship Id="rId14" Type="http://schemas.openxmlformats.org/officeDocument/2006/relationships/hyperlink" Target="https://www.itu.int/md/S18-CL-C-0085/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22B9-B03A-4533-AD86-0FB27EA4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3</Pages>
  <Words>1013</Words>
  <Characters>5998</Characters>
  <Application>Microsoft Office Word</Application>
  <DocSecurity>4</DocSecurity>
  <Lines>49</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Consejo 2018</dc:subject>
  <dc:creator>Spanish83</dc:creator>
  <cp:keywords>C2018, C18</cp:keywords>
  <dc:description/>
  <cp:lastModifiedBy>Janin</cp:lastModifiedBy>
  <cp:revision>2</cp:revision>
  <cp:lastPrinted>2018-05-15T08:33:00Z</cp:lastPrinted>
  <dcterms:created xsi:type="dcterms:W3CDTF">2018-06-05T14:28:00Z</dcterms:created>
  <dcterms:modified xsi:type="dcterms:W3CDTF">2018-06-05T14:28:00Z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