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CFE02E2" w14:textId="77777777" w:rsidTr="00464B6C">
        <w:trPr>
          <w:cantSplit/>
        </w:trPr>
        <w:tc>
          <w:tcPr>
            <w:tcW w:w="6911" w:type="dxa"/>
          </w:tcPr>
          <w:p w14:paraId="228742D7"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3A1BF11F"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49FCB7E7" wp14:editId="7F27FC5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3C5B3F2B" w14:textId="77777777" w:rsidTr="00464B6C">
        <w:trPr>
          <w:cantSplit/>
        </w:trPr>
        <w:tc>
          <w:tcPr>
            <w:tcW w:w="6911" w:type="dxa"/>
            <w:tcBorders>
              <w:bottom w:val="single" w:sz="12" w:space="0" w:color="auto"/>
            </w:tcBorders>
          </w:tcPr>
          <w:p w14:paraId="17C18307"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5CC5EBC" w14:textId="77777777" w:rsidR="002A2188" w:rsidRPr="00813E5E" w:rsidRDefault="002A2188" w:rsidP="00464B6C">
            <w:pPr>
              <w:spacing w:before="0" w:line="240" w:lineRule="atLeast"/>
              <w:rPr>
                <w:szCs w:val="24"/>
              </w:rPr>
            </w:pPr>
          </w:p>
        </w:tc>
      </w:tr>
      <w:tr w:rsidR="002A2188" w:rsidRPr="00813E5E" w14:paraId="77476DAD" w14:textId="77777777" w:rsidTr="00464B6C">
        <w:trPr>
          <w:cantSplit/>
        </w:trPr>
        <w:tc>
          <w:tcPr>
            <w:tcW w:w="6911" w:type="dxa"/>
            <w:tcBorders>
              <w:top w:val="single" w:sz="12" w:space="0" w:color="auto"/>
            </w:tcBorders>
          </w:tcPr>
          <w:p w14:paraId="13932B9E"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0FFCFB75" w14:textId="77777777" w:rsidR="002A2188" w:rsidRPr="00813E5E" w:rsidRDefault="002A2188" w:rsidP="00464B6C">
            <w:pPr>
              <w:spacing w:before="0" w:line="240" w:lineRule="atLeast"/>
              <w:rPr>
                <w:szCs w:val="24"/>
              </w:rPr>
            </w:pPr>
          </w:p>
        </w:tc>
      </w:tr>
      <w:tr w:rsidR="002A2188" w:rsidRPr="00813E5E" w14:paraId="5DC8718B" w14:textId="77777777" w:rsidTr="00464B6C">
        <w:trPr>
          <w:cantSplit/>
          <w:trHeight w:val="23"/>
        </w:trPr>
        <w:tc>
          <w:tcPr>
            <w:tcW w:w="6911" w:type="dxa"/>
            <w:vMerge w:val="restart"/>
          </w:tcPr>
          <w:p w14:paraId="0A476C34" w14:textId="77777777"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14:paraId="710EBF29" w14:textId="77777777" w:rsidR="002A2188" w:rsidRPr="00E85629" w:rsidRDefault="002A2188" w:rsidP="005D1DA6">
            <w:pPr>
              <w:tabs>
                <w:tab w:val="left" w:pos="851"/>
              </w:tabs>
              <w:spacing w:before="0" w:line="240" w:lineRule="atLeast"/>
              <w:rPr>
                <w:b/>
              </w:rPr>
            </w:pPr>
            <w:r>
              <w:rPr>
                <w:b/>
              </w:rPr>
              <w:t>Document C1</w:t>
            </w:r>
            <w:r w:rsidR="00623AE3">
              <w:rPr>
                <w:b/>
              </w:rPr>
              <w:t>8</w:t>
            </w:r>
            <w:r>
              <w:rPr>
                <w:b/>
              </w:rPr>
              <w:t>/</w:t>
            </w:r>
            <w:r w:rsidR="001A557A">
              <w:rPr>
                <w:b/>
              </w:rPr>
              <w:t>1</w:t>
            </w:r>
            <w:r w:rsidR="005D1DA6">
              <w:rPr>
                <w:b/>
              </w:rPr>
              <w:t>19</w:t>
            </w:r>
            <w:r>
              <w:rPr>
                <w:b/>
              </w:rPr>
              <w:t>-E</w:t>
            </w:r>
          </w:p>
        </w:tc>
      </w:tr>
      <w:tr w:rsidR="002A2188" w:rsidRPr="00813E5E" w14:paraId="29D8F2FD" w14:textId="77777777" w:rsidTr="00464B6C">
        <w:trPr>
          <w:cantSplit/>
          <w:trHeight w:val="23"/>
        </w:trPr>
        <w:tc>
          <w:tcPr>
            <w:tcW w:w="6911" w:type="dxa"/>
            <w:vMerge/>
          </w:tcPr>
          <w:p w14:paraId="6DB8BFD4"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63A41C27" w14:textId="784277CE" w:rsidR="002A2188" w:rsidRPr="00E85629" w:rsidRDefault="00793DBC" w:rsidP="0020765F">
            <w:pPr>
              <w:tabs>
                <w:tab w:val="left" w:pos="993"/>
              </w:tabs>
              <w:spacing w:before="0"/>
              <w:rPr>
                <w:b/>
              </w:rPr>
            </w:pPr>
            <w:r>
              <w:rPr>
                <w:b/>
              </w:rPr>
              <w:t>17</w:t>
            </w:r>
            <w:bookmarkStart w:id="5" w:name="_GoBack"/>
            <w:bookmarkEnd w:id="5"/>
            <w:r w:rsidR="0020765F">
              <w:rPr>
                <w:b/>
              </w:rPr>
              <w:t xml:space="preserve"> May</w:t>
            </w:r>
            <w:r w:rsidR="002A2188">
              <w:rPr>
                <w:b/>
              </w:rPr>
              <w:t xml:space="preserve"> 201</w:t>
            </w:r>
            <w:r w:rsidR="00623AE3">
              <w:rPr>
                <w:b/>
              </w:rPr>
              <w:t>8</w:t>
            </w:r>
          </w:p>
        </w:tc>
      </w:tr>
      <w:tr w:rsidR="002A2188" w:rsidRPr="00813E5E" w14:paraId="43F8DA6B" w14:textId="77777777" w:rsidTr="00464B6C">
        <w:trPr>
          <w:cantSplit/>
          <w:trHeight w:val="23"/>
        </w:trPr>
        <w:tc>
          <w:tcPr>
            <w:tcW w:w="6911" w:type="dxa"/>
            <w:vMerge/>
          </w:tcPr>
          <w:p w14:paraId="02EEA031" w14:textId="77777777" w:rsidR="002A2188" w:rsidRPr="00813E5E" w:rsidRDefault="002A2188" w:rsidP="00464B6C">
            <w:pPr>
              <w:tabs>
                <w:tab w:val="left" w:pos="851"/>
              </w:tabs>
              <w:spacing w:line="240" w:lineRule="atLeast"/>
              <w:rPr>
                <w:b/>
              </w:rPr>
            </w:pPr>
            <w:bookmarkStart w:id="6" w:name="dorlang" w:colFirst="1" w:colLast="1"/>
            <w:bookmarkEnd w:id="4"/>
          </w:p>
        </w:tc>
        <w:tc>
          <w:tcPr>
            <w:tcW w:w="3120" w:type="dxa"/>
          </w:tcPr>
          <w:p w14:paraId="178427D5" w14:textId="77777777" w:rsidR="002A2188" w:rsidRPr="00E85629" w:rsidRDefault="002A2188" w:rsidP="00464B6C">
            <w:pPr>
              <w:tabs>
                <w:tab w:val="left" w:pos="993"/>
              </w:tabs>
              <w:spacing w:before="0"/>
              <w:rPr>
                <w:b/>
              </w:rPr>
            </w:pPr>
            <w:r>
              <w:rPr>
                <w:b/>
              </w:rPr>
              <w:t>Original: English</w:t>
            </w:r>
          </w:p>
        </w:tc>
      </w:tr>
      <w:tr w:rsidR="002A2188" w:rsidRPr="00813E5E" w14:paraId="78D29AF4" w14:textId="77777777" w:rsidTr="00464B6C">
        <w:trPr>
          <w:cantSplit/>
        </w:trPr>
        <w:tc>
          <w:tcPr>
            <w:tcW w:w="10031" w:type="dxa"/>
            <w:gridSpan w:val="2"/>
          </w:tcPr>
          <w:p w14:paraId="3CE002A7" w14:textId="77777777" w:rsidR="002A2188" w:rsidRPr="00813E5E" w:rsidRDefault="002A2188" w:rsidP="00464B6C">
            <w:pPr>
              <w:pStyle w:val="Source"/>
            </w:pPr>
            <w:bookmarkStart w:id="7" w:name="dsource" w:colFirst="0" w:colLast="0"/>
            <w:bookmarkEnd w:id="6"/>
          </w:p>
        </w:tc>
      </w:tr>
      <w:tr w:rsidR="002A2188" w:rsidRPr="00813E5E" w14:paraId="6973CD0B" w14:textId="77777777" w:rsidTr="00464B6C">
        <w:trPr>
          <w:cantSplit/>
        </w:trPr>
        <w:tc>
          <w:tcPr>
            <w:tcW w:w="10031" w:type="dxa"/>
            <w:gridSpan w:val="2"/>
          </w:tcPr>
          <w:p w14:paraId="428F7E1F" w14:textId="77777777" w:rsidR="00401D85" w:rsidRDefault="00401D85" w:rsidP="00464B6C">
            <w:pPr>
              <w:pStyle w:val="Title1"/>
            </w:pPr>
            <w:bookmarkStart w:id="8" w:name="dtitle1" w:colFirst="0" w:colLast="0"/>
            <w:bookmarkEnd w:id="7"/>
            <w:r>
              <w:t xml:space="preserve">Summary record </w:t>
            </w:r>
          </w:p>
          <w:p w14:paraId="15E6524A" w14:textId="77777777" w:rsidR="00401D85" w:rsidRDefault="00401D85" w:rsidP="00464B6C">
            <w:pPr>
              <w:pStyle w:val="Title1"/>
            </w:pPr>
            <w:r>
              <w:t xml:space="preserve">of the </w:t>
            </w:r>
          </w:p>
          <w:p w14:paraId="3FEFB15B" w14:textId="77777777" w:rsidR="002A2188" w:rsidRPr="00813E5E" w:rsidRDefault="005D1DA6" w:rsidP="00464B6C">
            <w:pPr>
              <w:pStyle w:val="Title1"/>
            </w:pPr>
            <w:r>
              <w:t>Seventh</w:t>
            </w:r>
            <w:r w:rsidR="00401D85">
              <w:t xml:space="preserve"> Plenary meeting</w:t>
            </w:r>
          </w:p>
        </w:tc>
      </w:tr>
      <w:tr w:rsidR="00401D85" w:rsidRPr="00813E5E" w14:paraId="55F43FDE" w14:textId="77777777" w:rsidTr="00464B6C">
        <w:trPr>
          <w:cantSplit/>
        </w:trPr>
        <w:tc>
          <w:tcPr>
            <w:tcW w:w="10031" w:type="dxa"/>
            <w:gridSpan w:val="2"/>
          </w:tcPr>
          <w:p w14:paraId="1A8E08CC" w14:textId="77777777" w:rsidR="00401D85" w:rsidRPr="006043C6" w:rsidRDefault="005D1DA6" w:rsidP="005D1DA6">
            <w:pPr>
              <w:pStyle w:val="Title1"/>
              <w:rPr>
                <w:sz w:val="24"/>
                <w:szCs w:val="24"/>
              </w:rPr>
            </w:pPr>
            <w:r w:rsidRPr="005D1DA6">
              <w:rPr>
                <w:caps w:val="0"/>
                <w:sz w:val="24"/>
                <w:szCs w:val="24"/>
              </w:rPr>
              <w:t>Wednesday, 25 April 2018, from 1600 to 1640 hours</w:t>
            </w:r>
          </w:p>
        </w:tc>
      </w:tr>
      <w:tr w:rsidR="00401D85" w:rsidRPr="00813E5E" w14:paraId="243B02F9" w14:textId="77777777" w:rsidTr="00464B6C">
        <w:trPr>
          <w:cantSplit/>
        </w:trPr>
        <w:tc>
          <w:tcPr>
            <w:tcW w:w="10031" w:type="dxa"/>
            <w:gridSpan w:val="2"/>
          </w:tcPr>
          <w:p w14:paraId="1643059D" w14:textId="77777777" w:rsidR="00401D85" w:rsidRPr="006043C6" w:rsidRDefault="00401D85" w:rsidP="00464B6C">
            <w:pPr>
              <w:pStyle w:val="Title1"/>
              <w:rPr>
                <w:sz w:val="24"/>
                <w:szCs w:val="24"/>
              </w:rPr>
            </w:pPr>
            <w:r w:rsidRPr="006043C6">
              <w:rPr>
                <w:b/>
                <w:bCs/>
                <w:caps w:val="0"/>
                <w:sz w:val="24"/>
                <w:szCs w:val="24"/>
              </w:rPr>
              <w:t>Chairman</w:t>
            </w:r>
            <w:r w:rsidR="006043C6">
              <w:rPr>
                <w:caps w:val="0"/>
                <w:sz w:val="24"/>
                <w:szCs w:val="24"/>
              </w:rPr>
              <w:t xml:space="preserve">: </w:t>
            </w:r>
            <w:r w:rsidRPr="006043C6">
              <w:rPr>
                <w:caps w:val="0"/>
                <w:sz w:val="24"/>
                <w:szCs w:val="24"/>
              </w:rPr>
              <w:t>Mr R. ISMAILOV (Russian Federation)</w:t>
            </w:r>
          </w:p>
        </w:tc>
      </w:tr>
      <w:bookmarkEnd w:id="8"/>
    </w:tbl>
    <w:p w14:paraId="06EDC102" w14:textId="77777777" w:rsidR="002A2188" w:rsidRDefault="002A2188" w:rsidP="006043C6">
      <w:pPr>
        <w:spacing w:before="1080"/>
      </w:pPr>
    </w:p>
    <w:tbl>
      <w:tblPr>
        <w:tblW w:w="5221" w:type="pct"/>
        <w:tblLook w:val="0000" w:firstRow="0" w:lastRow="0" w:firstColumn="0" w:lastColumn="0" w:noHBand="0" w:noVBand="0"/>
      </w:tblPr>
      <w:tblGrid>
        <w:gridCol w:w="505"/>
        <w:gridCol w:w="7575"/>
        <w:gridCol w:w="1985"/>
      </w:tblGrid>
      <w:tr w:rsidR="005D1DA6" w:rsidRPr="00224CB8" w14:paraId="1CFA05F3" w14:textId="77777777" w:rsidTr="00844953">
        <w:tc>
          <w:tcPr>
            <w:tcW w:w="251" w:type="pct"/>
          </w:tcPr>
          <w:p w14:paraId="6A122631" w14:textId="77777777" w:rsidR="005D1DA6" w:rsidRPr="00224CB8" w:rsidRDefault="005D1DA6" w:rsidP="00844953">
            <w:pPr>
              <w:pStyle w:val="toc0"/>
              <w:spacing w:after="120"/>
            </w:pPr>
            <w:r>
              <w:rPr>
                <w:b w:val="0"/>
              </w:rPr>
              <w:br w:type="page"/>
            </w:r>
            <w:r>
              <w:rPr>
                <w:b w:val="0"/>
              </w:rPr>
              <w:br w:type="page"/>
            </w:r>
          </w:p>
        </w:tc>
        <w:tc>
          <w:tcPr>
            <w:tcW w:w="3763" w:type="pct"/>
          </w:tcPr>
          <w:p w14:paraId="5550160B" w14:textId="77777777" w:rsidR="005D1DA6" w:rsidRPr="00224CB8" w:rsidRDefault="005D1DA6" w:rsidP="00844953">
            <w:pPr>
              <w:pStyle w:val="toc0"/>
              <w:spacing w:after="120"/>
            </w:pPr>
            <w:r w:rsidRPr="00224CB8">
              <w:t>Subjects discussed</w:t>
            </w:r>
          </w:p>
        </w:tc>
        <w:tc>
          <w:tcPr>
            <w:tcW w:w="986" w:type="pct"/>
          </w:tcPr>
          <w:p w14:paraId="7C6A8194" w14:textId="77777777" w:rsidR="005D1DA6" w:rsidRPr="00224CB8" w:rsidRDefault="005D1DA6" w:rsidP="00844953">
            <w:pPr>
              <w:pStyle w:val="toc0"/>
              <w:spacing w:after="120"/>
              <w:jc w:val="center"/>
            </w:pPr>
            <w:r w:rsidRPr="00224CB8">
              <w:t>Documents</w:t>
            </w:r>
          </w:p>
        </w:tc>
      </w:tr>
      <w:tr w:rsidR="005D1DA6" w:rsidRPr="00224CB8" w14:paraId="41C8AD72" w14:textId="77777777" w:rsidTr="00844953">
        <w:tc>
          <w:tcPr>
            <w:tcW w:w="251" w:type="pct"/>
          </w:tcPr>
          <w:p w14:paraId="3EC3066E" w14:textId="77777777" w:rsidR="005D1DA6" w:rsidRPr="00224CB8" w:rsidRDefault="005D1DA6" w:rsidP="00844953">
            <w:r w:rsidRPr="00224CB8">
              <w:t>1</w:t>
            </w:r>
          </w:p>
        </w:tc>
        <w:tc>
          <w:tcPr>
            <w:tcW w:w="3763" w:type="pct"/>
          </w:tcPr>
          <w:p w14:paraId="5ADA8AEB" w14:textId="77777777" w:rsidR="005D1DA6" w:rsidRPr="00224CB8" w:rsidRDefault="005D1DA6" w:rsidP="0030663F">
            <w:r>
              <w:t>Announcement by the councillor from Bulgaria</w:t>
            </w:r>
          </w:p>
        </w:tc>
        <w:tc>
          <w:tcPr>
            <w:tcW w:w="986" w:type="pct"/>
          </w:tcPr>
          <w:p w14:paraId="0D1034DD" w14:textId="77777777" w:rsidR="005D1DA6" w:rsidRPr="00224CB8" w:rsidRDefault="005D1DA6" w:rsidP="00844953">
            <w:pPr>
              <w:jc w:val="center"/>
            </w:pPr>
            <w:r>
              <w:t>–</w:t>
            </w:r>
          </w:p>
        </w:tc>
      </w:tr>
      <w:tr w:rsidR="005D1DA6" w:rsidRPr="00224CB8" w14:paraId="1874C5F1" w14:textId="77777777" w:rsidTr="00844953">
        <w:tc>
          <w:tcPr>
            <w:tcW w:w="251" w:type="pct"/>
          </w:tcPr>
          <w:p w14:paraId="4AB2B9DE" w14:textId="77777777" w:rsidR="005D1DA6" w:rsidRPr="00224CB8" w:rsidRDefault="005D1DA6" w:rsidP="00844953">
            <w:r w:rsidRPr="00224CB8">
              <w:t>2</w:t>
            </w:r>
          </w:p>
        </w:tc>
        <w:tc>
          <w:tcPr>
            <w:tcW w:w="3763" w:type="pct"/>
          </w:tcPr>
          <w:p w14:paraId="4591501E" w14:textId="77777777" w:rsidR="005D1DA6" w:rsidRPr="00224CB8" w:rsidRDefault="005D1DA6" w:rsidP="00844953">
            <w:r>
              <w:t>Proposed dates and duration of the 2019, 2020 and 2021 sessions of the Council (continued)</w:t>
            </w:r>
          </w:p>
        </w:tc>
        <w:tc>
          <w:tcPr>
            <w:tcW w:w="986" w:type="pct"/>
          </w:tcPr>
          <w:p w14:paraId="72BB59E6" w14:textId="77777777" w:rsidR="005D1DA6" w:rsidRPr="00224CB8" w:rsidRDefault="00793DBC" w:rsidP="00844953">
            <w:pPr>
              <w:jc w:val="center"/>
            </w:pPr>
            <w:hyperlink r:id="rId9" w:history="1">
              <w:r w:rsidR="005D1DA6" w:rsidRPr="0030663F">
                <w:rPr>
                  <w:rStyle w:val="Hyperlink"/>
                </w:rPr>
                <w:t>C18/2</w:t>
              </w:r>
            </w:hyperlink>
          </w:p>
        </w:tc>
      </w:tr>
      <w:tr w:rsidR="005D1DA6" w:rsidRPr="00224CB8" w14:paraId="795E341E" w14:textId="77777777" w:rsidTr="00844953">
        <w:tc>
          <w:tcPr>
            <w:tcW w:w="251" w:type="pct"/>
          </w:tcPr>
          <w:p w14:paraId="52DA6BEB" w14:textId="77777777" w:rsidR="005D1DA6" w:rsidRPr="00224CB8" w:rsidRDefault="005D1DA6" w:rsidP="00844953">
            <w:r>
              <w:t>3</w:t>
            </w:r>
          </w:p>
        </w:tc>
        <w:tc>
          <w:tcPr>
            <w:tcW w:w="3763" w:type="pct"/>
          </w:tcPr>
          <w:p w14:paraId="206AE725" w14:textId="77777777" w:rsidR="005D1DA6" w:rsidRDefault="005D1DA6" w:rsidP="00844953">
            <w:r>
              <w:t>Oral report by the Chairman of the Standing Committee on Administration and Management</w:t>
            </w:r>
          </w:p>
          <w:p w14:paraId="403248F0" w14:textId="77777777" w:rsidR="005D1DA6" w:rsidRDefault="005D1DA6" w:rsidP="00844953"/>
        </w:tc>
        <w:tc>
          <w:tcPr>
            <w:tcW w:w="986" w:type="pct"/>
          </w:tcPr>
          <w:p w14:paraId="6424F880" w14:textId="77777777" w:rsidR="005D1DA6" w:rsidRDefault="00793DBC" w:rsidP="00844953">
            <w:pPr>
              <w:jc w:val="center"/>
            </w:pPr>
            <w:hyperlink r:id="rId10" w:history="1">
              <w:r w:rsidR="005D1DA6" w:rsidRPr="0030663F">
                <w:rPr>
                  <w:rStyle w:val="Hyperlink"/>
                </w:rPr>
                <w:t>C18/85 (Rev.1)</w:t>
              </w:r>
            </w:hyperlink>
            <w:r w:rsidR="005D1DA6">
              <w:t xml:space="preserve">, </w:t>
            </w:r>
            <w:hyperlink r:id="rId11" w:history="1">
              <w:r w:rsidR="005D1DA6" w:rsidRPr="0030663F">
                <w:rPr>
                  <w:rStyle w:val="Hyperlink"/>
                </w:rPr>
                <w:t>C18/DT/7</w:t>
              </w:r>
            </w:hyperlink>
            <w:r w:rsidR="005D1DA6">
              <w:t xml:space="preserve">, </w:t>
            </w:r>
            <w:hyperlink r:id="rId12" w:history="1">
              <w:r w:rsidR="005D1DA6" w:rsidRPr="0030663F">
                <w:rPr>
                  <w:rStyle w:val="Hyperlink"/>
                </w:rPr>
                <w:t>C18/DT/8 (Rev.2)</w:t>
              </w:r>
            </w:hyperlink>
            <w:r w:rsidR="005D1DA6">
              <w:t>,</w:t>
            </w:r>
            <w:r w:rsidR="005D1DA6">
              <w:br/>
            </w:r>
            <w:hyperlink r:id="rId13" w:history="1">
              <w:r w:rsidR="005D1DA6" w:rsidRPr="0030663F">
                <w:rPr>
                  <w:rStyle w:val="Hyperlink"/>
                </w:rPr>
                <w:t>C18/DT/9</w:t>
              </w:r>
            </w:hyperlink>
          </w:p>
        </w:tc>
      </w:tr>
    </w:tbl>
    <w:p w14:paraId="2E025923" w14:textId="77777777" w:rsidR="001A557A" w:rsidRDefault="001A557A" w:rsidP="006043C6">
      <w:pPr>
        <w:spacing w:before="1080"/>
      </w:pPr>
    </w:p>
    <w:p w14:paraId="2B225F78"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14:paraId="60B54A92" w14:textId="77777777" w:rsidR="00C969B9" w:rsidRDefault="00C969B9" w:rsidP="006043C6">
      <w:pPr>
        <w:tabs>
          <w:tab w:val="clear" w:pos="567"/>
          <w:tab w:val="clear" w:pos="1134"/>
          <w:tab w:val="clear" w:pos="1701"/>
          <w:tab w:val="clear" w:pos="2268"/>
          <w:tab w:val="clear" w:pos="2835"/>
        </w:tabs>
        <w:snapToGrid w:val="0"/>
        <w:spacing w:after="120"/>
        <w:rPr>
          <w:b/>
          <w:bCs/>
          <w:sz w:val="26"/>
          <w:szCs w:val="26"/>
        </w:rPr>
        <w:sectPr w:rsidR="00C969B9"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14:paraId="25FAA3EC" w14:textId="77777777" w:rsidR="005D1DA6" w:rsidRDefault="005D1DA6" w:rsidP="005D1DA6">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4"/>
          <w:szCs w:val="24"/>
          <w:lang w:val="en-CA"/>
        </w:rPr>
      </w:pPr>
      <w:r w:rsidRPr="00FC1188">
        <w:rPr>
          <w:rFonts w:asciiTheme="minorHAnsi" w:hAnsiTheme="minorHAnsi"/>
          <w:sz w:val="24"/>
          <w:szCs w:val="24"/>
          <w:lang w:val="en-CA"/>
        </w:rPr>
        <w:lastRenderedPageBreak/>
        <w:t>1</w:t>
      </w:r>
      <w:r w:rsidRPr="00FC1188">
        <w:rPr>
          <w:rFonts w:asciiTheme="minorHAnsi" w:hAnsiTheme="minorHAnsi"/>
          <w:sz w:val="24"/>
          <w:szCs w:val="24"/>
          <w:lang w:val="en-CA"/>
        </w:rPr>
        <w:tab/>
      </w:r>
      <w:r>
        <w:rPr>
          <w:rFonts w:asciiTheme="minorHAnsi" w:hAnsiTheme="minorHAnsi"/>
          <w:sz w:val="24"/>
          <w:szCs w:val="24"/>
          <w:lang w:val="en-CA"/>
        </w:rPr>
        <w:t>Announcement by the councillor from Bulgaria</w:t>
      </w:r>
    </w:p>
    <w:p w14:paraId="1B6F6942" w14:textId="77777777" w:rsidR="005D1DA6" w:rsidRPr="002D27A6" w:rsidRDefault="005D1DA6" w:rsidP="00F83224">
      <w:pPr>
        <w:tabs>
          <w:tab w:val="clear" w:pos="567"/>
          <w:tab w:val="clear" w:pos="1134"/>
          <w:tab w:val="clear" w:pos="1701"/>
          <w:tab w:val="clear" w:pos="2268"/>
          <w:tab w:val="clear" w:pos="2835"/>
        </w:tabs>
        <w:snapToGrid w:val="0"/>
        <w:spacing w:after="120"/>
        <w:rPr>
          <w:lang w:val="en-CA"/>
        </w:rPr>
      </w:pPr>
      <w:r w:rsidRPr="002D27A6">
        <w:rPr>
          <w:lang w:val="en-CA"/>
        </w:rPr>
        <w:t>1.1</w:t>
      </w:r>
      <w:r>
        <w:rPr>
          <w:lang w:val="en-CA"/>
        </w:rPr>
        <w:tab/>
        <w:t xml:space="preserve">The councillor from Bulgaria </w:t>
      </w:r>
      <w:r w:rsidR="00F83224">
        <w:rPr>
          <w:lang w:val="en-CA"/>
        </w:rPr>
        <w:t xml:space="preserve">speaking on behalf of </w:t>
      </w:r>
      <w:r w:rsidR="00F83224" w:rsidRPr="00F83224">
        <w:rPr>
          <w:lang w:val="en-CA"/>
        </w:rPr>
        <w:t xml:space="preserve">His Excellency Mr. Dimitar GENOVSKI, Deputy Minister of Transport, Information Technology and Communications, </w:t>
      </w:r>
      <w:r>
        <w:rPr>
          <w:lang w:val="en-CA"/>
        </w:rPr>
        <w:t>announced that her country would be standing for re-election to the Council at PP-18.</w:t>
      </w:r>
    </w:p>
    <w:p w14:paraId="1C25B842" w14:textId="77777777" w:rsidR="005D1DA6" w:rsidRPr="002D27A6" w:rsidRDefault="005D1DA6" w:rsidP="005D1DA6">
      <w:pPr>
        <w:tabs>
          <w:tab w:val="clear" w:pos="567"/>
          <w:tab w:val="clear" w:pos="1134"/>
          <w:tab w:val="clear" w:pos="1701"/>
          <w:tab w:val="clear" w:pos="2268"/>
          <w:tab w:val="clear" w:pos="2835"/>
        </w:tabs>
        <w:snapToGrid w:val="0"/>
        <w:spacing w:before="360" w:after="120"/>
        <w:ind w:left="709" w:hanging="709"/>
        <w:rPr>
          <w:rFonts w:asciiTheme="minorHAnsi" w:hAnsiTheme="minorHAnsi"/>
          <w:b/>
          <w:bCs/>
          <w:szCs w:val="24"/>
          <w:lang w:val="en-CA"/>
        </w:rPr>
      </w:pPr>
      <w:r>
        <w:rPr>
          <w:rFonts w:asciiTheme="minorHAnsi" w:hAnsiTheme="minorHAnsi"/>
          <w:b/>
          <w:bCs/>
          <w:szCs w:val="24"/>
          <w:lang w:val="en-CA"/>
        </w:rPr>
        <w:t>2</w:t>
      </w:r>
      <w:r w:rsidRPr="002D27A6">
        <w:rPr>
          <w:rFonts w:asciiTheme="minorHAnsi" w:hAnsiTheme="minorHAnsi"/>
          <w:b/>
          <w:bCs/>
          <w:szCs w:val="24"/>
          <w:lang w:val="en-CA"/>
        </w:rPr>
        <w:tab/>
      </w:r>
      <w:r>
        <w:rPr>
          <w:rFonts w:asciiTheme="minorHAnsi" w:hAnsiTheme="minorHAnsi"/>
          <w:b/>
          <w:bCs/>
          <w:szCs w:val="24"/>
          <w:lang w:val="en-CA"/>
        </w:rPr>
        <w:t>Proposed d</w:t>
      </w:r>
      <w:r w:rsidRPr="002D27A6">
        <w:rPr>
          <w:rFonts w:asciiTheme="minorHAnsi" w:hAnsiTheme="minorHAnsi"/>
          <w:b/>
          <w:bCs/>
          <w:szCs w:val="24"/>
          <w:lang w:val="en-CA"/>
        </w:rPr>
        <w:t xml:space="preserve">ates and duration of the 2019, 2020 and 2021 sessions of the Council (continued) (Document </w:t>
      </w:r>
      <w:hyperlink r:id="rId17" w:history="1">
        <w:r w:rsidRPr="0030663F">
          <w:rPr>
            <w:rStyle w:val="Hyperlink"/>
            <w:rFonts w:asciiTheme="minorHAnsi" w:hAnsiTheme="minorHAnsi"/>
            <w:b/>
            <w:bCs/>
            <w:szCs w:val="24"/>
            <w:lang w:val="en-CA"/>
          </w:rPr>
          <w:t>C18/2</w:t>
        </w:r>
      </w:hyperlink>
      <w:r w:rsidRPr="002D27A6">
        <w:rPr>
          <w:rFonts w:asciiTheme="minorHAnsi" w:hAnsiTheme="minorHAnsi"/>
          <w:b/>
          <w:bCs/>
          <w:szCs w:val="24"/>
          <w:lang w:val="en-CA"/>
        </w:rPr>
        <w:t>)</w:t>
      </w:r>
    </w:p>
    <w:p w14:paraId="6E1A870D" w14:textId="77777777" w:rsidR="005D1DA6" w:rsidRPr="002D27A6" w:rsidRDefault="005D1DA6" w:rsidP="00F83224">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2.1</w:t>
      </w:r>
      <w:r>
        <w:rPr>
          <w:rFonts w:asciiTheme="minorHAnsi" w:hAnsiTheme="minorHAnsi"/>
          <w:szCs w:val="24"/>
          <w:lang w:val="en-CA"/>
        </w:rPr>
        <w:tab/>
        <w:t xml:space="preserve">Following confirmation that the proposed dates of Council-19 did not overlap with the Council of Administration of UPU or any major religious </w:t>
      </w:r>
      <w:r w:rsidR="00F83224">
        <w:rPr>
          <w:rFonts w:asciiTheme="minorHAnsi" w:hAnsiTheme="minorHAnsi"/>
          <w:szCs w:val="24"/>
          <w:lang w:val="en-CA"/>
        </w:rPr>
        <w:t>period</w:t>
      </w:r>
      <w:r>
        <w:rPr>
          <w:rFonts w:asciiTheme="minorHAnsi" w:hAnsiTheme="minorHAnsi"/>
          <w:szCs w:val="24"/>
          <w:lang w:val="en-CA"/>
        </w:rPr>
        <w:t xml:space="preserve">, the Chairman said he took it that the Council wished to approve the proposed dates for its 2019, 2020 and 2021 sessions and accordingly </w:t>
      </w:r>
      <w:r w:rsidRPr="002D27A6">
        <w:rPr>
          <w:rFonts w:asciiTheme="minorHAnsi" w:hAnsiTheme="minorHAnsi"/>
          <w:szCs w:val="24"/>
          <w:lang w:val="en-CA"/>
        </w:rPr>
        <w:t xml:space="preserve">adopt the </w:t>
      </w:r>
      <w:r>
        <w:rPr>
          <w:rFonts w:asciiTheme="minorHAnsi" w:hAnsiTheme="minorHAnsi"/>
          <w:szCs w:val="24"/>
          <w:lang w:val="en-CA"/>
        </w:rPr>
        <w:t xml:space="preserve">draft </w:t>
      </w:r>
      <w:r w:rsidRPr="002D27A6">
        <w:rPr>
          <w:rFonts w:asciiTheme="minorHAnsi" w:hAnsiTheme="minorHAnsi"/>
          <w:szCs w:val="24"/>
          <w:lang w:val="en-CA"/>
        </w:rPr>
        <w:t xml:space="preserve">decision set out in </w:t>
      </w:r>
      <w:r>
        <w:rPr>
          <w:rFonts w:asciiTheme="minorHAnsi" w:hAnsiTheme="minorHAnsi"/>
          <w:szCs w:val="24"/>
          <w:lang w:val="en-CA"/>
        </w:rPr>
        <w:t xml:space="preserve">the annex to </w:t>
      </w:r>
      <w:r w:rsidRPr="002D27A6">
        <w:rPr>
          <w:rFonts w:asciiTheme="minorHAnsi" w:hAnsiTheme="minorHAnsi"/>
          <w:szCs w:val="24"/>
          <w:lang w:val="en-CA"/>
        </w:rPr>
        <w:t>Document C18/2.</w:t>
      </w:r>
    </w:p>
    <w:p w14:paraId="0ABBFE14"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2</w:t>
      </w:r>
      <w:r w:rsidRPr="002D27A6">
        <w:rPr>
          <w:rFonts w:asciiTheme="minorHAnsi" w:hAnsiTheme="minorHAnsi"/>
          <w:szCs w:val="24"/>
          <w:lang w:val="en-CA"/>
        </w:rPr>
        <w:t>.2</w:t>
      </w:r>
      <w:r w:rsidRPr="002D27A6">
        <w:rPr>
          <w:rFonts w:asciiTheme="minorHAnsi" w:hAnsiTheme="minorHAnsi"/>
          <w:szCs w:val="24"/>
          <w:lang w:val="en-CA"/>
        </w:rPr>
        <w:tab/>
      </w:r>
      <w:r>
        <w:rPr>
          <w:rFonts w:asciiTheme="minorHAnsi" w:hAnsiTheme="minorHAnsi"/>
          <w:szCs w:val="24"/>
          <w:lang w:val="en-CA"/>
        </w:rPr>
        <w:t xml:space="preserve">It was so </w:t>
      </w:r>
      <w:r w:rsidRPr="002D27A6">
        <w:rPr>
          <w:rFonts w:asciiTheme="minorHAnsi" w:hAnsiTheme="minorHAnsi"/>
          <w:b/>
          <w:bCs/>
          <w:szCs w:val="24"/>
          <w:lang w:val="en-CA"/>
        </w:rPr>
        <w:t>a</w:t>
      </w:r>
      <w:r>
        <w:rPr>
          <w:rFonts w:asciiTheme="minorHAnsi" w:hAnsiTheme="minorHAnsi"/>
          <w:b/>
          <w:bCs/>
          <w:szCs w:val="24"/>
          <w:lang w:val="en-CA"/>
        </w:rPr>
        <w:t>greed</w:t>
      </w:r>
      <w:r w:rsidRPr="002D27A6">
        <w:rPr>
          <w:rFonts w:asciiTheme="minorHAnsi" w:hAnsiTheme="minorHAnsi"/>
          <w:szCs w:val="24"/>
          <w:lang w:val="en-CA"/>
        </w:rPr>
        <w:t>.</w:t>
      </w:r>
    </w:p>
    <w:p w14:paraId="690EFE95" w14:textId="77777777" w:rsidR="005D1DA6" w:rsidRDefault="005D1DA6" w:rsidP="005D1DA6">
      <w:pPr>
        <w:tabs>
          <w:tab w:val="clear" w:pos="567"/>
          <w:tab w:val="clear" w:pos="1134"/>
          <w:tab w:val="clear" w:pos="1701"/>
          <w:tab w:val="clear" w:pos="2268"/>
          <w:tab w:val="clear" w:pos="2835"/>
        </w:tabs>
        <w:snapToGrid w:val="0"/>
        <w:spacing w:before="360" w:after="120"/>
        <w:ind w:left="709" w:hanging="709"/>
        <w:rPr>
          <w:rFonts w:asciiTheme="minorHAnsi" w:hAnsiTheme="minorHAnsi"/>
          <w:szCs w:val="24"/>
          <w:lang w:val="en-CA"/>
        </w:rPr>
      </w:pPr>
      <w:r>
        <w:rPr>
          <w:rFonts w:asciiTheme="minorHAnsi" w:hAnsiTheme="minorHAnsi"/>
          <w:b/>
          <w:bCs/>
          <w:szCs w:val="24"/>
          <w:lang w:val="en-CA"/>
        </w:rPr>
        <w:t>3</w:t>
      </w:r>
      <w:r w:rsidRPr="007158B9">
        <w:rPr>
          <w:rFonts w:asciiTheme="minorHAnsi" w:hAnsiTheme="minorHAnsi"/>
          <w:b/>
          <w:bCs/>
          <w:szCs w:val="24"/>
          <w:lang w:val="en-CA"/>
        </w:rPr>
        <w:tab/>
        <w:t>Oral report by the Chairman of the Standing Committee on Administration and Management</w:t>
      </w:r>
      <w:r>
        <w:rPr>
          <w:rFonts w:asciiTheme="minorHAnsi" w:hAnsiTheme="minorHAnsi"/>
          <w:b/>
          <w:bCs/>
          <w:szCs w:val="24"/>
          <w:lang w:val="en-CA"/>
        </w:rPr>
        <w:t xml:space="preserve"> (Documents </w:t>
      </w:r>
      <w:hyperlink r:id="rId18" w:history="1">
        <w:r w:rsidRPr="0030663F">
          <w:rPr>
            <w:rStyle w:val="Hyperlink"/>
            <w:rFonts w:asciiTheme="minorHAnsi" w:hAnsiTheme="minorHAnsi"/>
            <w:b/>
            <w:bCs/>
            <w:szCs w:val="24"/>
            <w:lang w:val="en-CA"/>
          </w:rPr>
          <w:t>C18/85(Rev.1)</w:t>
        </w:r>
      </w:hyperlink>
      <w:r>
        <w:rPr>
          <w:rFonts w:asciiTheme="minorHAnsi" w:hAnsiTheme="minorHAnsi"/>
          <w:b/>
          <w:bCs/>
          <w:szCs w:val="24"/>
          <w:lang w:val="en-CA"/>
        </w:rPr>
        <w:t xml:space="preserve">, </w:t>
      </w:r>
      <w:hyperlink r:id="rId19" w:history="1">
        <w:r w:rsidRPr="0030663F">
          <w:rPr>
            <w:rStyle w:val="Hyperlink"/>
            <w:rFonts w:asciiTheme="minorHAnsi" w:hAnsiTheme="minorHAnsi"/>
            <w:b/>
            <w:bCs/>
            <w:szCs w:val="24"/>
            <w:lang w:val="en-CA"/>
          </w:rPr>
          <w:t>C18/DT/7</w:t>
        </w:r>
      </w:hyperlink>
      <w:r>
        <w:rPr>
          <w:rFonts w:asciiTheme="minorHAnsi" w:hAnsiTheme="minorHAnsi"/>
          <w:b/>
          <w:bCs/>
          <w:szCs w:val="24"/>
          <w:lang w:val="en-CA"/>
        </w:rPr>
        <w:t xml:space="preserve">, </w:t>
      </w:r>
      <w:hyperlink r:id="rId20" w:history="1">
        <w:r w:rsidRPr="0030663F">
          <w:rPr>
            <w:rStyle w:val="Hyperlink"/>
            <w:rFonts w:asciiTheme="minorHAnsi" w:hAnsiTheme="minorHAnsi"/>
            <w:b/>
            <w:bCs/>
            <w:szCs w:val="24"/>
            <w:lang w:val="en-CA"/>
          </w:rPr>
          <w:t>C18/DT/8(Rev.2)</w:t>
        </w:r>
      </w:hyperlink>
      <w:r>
        <w:rPr>
          <w:rFonts w:asciiTheme="minorHAnsi" w:hAnsiTheme="minorHAnsi"/>
          <w:b/>
          <w:bCs/>
          <w:szCs w:val="24"/>
          <w:lang w:val="en-CA"/>
        </w:rPr>
        <w:t xml:space="preserve"> and </w:t>
      </w:r>
      <w:hyperlink r:id="rId21" w:history="1">
        <w:r w:rsidRPr="0030663F">
          <w:rPr>
            <w:rStyle w:val="Hyperlink"/>
            <w:rFonts w:asciiTheme="minorHAnsi" w:hAnsiTheme="minorHAnsi"/>
            <w:b/>
            <w:bCs/>
            <w:szCs w:val="24"/>
            <w:lang w:val="en-CA"/>
          </w:rPr>
          <w:t>C18/DT/9</w:t>
        </w:r>
      </w:hyperlink>
      <w:r>
        <w:rPr>
          <w:rFonts w:asciiTheme="minorHAnsi" w:hAnsiTheme="minorHAnsi"/>
          <w:b/>
          <w:bCs/>
          <w:szCs w:val="24"/>
          <w:lang w:val="en-CA"/>
        </w:rPr>
        <w:t>)</w:t>
      </w:r>
    </w:p>
    <w:p w14:paraId="7F49989B"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w:t>
      </w:r>
      <w:r>
        <w:rPr>
          <w:rFonts w:asciiTheme="minorHAnsi" w:hAnsiTheme="minorHAnsi"/>
          <w:szCs w:val="24"/>
          <w:lang w:val="en-CA"/>
        </w:rPr>
        <w:tab/>
        <w:t>Pending the translation and publication of the report of the Standing Committee on Administration and Management, the Chairman of the Standing Committee submitted a number of points to the Plenary for approval and decision.</w:t>
      </w:r>
    </w:p>
    <w:p w14:paraId="45706386" w14:textId="77777777" w:rsidR="005D1DA6" w:rsidRPr="00FD0586" w:rsidRDefault="005D1DA6" w:rsidP="005D1DA6">
      <w:pPr>
        <w:tabs>
          <w:tab w:val="clear" w:pos="567"/>
          <w:tab w:val="clear" w:pos="1134"/>
          <w:tab w:val="clear" w:pos="1701"/>
          <w:tab w:val="clear" w:pos="2268"/>
          <w:tab w:val="clear" w:pos="2835"/>
        </w:tabs>
        <w:snapToGrid w:val="0"/>
        <w:spacing w:after="120"/>
        <w:rPr>
          <w:rFonts w:asciiTheme="minorHAnsi" w:hAnsiTheme="minorHAnsi"/>
          <w:b/>
          <w:bCs/>
          <w:szCs w:val="24"/>
          <w:lang w:val="en-CA"/>
        </w:rPr>
      </w:pPr>
      <w:r>
        <w:rPr>
          <w:rFonts w:asciiTheme="minorHAnsi" w:hAnsiTheme="minorHAnsi"/>
          <w:b/>
          <w:bCs/>
          <w:szCs w:val="24"/>
          <w:lang w:val="en-CA"/>
        </w:rPr>
        <w:t xml:space="preserve">Establishment of an ITU South Asian area office and technology innovation centre in India </w:t>
      </w:r>
      <w:r w:rsidRPr="00FD0586">
        <w:rPr>
          <w:rFonts w:asciiTheme="minorHAnsi" w:hAnsiTheme="minorHAnsi"/>
          <w:b/>
          <w:bCs/>
          <w:szCs w:val="24"/>
          <w:lang w:val="en-CA"/>
        </w:rPr>
        <w:t>(Document C18/85 (Rev.1))</w:t>
      </w:r>
    </w:p>
    <w:p w14:paraId="03A6F735"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3.2</w:t>
      </w:r>
      <w:r>
        <w:rPr>
          <w:rFonts w:asciiTheme="minorHAnsi" w:hAnsiTheme="minorHAnsi"/>
          <w:szCs w:val="24"/>
          <w:lang w:val="en-CA"/>
        </w:rPr>
        <w:tab/>
        <w:t>The Chairman of the Standing Committee said that the Standing Committee's discussion of the proposal from India, Bangladesh, Burkina Faso and Nigeria, set out in Document C18/85 (Rev.1), to establish an ITU South Asian area office and technology innovation centre in India, would be summarized in the Standing Committee’s report to the Plenary. The Standing Committee had concluded that the opening of such an office would have indirect but no direct financial implications.</w:t>
      </w:r>
    </w:p>
    <w:p w14:paraId="37665278"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3.3</w:t>
      </w:r>
      <w:r>
        <w:rPr>
          <w:rFonts w:asciiTheme="minorHAnsi" w:hAnsiTheme="minorHAnsi"/>
          <w:szCs w:val="24"/>
          <w:lang w:val="en-CA"/>
        </w:rPr>
        <w:tab/>
        <w:t>The councillor from India reviewed the reasons underlying the proposal, which the Council was asked to approve in principle. In response to a question from one councillor, she noted that Pakistan was agreeable to the idea of opening an office in the area and that India stood ready to provide all the infrastructure and logistical support needed.</w:t>
      </w:r>
    </w:p>
    <w:p w14:paraId="6B76917E"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3.4</w:t>
      </w:r>
      <w:r>
        <w:rPr>
          <w:rFonts w:asciiTheme="minorHAnsi" w:hAnsiTheme="minorHAnsi"/>
          <w:szCs w:val="24"/>
          <w:lang w:val="en-CA"/>
        </w:rPr>
        <w:tab/>
        <w:t>Numerous councillors, noting that the Asia and Pacific Region was home to over one third of the world's population, expressed support for the proposal by India and agreed that the Council should approve the establishment of an area office in principle. The Council should ask the secretariat to conduct due diligence on, for example, the financial implications, the contractual arrangements, and privileges and immunities, and report to the final meeting of Council-18, which would be held just before PP-18. The due diligence should take full account of the issues raised during the Standing Committee’s discussions. One of the councillors supporting the proposal encouraged India to pursue its consultations with neighbouring countries. A second suggested that the time had come for a close look at the ITU regional presence and the means made available for carrying out the tasks related thereto. A third suggested that some of the legal documents pertaining to the establishment of regional offices might need to be amended as a consequence.</w:t>
      </w:r>
    </w:p>
    <w:p w14:paraId="3EB88F0D" w14:textId="77777777" w:rsidR="005D1DA6" w:rsidRDefault="005D1DA6" w:rsidP="00E805A6">
      <w:pPr>
        <w:keepNext/>
        <w:keepLines/>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lastRenderedPageBreak/>
        <w:t>3.5</w:t>
      </w:r>
      <w:r>
        <w:rPr>
          <w:rFonts w:asciiTheme="minorHAnsi" w:hAnsiTheme="minorHAnsi"/>
          <w:szCs w:val="24"/>
          <w:lang w:val="en-CA"/>
        </w:rPr>
        <w:tab/>
        <w:t xml:space="preserve">One councillor, pointing out that the final Council meeting held just before plenipotentiary conferences had a specific aim, namely to ensure that the conference ran smoothly, wondered how much time the final meeting of Council-18 would be able to devote to discussion of the matter at hand. </w:t>
      </w:r>
    </w:p>
    <w:p w14:paraId="4954BE5D" w14:textId="5C74CA93" w:rsidR="005D1DA6" w:rsidRDefault="005D1DA6" w:rsidP="00141DE8">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3.6</w:t>
      </w:r>
      <w:r>
        <w:rPr>
          <w:rFonts w:asciiTheme="minorHAnsi" w:hAnsiTheme="minorHAnsi"/>
          <w:szCs w:val="24"/>
          <w:lang w:val="en-CA"/>
        </w:rPr>
        <w:tab/>
        <w:t xml:space="preserve">The Chairman took it that the Council wished to approve the principle of the establishment of </w:t>
      </w:r>
      <w:r w:rsidR="00141DE8">
        <w:rPr>
          <w:rFonts w:asciiTheme="minorHAnsi" w:hAnsiTheme="minorHAnsi"/>
          <w:szCs w:val="24"/>
          <w:lang w:val="en-CA"/>
        </w:rPr>
        <w:t xml:space="preserve">this </w:t>
      </w:r>
      <w:r>
        <w:rPr>
          <w:rFonts w:asciiTheme="minorHAnsi" w:hAnsiTheme="minorHAnsi"/>
          <w:szCs w:val="24"/>
          <w:lang w:val="en-CA"/>
        </w:rPr>
        <w:t xml:space="preserve">ITU </w:t>
      </w:r>
      <w:r w:rsidR="000766B7">
        <w:rPr>
          <w:rFonts w:asciiTheme="minorHAnsi" w:hAnsiTheme="minorHAnsi"/>
          <w:szCs w:val="24"/>
          <w:lang w:val="en-CA"/>
        </w:rPr>
        <w:t>A</w:t>
      </w:r>
      <w:r>
        <w:rPr>
          <w:rFonts w:asciiTheme="minorHAnsi" w:hAnsiTheme="minorHAnsi"/>
          <w:szCs w:val="24"/>
          <w:lang w:val="en-CA"/>
        </w:rPr>
        <w:t xml:space="preserve">rea </w:t>
      </w:r>
      <w:r w:rsidR="000766B7">
        <w:rPr>
          <w:rFonts w:asciiTheme="minorHAnsi" w:hAnsiTheme="minorHAnsi"/>
          <w:szCs w:val="24"/>
          <w:lang w:val="en-CA"/>
        </w:rPr>
        <w:t>O</w:t>
      </w:r>
      <w:r>
        <w:rPr>
          <w:rFonts w:asciiTheme="minorHAnsi" w:hAnsiTheme="minorHAnsi"/>
          <w:szCs w:val="24"/>
          <w:lang w:val="en-CA"/>
        </w:rPr>
        <w:t>ffice</w:t>
      </w:r>
      <w:r w:rsidR="000766B7">
        <w:rPr>
          <w:rFonts w:asciiTheme="minorHAnsi" w:hAnsiTheme="minorHAnsi"/>
          <w:szCs w:val="24"/>
          <w:lang w:val="en-CA"/>
        </w:rPr>
        <w:t xml:space="preserve"> for South Asia</w:t>
      </w:r>
      <w:r>
        <w:rPr>
          <w:rFonts w:asciiTheme="minorHAnsi" w:hAnsiTheme="minorHAnsi"/>
          <w:szCs w:val="24"/>
          <w:lang w:val="en-CA"/>
        </w:rPr>
        <w:t>, with a final decision to be taken at the final meeting of Council-18, and to request the secretariat to undertake further analyses and report to the Council on matters such as the indirect financial implications, contractual relationships between those seconded to that office, diplomatic immunity and equipment.</w:t>
      </w:r>
    </w:p>
    <w:p w14:paraId="5317CB0D"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3.7</w:t>
      </w:r>
      <w:r>
        <w:rPr>
          <w:rFonts w:asciiTheme="minorHAnsi" w:hAnsiTheme="minorHAnsi"/>
          <w:szCs w:val="24"/>
          <w:lang w:val="en-CA"/>
        </w:rPr>
        <w:tab/>
        <w:t xml:space="preserve">It was so </w:t>
      </w:r>
      <w:r>
        <w:rPr>
          <w:rFonts w:asciiTheme="minorHAnsi" w:hAnsiTheme="minorHAnsi"/>
          <w:b/>
          <w:bCs/>
          <w:szCs w:val="24"/>
          <w:lang w:val="en-CA"/>
        </w:rPr>
        <w:t>agreed</w:t>
      </w:r>
      <w:r>
        <w:rPr>
          <w:rFonts w:asciiTheme="minorHAnsi" w:hAnsiTheme="minorHAnsi"/>
          <w:szCs w:val="24"/>
          <w:lang w:val="en-CA"/>
        </w:rPr>
        <w:t>.</w:t>
      </w:r>
    </w:p>
    <w:p w14:paraId="52D5A6AF" w14:textId="77777777" w:rsidR="005D1DA6" w:rsidRPr="00FD0586" w:rsidRDefault="005D1DA6" w:rsidP="005D1DA6">
      <w:pPr>
        <w:tabs>
          <w:tab w:val="clear" w:pos="567"/>
          <w:tab w:val="clear" w:pos="1134"/>
          <w:tab w:val="clear" w:pos="1701"/>
          <w:tab w:val="clear" w:pos="2268"/>
          <w:tab w:val="clear" w:pos="2835"/>
        </w:tabs>
        <w:snapToGrid w:val="0"/>
        <w:spacing w:before="240" w:after="120"/>
        <w:rPr>
          <w:rFonts w:asciiTheme="minorHAnsi" w:hAnsiTheme="minorHAnsi"/>
          <w:b/>
          <w:bCs/>
          <w:szCs w:val="24"/>
          <w:lang w:val="en-CA"/>
        </w:rPr>
      </w:pPr>
      <w:r w:rsidRPr="00FD0586">
        <w:rPr>
          <w:rFonts w:asciiTheme="minorHAnsi" w:hAnsiTheme="minorHAnsi"/>
          <w:b/>
          <w:bCs/>
          <w:szCs w:val="24"/>
          <w:lang w:val="en-CA"/>
        </w:rPr>
        <w:t xml:space="preserve">Creation of post </w:t>
      </w:r>
      <w:r>
        <w:rPr>
          <w:rFonts w:asciiTheme="minorHAnsi" w:hAnsiTheme="minorHAnsi"/>
          <w:b/>
          <w:bCs/>
          <w:szCs w:val="24"/>
          <w:lang w:val="en-CA"/>
        </w:rPr>
        <w:t>D1, regional d</w:t>
      </w:r>
      <w:r w:rsidRPr="00FD0586">
        <w:rPr>
          <w:rFonts w:asciiTheme="minorHAnsi" w:hAnsiTheme="minorHAnsi"/>
          <w:b/>
          <w:bCs/>
          <w:szCs w:val="24"/>
          <w:lang w:val="en-CA"/>
        </w:rPr>
        <w:t>irector, ITU Regional Office for the CIS Region (Document C18/DT/9)</w:t>
      </w:r>
    </w:p>
    <w:p w14:paraId="6968762B"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3.8</w:t>
      </w:r>
      <w:r>
        <w:rPr>
          <w:rFonts w:asciiTheme="minorHAnsi" w:hAnsiTheme="minorHAnsi"/>
          <w:szCs w:val="24"/>
          <w:lang w:val="en-CA"/>
        </w:rPr>
        <w:tab/>
        <w:t>The Chairman of the Standing Committee introduced the draft decision on the proposed structure of the ITU Regional Office for the CIS Region and the creation of the related D1 post of regional director, set out in Document C18/DT/9. In reply to a comment from one councillor, she confirmed that the report of the Standing Committee would contain a paragraph on the modifications that would have to be made to the draft financial plan 2020-2023 as a result.</w:t>
      </w:r>
    </w:p>
    <w:p w14:paraId="678A2D5B"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3.9</w:t>
      </w:r>
      <w:r>
        <w:rPr>
          <w:rFonts w:asciiTheme="minorHAnsi" w:hAnsiTheme="minorHAnsi"/>
          <w:szCs w:val="24"/>
          <w:lang w:val="en-CA"/>
        </w:rPr>
        <w:tab/>
        <w:t xml:space="preserve">The draft decision in Document C18/DT/9 was </w:t>
      </w:r>
      <w:r>
        <w:rPr>
          <w:rFonts w:asciiTheme="minorHAnsi" w:hAnsiTheme="minorHAnsi"/>
          <w:b/>
          <w:bCs/>
          <w:szCs w:val="24"/>
          <w:lang w:val="en-CA"/>
        </w:rPr>
        <w:t>adopted</w:t>
      </w:r>
      <w:r>
        <w:rPr>
          <w:rFonts w:asciiTheme="minorHAnsi" w:hAnsiTheme="minorHAnsi"/>
          <w:szCs w:val="24"/>
          <w:lang w:val="en-CA"/>
        </w:rPr>
        <w:t>.</w:t>
      </w:r>
    </w:p>
    <w:p w14:paraId="3AFADED1" w14:textId="77777777" w:rsidR="005D1DA6" w:rsidRPr="00FD0586" w:rsidRDefault="005D1DA6" w:rsidP="005D1DA6">
      <w:pPr>
        <w:tabs>
          <w:tab w:val="clear" w:pos="567"/>
          <w:tab w:val="clear" w:pos="1134"/>
          <w:tab w:val="clear" w:pos="1701"/>
          <w:tab w:val="clear" w:pos="2268"/>
          <w:tab w:val="clear" w:pos="2835"/>
        </w:tabs>
        <w:snapToGrid w:val="0"/>
        <w:spacing w:before="0" w:after="120"/>
        <w:rPr>
          <w:rFonts w:asciiTheme="minorHAnsi" w:hAnsiTheme="minorHAnsi"/>
          <w:b/>
          <w:bCs/>
          <w:szCs w:val="24"/>
          <w:lang w:val="en-CA"/>
        </w:rPr>
      </w:pPr>
      <w:r w:rsidRPr="00FD0586">
        <w:rPr>
          <w:rFonts w:asciiTheme="minorHAnsi" w:hAnsiTheme="minorHAnsi"/>
          <w:b/>
          <w:bCs/>
          <w:szCs w:val="24"/>
          <w:lang w:val="en-CA"/>
        </w:rPr>
        <w:t>Revision of Decision 482 (Document C18/DT/7)</w:t>
      </w:r>
    </w:p>
    <w:p w14:paraId="4542BAD6"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3.10</w:t>
      </w:r>
      <w:r>
        <w:rPr>
          <w:rFonts w:asciiTheme="minorHAnsi" w:hAnsiTheme="minorHAnsi"/>
          <w:szCs w:val="24"/>
          <w:lang w:val="en-CA"/>
        </w:rPr>
        <w:tab/>
        <w:t>The Chairman of the Standing Committee introduced Document C18/DT/7, which contained modifications to Decision 482 to accommodate the implementation of Procedure A (see Document C18/36) for cost recovery for satellite network filings; implementation of Procedures B and C was deferred.</w:t>
      </w:r>
    </w:p>
    <w:p w14:paraId="2C068573"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3.11</w:t>
      </w:r>
      <w:r>
        <w:rPr>
          <w:rFonts w:asciiTheme="minorHAnsi" w:hAnsiTheme="minorHAnsi"/>
          <w:szCs w:val="24"/>
          <w:lang w:val="en-CA"/>
        </w:rPr>
        <w:tab/>
        <w:t xml:space="preserve">The modifications to Decision 482 (Document C18/DT/7) were </w:t>
      </w:r>
      <w:r>
        <w:rPr>
          <w:rFonts w:asciiTheme="minorHAnsi" w:hAnsiTheme="minorHAnsi"/>
          <w:b/>
          <w:bCs/>
          <w:szCs w:val="24"/>
          <w:lang w:val="en-CA"/>
        </w:rPr>
        <w:t>approved</w:t>
      </w:r>
      <w:r>
        <w:rPr>
          <w:rFonts w:asciiTheme="minorHAnsi" w:hAnsiTheme="minorHAnsi"/>
          <w:szCs w:val="24"/>
          <w:lang w:val="en-CA"/>
        </w:rPr>
        <w:t>.</w:t>
      </w:r>
    </w:p>
    <w:p w14:paraId="113A613A" w14:textId="77777777" w:rsidR="005D1DA6" w:rsidRPr="00FD0586" w:rsidRDefault="005D1DA6" w:rsidP="005D1DA6">
      <w:pPr>
        <w:tabs>
          <w:tab w:val="clear" w:pos="567"/>
          <w:tab w:val="clear" w:pos="1134"/>
          <w:tab w:val="clear" w:pos="1701"/>
          <w:tab w:val="clear" w:pos="2268"/>
          <w:tab w:val="clear" w:pos="2835"/>
        </w:tabs>
        <w:snapToGrid w:val="0"/>
        <w:spacing w:after="120"/>
        <w:rPr>
          <w:rFonts w:asciiTheme="minorHAnsi" w:hAnsiTheme="minorHAnsi"/>
          <w:b/>
          <w:bCs/>
          <w:szCs w:val="24"/>
          <w:lang w:val="en-CA"/>
        </w:rPr>
      </w:pPr>
      <w:r w:rsidRPr="00FD0586">
        <w:rPr>
          <w:rFonts w:asciiTheme="minorHAnsi" w:hAnsiTheme="minorHAnsi"/>
          <w:b/>
          <w:bCs/>
          <w:szCs w:val="24"/>
          <w:lang w:val="en-CA"/>
        </w:rPr>
        <w:t>Terms of reference of the Council Expert Group on Decision 482 (Document C18/DT/8 (Rev.2))</w:t>
      </w:r>
    </w:p>
    <w:p w14:paraId="07B09663"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3.12</w:t>
      </w:r>
      <w:r>
        <w:rPr>
          <w:rFonts w:asciiTheme="minorHAnsi" w:hAnsiTheme="minorHAnsi"/>
          <w:szCs w:val="24"/>
          <w:lang w:val="en-CA"/>
        </w:rPr>
        <w:tab/>
        <w:t>The Chairman of the Standing Committee said that Document C18/DT/8 (Rev.2) represented a carefully crafted compromise on the terms of reference of the Council Expert Group on Decision 482.</w:t>
      </w:r>
    </w:p>
    <w:p w14:paraId="1C85FCCE" w14:textId="77777777" w:rsidR="005D1DA6"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3.13</w:t>
      </w:r>
      <w:r>
        <w:rPr>
          <w:rFonts w:asciiTheme="minorHAnsi" w:hAnsiTheme="minorHAnsi"/>
          <w:szCs w:val="24"/>
          <w:lang w:val="en-CA"/>
        </w:rPr>
        <w:tab/>
        <w:t xml:space="preserve">The terms of reference of the Council Expert Group on Decision 482 were </w:t>
      </w:r>
      <w:r>
        <w:rPr>
          <w:rFonts w:asciiTheme="minorHAnsi" w:hAnsiTheme="minorHAnsi"/>
          <w:b/>
          <w:bCs/>
          <w:szCs w:val="24"/>
          <w:lang w:val="en-CA"/>
        </w:rPr>
        <w:t>approved</w:t>
      </w:r>
      <w:r>
        <w:rPr>
          <w:rFonts w:asciiTheme="minorHAnsi" w:hAnsiTheme="minorHAnsi"/>
          <w:szCs w:val="24"/>
          <w:lang w:val="en-CA"/>
        </w:rPr>
        <w:t xml:space="preserve">. </w:t>
      </w:r>
    </w:p>
    <w:p w14:paraId="5B401E16" w14:textId="77777777" w:rsidR="005D1DA6" w:rsidRPr="00293587" w:rsidRDefault="005D1DA6" w:rsidP="005D1D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3.14</w:t>
      </w:r>
      <w:r>
        <w:rPr>
          <w:rFonts w:asciiTheme="minorHAnsi" w:hAnsiTheme="minorHAnsi"/>
          <w:szCs w:val="24"/>
          <w:lang w:val="en-CA"/>
        </w:rPr>
        <w:tab/>
        <w:t>The Director of BR said that consultations were being held regarding the appointment of the Chairman of the Expert Group.</w:t>
      </w:r>
    </w:p>
    <w:p w14:paraId="45CF151F" w14:textId="77777777" w:rsidR="00FB54A4" w:rsidRPr="00C13907" w:rsidRDefault="00FB54A4" w:rsidP="00FB54A4">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14:paraId="346A2C04" w14:textId="77777777" w:rsidR="00FB54A4" w:rsidRDefault="00FB54A4" w:rsidP="00FB54A4">
      <w:pPr>
        <w:tabs>
          <w:tab w:val="clear" w:pos="567"/>
          <w:tab w:val="clear" w:pos="1134"/>
          <w:tab w:val="clear" w:pos="1701"/>
          <w:tab w:val="clear" w:pos="2268"/>
          <w:tab w:val="clear" w:pos="2835"/>
          <w:tab w:val="left" w:pos="6521"/>
        </w:tabs>
        <w:snapToGrid w:val="0"/>
        <w:spacing w:after="120"/>
        <w:rPr>
          <w:szCs w:val="24"/>
        </w:rPr>
      </w:pPr>
      <w:r w:rsidRPr="00C13907">
        <w:rPr>
          <w:szCs w:val="24"/>
        </w:rPr>
        <w:t>H. ZHAO</w:t>
      </w:r>
      <w:r w:rsidRPr="00C13907">
        <w:rPr>
          <w:szCs w:val="24"/>
        </w:rPr>
        <w:tab/>
      </w:r>
      <w:r>
        <w:rPr>
          <w:szCs w:val="24"/>
        </w:rPr>
        <w:t>R. ISMAILOV</w:t>
      </w:r>
    </w:p>
    <w:p w14:paraId="6827628D" w14:textId="77777777" w:rsidR="00264425" w:rsidRPr="00FB54A4" w:rsidRDefault="00FB54A4" w:rsidP="00FB54A4">
      <w:pPr>
        <w:tabs>
          <w:tab w:val="clear" w:pos="567"/>
          <w:tab w:val="clear" w:pos="1134"/>
          <w:tab w:val="clear" w:pos="1701"/>
          <w:tab w:val="clear" w:pos="2268"/>
          <w:tab w:val="clear" w:pos="2835"/>
        </w:tabs>
        <w:snapToGrid w:val="0"/>
        <w:spacing w:before="840"/>
        <w:jc w:val="center"/>
        <w:rPr>
          <w:szCs w:val="24"/>
        </w:rPr>
      </w:pPr>
      <w:r>
        <w:rPr>
          <w:szCs w:val="24"/>
        </w:rPr>
        <w:t>__________________</w:t>
      </w:r>
    </w:p>
    <w:sectPr w:rsidR="00264425" w:rsidRPr="00FB54A4" w:rsidSect="004D1851">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0F463" w14:textId="77777777" w:rsidR="000B6686" w:rsidRDefault="000B6686">
      <w:r>
        <w:separator/>
      </w:r>
    </w:p>
  </w:endnote>
  <w:endnote w:type="continuationSeparator" w:id="0">
    <w:p w14:paraId="006889CE" w14:textId="77777777" w:rsidR="000B6686" w:rsidRDefault="000B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17DC" w14:textId="77777777" w:rsidR="00CB18FF" w:rsidRDefault="00793DBC">
    <w:pPr>
      <w:pStyle w:val="Footer"/>
    </w:pPr>
    <w:r>
      <w:fldChar w:fldCharType="begin"/>
    </w:r>
    <w:r>
      <w:instrText xml:space="preserve"> FILENAME \p  \* MERGEFORMAT </w:instrText>
    </w:r>
    <w:r>
      <w:fldChar w:fldCharType="separate"/>
    </w:r>
    <w:r w:rsidR="001859E0">
      <w:t>Document1</w:t>
    </w:r>
    <w:r>
      <w:fldChar w:fldCharType="end"/>
    </w:r>
    <w:r w:rsidR="00CB18FF">
      <w:tab/>
    </w:r>
    <w:r w:rsidR="00864AFF">
      <w:fldChar w:fldCharType="begin"/>
    </w:r>
    <w:r w:rsidR="00CB18FF">
      <w:instrText xml:space="preserve"> SAVEDATE \@ DD.MM.YY </w:instrText>
    </w:r>
    <w:r w:rsidR="00864AFF">
      <w:fldChar w:fldCharType="separate"/>
    </w:r>
    <w:r>
      <w:t>29.05.18</w:t>
    </w:r>
    <w:r w:rsidR="00864AFF">
      <w:fldChar w:fldCharType="end"/>
    </w:r>
    <w:r w:rsidR="00CB18FF">
      <w:tab/>
    </w:r>
    <w:r w:rsidR="00864AFF">
      <w:fldChar w:fldCharType="begin"/>
    </w:r>
    <w:r w:rsidR="00CB18FF">
      <w:instrText xml:space="preserve"> PRINTDATE \@ DD.MM.YY </w:instrText>
    </w:r>
    <w:r w:rsidR="00864AFF">
      <w:fldChar w:fldCharType="separate"/>
    </w:r>
    <w:r w:rsidR="001859E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FD33"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E269" w14:textId="77777777" w:rsidR="00CB18FF" w:rsidRPr="00E805A6" w:rsidRDefault="009F66A1" w:rsidP="001A5193">
    <w:pPr>
      <w:pStyle w:val="Footer"/>
      <w:rPr>
        <w:color w:val="D9D9D9" w:themeColor="background1" w:themeShade="D9"/>
      </w:rPr>
    </w:pPr>
    <w:r w:rsidRPr="00E805A6">
      <w:rPr>
        <w:color w:val="D9D9D9" w:themeColor="background1" w:themeShade="D9"/>
      </w:rPr>
      <w:fldChar w:fldCharType="begin"/>
    </w:r>
    <w:r w:rsidRPr="00E805A6">
      <w:rPr>
        <w:color w:val="D9D9D9" w:themeColor="background1" w:themeShade="D9"/>
      </w:rPr>
      <w:instrText xml:space="preserve"> FILENAME  \* Upper \p  \* MERGEFORMAT </w:instrText>
    </w:r>
    <w:r w:rsidRPr="00E805A6">
      <w:rPr>
        <w:color w:val="D9D9D9" w:themeColor="background1" w:themeShade="D9"/>
      </w:rPr>
      <w:fldChar w:fldCharType="separate"/>
    </w:r>
    <w:r w:rsidR="00231D62" w:rsidRPr="00E805A6">
      <w:rPr>
        <w:caps w:val="0"/>
        <w:color w:val="D9D9D9" w:themeColor="background1" w:themeShade="D9"/>
      </w:rPr>
      <w:t>C:\USERS\JEMAAT\DESKTOP\C-18\PLENARY3.DOCX</w:t>
    </w:r>
    <w:r w:rsidRPr="00E805A6">
      <w:rPr>
        <w:caps w:val="0"/>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D76F" w14:textId="77777777" w:rsidR="00322D0D" w:rsidRPr="00FB54A4" w:rsidRDefault="00322D0D" w:rsidP="00FB5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45A00" w14:textId="77777777" w:rsidR="000B6686" w:rsidRDefault="000B6686">
      <w:r>
        <w:t>____________________</w:t>
      </w:r>
    </w:p>
  </w:footnote>
  <w:footnote w:type="continuationSeparator" w:id="0">
    <w:p w14:paraId="0856EA77" w14:textId="77777777" w:rsidR="000B6686" w:rsidRDefault="000B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4ECB" w14:textId="77777777" w:rsidR="00322D0D" w:rsidRDefault="006535F1" w:rsidP="00CE433C">
    <w:pPr>
      <w:pStyle w:val="Header"/>
    </w:pPr>
    <w:r>
      <w:fldChar w:fldCharType="begin"/>
    </w:r>
    <w:r>
      <w:instrText>PAGE</w:instrText>
    </w:r>
    <w:r>
      <w:fldChar w:fldCharType="separate"/>
    </w:r>
    <w:r w:rsidR="00FB54A4">
      <w:rPr>
        <w:noProof/>
      </w:rPr>
      <w:t>3</w:t>
    </w:r>
    <w:r>
      <w:rPr>
        <w:noProof/>
      </w:rPr>
      <w:fldChar w:fldCharType="end"/>
    </w:r>
  </w:p>
  <w:p w14:paraId="257D70F4" w14:textId="77777777"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0202" w14:textId="77777777" w:rsidR="00322D0D" w:rsidRDefault="006535F1" w:rsidP="00CE433C">
    <w:pPr>
      <w:pStyle w:val="Header"/>
    </w:pPr>
    <w:r>
      <w:fldChar w:fldCharType="begin"/>
    </w:r>
    <w:r>
      <w:instrText>PAGE</w:instrText>
    </w:r>
    <w:r>
      <w:fldChar w:fldCharType="separate"/>
    </w:r>
    <w:r w:rsidR="00793DBC">
      <w:rPr>
        <w:noProof/>
      </w:rPr>
      <w:t>3</w:t>
    </w:r>
    <w:r>
      <w:rPr>
        <w:noProof/>
      </w:rPr>
      <w:fldChar w:fldCharType="end"/>
    </w:r>
  </w:p>
  <w:p w14:paraId="2B69E177" w14:textId="77777777" w:rsidR="00322D0D" w:rsidRPr="00623AE3" w:rsidRDefault="005D1DA6" w:rsidP="005243FF">
    <w:pPr>
      <w:pStyle w:val="Header"/>
      <w:rPr>
        <w:bCs/>
      </w:rPr>
    </w:pPr>
    <w:r>
      <w:rPr>
        <w:bCs/>
      </w:rPr>
      <w:t>C18/119</w:t>
    </w:r>
    <w:r w:rsidR="00623AE3"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1481" w14:textId="77777777" w:rsidR="00FB54A4" w:rsidRDefault="00FB54A4" w:rsidP="00FB54A4">
    <w:pPr>
      <w:pStyle w:val="Header"/>
    </w:pPr>
    <w:r>
      <w:fldChar w:fldCharType="begin"/>
    </w:r>
    <w:r>
      <w:instrText>PAGE</w:instrText>
    </w:r>
    <w:r>
      <w:fldChar w:fldCharType="separate"/>
    </w:r>
    <w:r w:rsidR="00793DBC">
      <w:rPr>
        <w:noProof/>
      </w:rPr>
      <w:t>2</w:t>
    </w:r>
    <w:r>
      <w:rPr>
        <w:noProof/>
      </w:rPr>
      <w:fldChar w:fldCharType="end"/>
    </w:r>
  </w:p>
  <w:p w14:paraId="27A47A32" w14:textId="77777777" w:rsidR="00FB54A4" w:rsidRPr="00623AE3" w:rsidRDefault="005D1DA6" w:rsidP="00FB54A4">
    <w:pPr>
      <w:pStyle w:val="Header"/>
      <w:rPr>
        <w:bCs/>
      </w:rPr>
    </w:pPr>
    <w:r>
      <w:rPr>
        <w:bCs/>
      </w:rPr>
      <w:t>C18/119</w:t>
    </w:r>
    <w:r w:rsidR="00FB54A4" w:rsidRPr="00623AE3">
      <w:rPr>
        <w:bCs/>
      </w:rPr>
      <w:t>-E</w:t>
    </w:r>
  </w:p>
  <w:p w14:paraId="6BF0A834" w14:textId="77777777" w:rsidR="00FB54A4" w:rsidRDefault="00FB5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6B7"/>
    <w:rsid w:val="00076AF6"/>
    <w:rsid w:val="00085CF2"/>
    <w:rsid w:val="000B1705"/>
    <w:rsid w:val="000B6686"/>
    <w:rsid w:val="000D75B2"/>
    <w:rsid w:val="001121F5"/>
    <w:rsid w:val="0012683B"/>
    <w:rsid w:val="001400DC"/>
    <w:rsid w:val="00140CE1"/>
    <w:rsid w:val="00141DE8"/>
    <w:rsid w:val="0017539C"/>
    <w:rsid w:val="00175AC2"/>
    <w:rsid w:val="0017609F"/>
    <w:rsid w:val="001859E0"/>
    <w:rsid w:val="001A557A"/>
    <w:rsid w:val="001C628E"/>
    <w:rsid w:val="001E0F7B"/>
    <w:rsid w:val="0020765F"/>
    <w:rsid w:val="002119FD"/>
    <w:rsid w:val="002130E0"/>
    <w:rsid w:val="00231D62"/>
    <w:rsid w:val="00264425"/>
    <w:rsid w:val="00265875"/>
    <w:rsid w:val="0027303B"/>
    <w:rsid w:val="0028109B"/>
    <w:rsid w:val="002A2188"/>
    <w:rsid w:val="002B1F58"/>
    <w:rsid w:val="002C1C7A"/>
    <w:rsid w:val="0030160F"/>
    <w:rsid w:val="0030663F"/>
    <w:rsid w:val="00322D0D"/>
    <w:rsid w:val="003942D4"/>
    <w:rsid w:val="003958A8"/>
    <w:rsid w:val="003B2F44"/>
    <w:rsid w:val="003C2533"/>
    <w:rsid w:val="003D7B11"/>
    <w:rsid w:val="003E331C"/>
    <w:rsid w:val="00401D85"/>
    <w:rsid w:val="0040435A"/>
    <w:rsid w:val="00416A24"/>
    <w:rsid w:val="00431D9E"/>
    <w:rsid w:val="00433CE8"/>
    <w:rsid w:val="00434A5C"/>
    <w:rsid w:val="004544D9"/>
    <w:rsid w:val="00465F01"/>
    <w:rsid w:val="00490E72"/>
    <w:rsid w:val="00491157"/>
    <w:rsid w:val="004921C8"/>
    <w:rsid w:val="004C0101"/>
    <w:rsid w:val="004D1851"/>
    <w:rsid w:val="004D599D"/>
    <w:rsid w:val="004E2EA5"/>
    <w:rsid w:val="004E3AEB"/>
    <w:rsid w:val="0050223C"/>
    <w:rsid w:val="005243FF"/>
    <w:rsid w:val="00564FBC"/>
    <w:rsid w:val="00582442"/>
    <w:rsid w:val="005D1DA6"/>
    <w:rsid w:val="005F3269"/>
    <w:rsid w:val="006043C6"/>
    <w:rsid w:val="00617D0C"/>
    <w:rsid w:val="00623AE3"/>
    <w:rsid w:val="0064737F"/>
    <w:rsid w:val="006535F1"/>
    <w:rsid w:val="0065557D"/>
    <w:rsid w:val="00662984"/>
    <w:rsid w:val="006716BB"/>
    <w:rsid w:val="00676FF5"/>
    <w:rsid w:val="006B6680"/>
    <w:rsid w:val="006B6DCC"/>
    <w:rsid w:val="00702DEF"/>
    <w:rsid w:val="00706861"/>
    <w:rsid w:val="0075051B"/>
    <w:rsid w:val="007679B5"/>
    <w:rsid w:val="00793188"/>
    <w:rsid w:val="00793DBC"/>
    <w:rsid w:val="00794D34"/>
    <w:rsid w:val="0079733B"/>
    <w:rsid w:val="00813E5E"/>
    <w:rsid w:val="0083581B"/>
    <w:rsid w:val="00864AFF"/>
    <w:rsid w:val="008B4A6A"/>
    <w:rsid w:val="008C7E27"/>
    <w:rsid w:val="008D6C90"/>
    <w:rsid w:val="009173EF"/>
    <w:rsid w:val="00932906"/>
    <w:rsid w:val="00961B0B"/>
    <w:rsid w:val="009803BB"/>
    <w:rsid w:val="009B38C3"/>
    <w:rsid w:val="009E17BD"/>
    <w:rsid w:val="009E485A"/>
    <w:rsid w:val="009F66A1"/>
    <w:rsid w:val="00A04CEC"/>
    <w:rsid w:val="00A27F92"/>
    <w:rsid w:val="00A32257"/>
    <w:rsid w:val="00A36D20"/>
    <w:rsid w:val="00A55622"/>
    <w:rsid w:val="00A6761C"/>
    <w:rsid w:val="00A83502"/>
    <w:rsid w:val="00AD15B3"/>
    <w:rsid w:val="00AF6E49"/>
    <w:rsid w:val="00B04A67"/>
    <w:rsid w:val="00B0583C"/>
    <w:rsid w:val="00B40A81"/>
    <w:rsid w:val="00B44910"/>
    <w:rsid w:val="00B72267"/>
    <w:rsid w:val="00B76EB6"/>
    <w:rsid w:val="00B7737B"/>
    <w:rsid w:val="00B824C8"/>
    <w:rsid w:val="00BC251A"/>
    <w:rsid w:val="00BD032B"/>
    <w:rsid w:val="00BD3ADA"/>
    <w:rsid w:val="00BE2640"/>
    <w:rsid w:val="00C01189"/>
    <w:rsid w:val="00C374DE"/>
    <w:rsid w:val="00C47AD4"/>
    <w:rsid w:val="00C52D81"/>
    <w:rsid w:val="00C55198"/>
    <w:rsid w:val="00C908A1"/>
    <w:rsid w:val="00C969B9"/>
    <w:rsid w:val="00CA6393"/>
    <w:rsid w:val="00CB18FF"/>
    <w:rsid w:val="00CD0C08"/>
    <w:rsid w:val="00CE03FB"/>
    <w:rsid w:val="00CE433C"/>
    <w:rsid w:val="00CF33F3"/>
    <w:rsid w:val="00D04E39"/>
    <w:rsid w:val="00D06183"/>
    <w:rsid w:val="00D22C42"/>
    <w:rsid w:val="00D65041"/>
    <w:rsid w:val="00DB384B"/>
    <w:rsid w:val="00E10E80"/>
    <w:rsid w:val="00E124F0"/>
    <w:rsid w:val="00E41F09"/>
    <w:rsid w:val="00E60F04"/>
    <w:rsid w:val="00E74639"/>
    <w:rsid w:val="00E805A6"/>
    <w:rsid w:val="00E854E4"/>
    <w:rsid w:val="00EB0D6F"/>
    <w:rsid w:val="00EB2232"/>
    <w:rsid w:val="00EC5337"/>
    <w:rsid w:val="00F2150A"/>
    <w:rsid w:val="00F231D8"/>
    <w:rsid w:val="00F242D6"/>
    <w:rsid w:val="00F46C5F"/>
    <w:rsid w:val="00F83224"/>
    <w:rsid w:val="00F94A63"/>
    <w:rsid w:val="00FA1C28"/>
    <w:rsid w:val="00FB54A4"/>
    <w:rsid w:val="00FB7596"/>
    <w:rsid w:val="00FC3AE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49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F832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3224"/>
    <w:rPr>
      <w:rFonts w:ascii="Segoe UI" w:hAnsi="Segoe UI" w:cs="Segoe UI"/>
      <w:sz w:val="18"/>
      <w:szCs w:val="18"/>
      <w:lang w:val="en-GB" w:eastAsia="en-US"/>
    </w:rPr>
  </w:style>
  <w:style w:type="paragraph" w:styleId="Revision">
    <w:name w:val="Revision"/>
    <w:hidden/>
    <w:uiPriority w:val="99"/>
    <w:semiHidden/>
    <w:rsid w:val="0012683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180417-TD-GEN-0009/en" TargetMode="External"/><Relationship Id="rId18" Type="http://schemas.openxmlformats.org/officeDocument/2006/relationships/hyperlink" Target="https://www.itu.int/md/S18-CL-C-008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8-CL-180417-TD-GEN-0009/en" TargetMode="External"/><Relationship Id="rId7" Type="http://schemas.openxmlformats.org/officeDocument/2006/relationships/endnotes" Target="endnotes.xml"/><Relationship Id="rId12" Type="http://schemas.openxmlformats.org/officeDocument/2006/relationships/hyperlink" Target="https://www.itu.int/md/S18-CL-180417-TD-GEN-0008/en" TargetMode="External"/><Relationship Id="rId17" Type="http://schemas.openxmlformats.org/officeDocument/2006/relationships/hyperlink" Target="https://www.itu.int/md/S18-CL-C-0002/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itu.int/md/S18-CL-180417-TD-GEN-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180417-TD-GEN-0007/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s://www.itu.int/md/S18-CL-C-0085/en" TargetMode="External"/><Relationship Id="rId19" Type="http://schemas.openxmlformats.org/officeDocument/2006/relationships/hyperlink" Target="https://www.itu.int/md/S18-CL-180417-TD-GEN-0007/en" TargetMode="External"/><Relationship Id="rId4" Type="http://schemas.openxmlformats.org/officeDocument/2006/relationships/settings" Target="settings.xml"/><Relationship Id="rId9" Type="http://schemas.openxmlformats.org/officeDocument/2006/relationships/hyperlink" Target="https://www.itu.int/md/S18-CL-C-0002/en"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E2D6-1BBF-4074-AB83-EBA4B1D2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5742</Characters>
  <Application>Microsoft Office Word</Application>
  <DocSecurity>0</DocSecurity>
  <Lines>47</Lines>
  <Paragraphs>13</Paragraphs>
  <ScaleCrop>false</ScaleCrop>
  <Manager/>
  <Company/>
  <LinksUpToDate>false</LinksUpToDate>
  <CharactersWithSpaces>6736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Council 2018</dc:subject>
  <dc:creator/>
  <cp:keywords>C18, C2018</cp:keywords>
  <dc:description/>
  <cp:lastModifiedBy/>
  <cp:revision>1</cp:revision>
  <dcterms:created xsi:type="dcterms:W3CDTF">2018-05-29T11:52:00Z</dcterms:created>
  <dcterms:modified xsi:type="dcterms:W3CDTF">2018-05-29T13:28:00Z</dcterms:modified>
  <cp:category>Conference document</cp:category>
</cp:coreProperties>
</file>