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DD310C">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FB622E">
            <w:pPr>
              <w:spacing w:before="0"/>
              <w:rPr>
                <w:b/>
                <w:bCs/>
              </w:rPr>
            </w:pPr>
            <w:r>
              <w:rPr>
                <w:b/>
                <w:bCs/>
              </w:rPr>
              <w:t>Document C1</w:t>
            </w:r>
            <w:r w:rsidR="003C3FAE">
              <w:rPr>
                <w:b/>
                <w:bCs/>
              </w:rPr>
              <w:t>8</w:t>
            </w:r>
            <w:r>
              <w:rPr>
                <w:b/>
                <w:bCs/>
              </w:rPr>
              <w:t>/</w:t>
            </w:r>
            <w:r w:rsidR="00E71487">
              <w:rPr>
                <w:b/>
                <w:bCs/>
              </w:rPr>
              <w:t>114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6D3792" w:rsidP="003C3FAE">
            <w:pPr>
              <w:spacing w:before="0"/>
              <w:rPr>
                <w:b/>
                <w:bCs/>
              </w:rPr>
            </w:pPr>
            <w:r>
              <w:rPr>
                <w:b/>
                <w:bCs/>
              </w:rPr>
              <w:t>1</w:t>
            </w:r>
            <w:r w:rsidRPr="006D3792">
              <w:rPr>
                <w:b/>
                <w:bCs/>
                <w:vertAlign w:val="superscript"/>
              </w:rPr>
              <w:t>er</w:t>
            </w:r>
            <w:r>
              <w:rPr>
                <w:b/>
                <w:bCs/>
              </w:rPr>
              <w:t xml:space="preserve"> mai</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p w:rsidR="00244613" w:rsidRPr="003150A8" w:rsidRDefault="00244613" w:rsidP="00244613">
      <w:pPr>
        <w:pStyle w:val="AnnexNo"/>
        <w:rPr>
          <w:lang w:val="fr-CH"/>
        </w:rPr>
      </w:pPr>
      <w:bookmarkStart w:id="6" w:name="_Toc489534505"/>
      <w:bookmarkStart w:id="7" w:name="_Toc458425273"/>
      <w:bookmarkStart w:id="8" w:name="_Toc423507896"/>
      <w:bookmarkStart w:id="9" w:name="_Toc423506103"/>
      <w:bookmarkStart w:id="10" w:name="_Toc423505812"/>
      <w:bookmarkStart w:id="11" w:name="_Toc423505542"/>
      <w:bookmarkEnd w:id="5"/>
      <w:r w:rsidRPr="003150A8">
        <w:rPr>
          <w:lang w:val="fr-CH"/>
        </w:rPr>
        <w:t xml:space="preserve">Décision 482 </w:t>
      </w:r>
      <w:bookmarkEnd w:id="6"/>
      <w:bookmarkEnd w:id="7"/>
      <w:bookmarkEnd w:id="8"/>
      <w:bookmarkEnd w:id="9"/>
      <w:bookmarkEnd w:id="10"/>
      <w:bookmarkEnd w:id="11"/>
      <w:r w:rsidRPr="003150A8">
        <w:rPr>
          <w:lang w:val="fr-CH"/>
        </w:rPr>
        <w:t>(</w:t>
      </w:r>
      <w:r w:rsidRPr="003150A8">
        <w:rPr>
          <w:lang w:val="fr-CH"/>
        </w:rPr>
        <w:t>MODIFIÉE EN 2018)</w:t>
      </w:r>
    </w:p>
    <w:p w:rsidR="00244613" w:rsidRPr="00394DA4" w:rsidRDefault="00E1613A" w:rsidP="00244613">
      <w:pPr>
        <w:pStyle w:val="Annextitle"/>
        <w:rPr>
          <w:b w:val="0"/>
          <w:bCs/>
          <w:lang w:val="fr-CH"/>
        </w:rPr>
      </w:pPr>
      <w:r>
        <w:rPr>
          <w:b w:val="0"/>
          <w:bCs/>
          <w:color w:val="000000"/>
          <w:lang w:val="fr-CH"/>
        </w:rPr>
        <w:t>(</w:t>
      </w:r>
      <w:proofErr w:type="gramStart"/>
      <w:r>
        <w:rPr>
          <w:b w:val="0"/>
          <w:bCs/>
          <w:color w:val="000000"/>
          <w:lang w:val="fr-CH"/>
        </w:rPr>
        <w:t>adoptée</w:t>
      </w:r>
      <w:proofErr w:type="gramEnd"/>
      <w:r>
        <w:rPr>
          <w:b w:val="0"/>
          <w:bCs/>
          <w:color w:val="000000"/>
          <w:lang w:val="fr-CH"/>
        </w:rPr>
        <w:t xml:space="preserve"> à la septi</w:t>
      </w:r>
      <w:r w:rsidR="00244613" w:rsidRPr="00394DA4">
        <w:rPr>
          <w:b w:val="0"/>
          <w:bCs/>
          <w:color w:val="000000"/>
          <w:lang w:val="fr-CH"/>
        </w:rPr>
        <w:t>ème séance plénière)</w:t>
      </w:r>
    </w:p>
    <w:p w:rsidR="00244613" w:rsidRPr="003150A8" w:rsidRDefault="00244613" w:rsidP="00865FB0">
      <w:pPr>
        <w:pStyle w:val="Arttitle"/>
        <w:rPr>
          <w:lang w:val="fr-CH"/>
        </w:rPr>
      </w:pPr>
      <w:bookmarkStart w:id="12" w:name="_Toc489534506"/>
      <w:bookmarkStart w:id="13" w:name="_Toc458425274"/>
      <w:bookmarkStart w:id="14" w:name="_Toc423507897"/>
      <w:bookmarkStart w:id="15" w:name="_Toc423506104"/>
      <w:bookmarkStart w:id="16" w:name="_Toc423505813"/>
      <w:bookmarkStart w:id="17" w:name="_Toc423505543"/>
      <w:bookmarkStart w:id="18" w:name="_Toc405213277"/>
      <w:bookmarkStart w:id="19" w:name="_Toc364694899"/>
      <w:bookmarkStart w:id="20" w:name="_Toc364693686"/>
      <w:bookmarkStart w:id="21" w:name="_GoBack"/>
      <w:r w:rsidRPr="003150A8">
        <w:rPr>
          <w:lang w:val="fr-CH"/>
        </w:rPr>
        <w:t xml:space="preserve">Mise en </w:t>
      </w:r>
      <w:proofErr w:type="spellStart"/>
      <w:r w:rsidRPr="003150A8">
        <w:rPr>
          <w:lang w:val="fr-CH"/>
        </w:rPr>
        <w:t>oeuvre</w:t>
      </w:r>
      <w:proofErr w:type="spellEnd"/>
      <w:r w:rsidRPr="003150A8">
        <w:rPr>
          <w:lang w:val="fr-CH"/>
        </w:rPr>
        <w:t xml:space="preserve"> du recouvrement des coûts pour le traitement des fiches de notification des réseaux à satellite</w:t>
      </w:r>
      <w:bookmarkEnd w:id="12"/>
      <w:bookmarkEnd w:id="13"/>
      <w:bookmarkEnd w:id="14"/>
      <w:bookmarkEnd w:id="15"/>
      <w:bookmarkEnd w:id="16"/>
      <w:bookmarkEnd w:id="17"/>
      <w:bookmarkEnd w:id="18"/>
      <w:bookmarkEnd w:id="19"/>
      <w:bookmarkEnd w:id="20"/>
    </w:p>
    <w:bookmarkEnd w:id="21"/>
    <w:p w:rsidR="00244613" w:rsidRPr="003150A8" w:rsidRDefault="00244613" w:rsidP="00244613">
      <w:pPr>
        <w:pStyle w:val="Normalaftertitle"/>
        <w:rPr>
          <w:rFonts w:cstheme="minorHAnsi"/>
          <w:lang w:val="fr-CH"/>
        </w:rPr>
      </w:pPr>
      <w:r w:rsidRPr="003150A8">
        <w:rPr>
          <w:rFonts w:cstheme="minorHAnsi"/>
          <w:lang w:val="fr-CH"/>
        </w:rPr>
        <w:t>Le Conseil,</w:t>
      </w:r>
    </w:p>
    <w:p w:rsidR="00244613" w:rsidRPr="003150A8" w:rsidRDefault="00244613" w:rsidP="00244613">
      <w:pPr>
        <w:pStyle w:val="Call"/>
        <w:rPr>
          <w:lang w:val="fr-CH"/>
        </w:rPr>
      </w:pPr>
      <w:proofErr w:type="gramStart"/>
      <w:r w:rsidRPr="003150A8">
        <w:rPr>
          <w:lang w:val="fr-CH"/>
        </w:rPr>
        <w:t>considérant</w:t>
      </w:r>
      <w:proofErr w:type="gramEnd"/>
    </w:p>
    <w:p w:rsidR="00244613" w:rsidRPr="003150A8" w:rsidRDefault="00244613" w:rsidP="00244613">
      <w:pPr>
        <w:rPr>
          <w:lang w:val="fr-CH"/>
        </w:rPr>
      </w:pPr>
      <w:r w:rsidRPr="003150A8">
        <w:rPr>
          <w:i/>
          <w:iCs/>
          <w:lang w:val="fr-CH"/>
        </w:rPr>
        <w:t>a)</w:t>
      </w:r>
      <w:r w:rsidRPr="003150A8">
        <w:rPr>
          <w:lang w:val="fr-CH"/>
        </w:rPr>
        <w:tab/>
        <w:t>la Résolution 88 (</w:t>
      </w:r>
      <w:proofErr w:type="spellStart"/>
      <w:r w:rsidRPr="003150A8">
        <w:rPr>
          <w:lang w:val="fr-CH"/>
        </w:rPr>
        <w:t>Rév</w:t>
      </w:r>
      <w:proofErr w:type="spellEnd"/>
      <w:r w:rsidRPr="003150A8">
        <w:rPr>
          <w:lang w:val="fr-CH"/>
        </w:rPr>
        <w:t xml:space="preserve">. Marrakech, 2002) de la Conférence de plénipotentiaires, relative à la mise en </w:t>
      </w:r>
      <w:proofErr w:type="spellStart"/>
      <w:r w:rsidRPr="003150A8">
        <w:rPr>
          <w:lang w:val="fr-CH"/>
        </w:rPr>
        <w:t>oeuvre</w:t>
      </w:r>
      <w:proofErr w:type="spellEnd"/>
      <w:r w:rsidRPr="003150A8">
        <w:rPr>
          <w:lang w:val="fr-CH"/>
        </w:rPr>
        <w:t xml:space="preserve"> du principe du recouvrement des coûts pour le traitement des fiches de notification des réseaux à satellite;</w:t>
      </w:r>
    </w:p>
    <w:p w:rsidR="00244613" w:rsidRPr="003150A8" w:rsidRDefault="00244613" w:rsidP="00244613">
      <w:pPr>
        <w:rPr>
          <w:lang w:val="fr-CH"/>
        </w:rPr>
      </w:pPr>
      <w:r w:rsidRPr="003150A8">
        <w:rPr>
          <w:i/>
          <w:iCs/>
          <w:lang w:val="fr-CH"/>
        </w:rPr>
        <w:t>b)</w:t>
      </w:r>
      <w:r w:rsidRPr="003150A8">
        <w:rPr>
          <w:lang w:val="fr-CH"/>
        </w:rPr>
        <w:tab/>
        <w:t>la Résolution 91 (</w:t>
      </w:r>
      <w:proofErr w:type="spellStart"/>
      <w:r w:rsidRPr="003150A8">
        <w:rPr>
          <w:lang w:val="fr-CH"/>
        </w:rPr>
        <w:t>Rév</w:t>
      </w:r>
      <w:proofErr w:type="spellEnd"/>
      <w:r w:rsidRPr="003150A8">
        <w:rPr>
          <w:lang w:val="fr-CH"/>
        </w:rPr>
        <w:t>. Guadalajara, 2010) de la Conférence de plénipotentiaires, relative au recouvrement des coûts pour certains produits et services de l'UIT;</w:t>
      </w:r>
    </w:p>
    <w:p w:rsidR="00244613" w:rsidRPr="003150A8" w:rsidRDefault="00244613" w:rsidP="00244613">
      <w:pPr>
        <w:rPr>
          <w:lang w:val="fr-CH"/>
        </w:rPr>
      </w:pPr>
      <w:r w:rsidRPr="003150A8">
        <w:rPr>
          <w:i/>
          <w:iCs/>
          <w:lang w:val="fr-CH"/>
        </w:rPr>
        <w:t>c)</w:t>
      </w:r>
      <w:r w:rsidRPr="003150A8">
        <w:rPr>
          <w:lang w:val="fr-CH"/>
        </w:rPr>
        <w:tab/>
        <w:t>la Résolution 1113 du Conseil, relative au recouvrement des coûts pour le traitement par le Bureau des radiocommunications des fiches de notification pour les services spatiaux;</w:t>
      </w:r>
    </w:p>
    <w:p w:rsidR="00244613" w:rsidRPr="003150A8" w:rsidRDefault="00244613" w:rsidP="00244613">
      <w:pPr>
        <w:rPr>
          <w:lang w:val="fr-CH"/>
        </w:rPr>
      </w:pPr>
      <w:r w:rsidRPr="003150A8">
        <w:rPr>
          <w:i/>
          <w:iCs/>
          <w:lang w:val="fr-CH"/>
        </w:rPr>
        <w:t>d)</w:t>
      </w:r>
      <w:r w:rsidRPr="003150A8">
        <w:rPr>
          <w:lang w:val="fr-CH"/>
        </w:rPr>
        <w:tab/>
        <w:t xml:space="preserve">le Document </w:t>
      </w:r>
      <w:hyperlink r:id="rId8" w:history="1">
        <w:r w:rsidRPr="003150A8">
          <w:rPr>
            <w:rStyle w:val="Hyperlink"/>
            <w:rFonts w:cstheme="minorHAnsi"/>
            <w:lang w:val="fr-CH"/>
          </w:rPr>
          <w:t>C99/68</w:t>
        </w:r>
      </w:hyperlink>
      <w:r w:rsidRPr="003150A8">
        <w:rPr>
          <w:lang w:val="fr-CH"/>
        </w:rPr>
        <w:t xml:space="preserve">, qui contient un rapport du Groupe de travail du Conseil sur la mise en </w:t>
      </w:r>
      <w:proofErr w:type="spellStart"/>
      <w:r w:rsidRPr="003150A8">
        <w:rPr>
          <w:lang w:val="fr-CH"/>
        </w:rPr>
        <w:t>oeuvre</w:t>
      </w:r>
      <w:proofErr w:type="spellEnd"/>
      <w:r w:rsidRPr="003150A8">
        <w:rPr>
          <w:lang w:val="fr-CH"/>
        </w:rPr>
        <w:t xml:space="preserve"> du principe du recouvrement des coûts pour le traitement des fiches de notification des réseaux à satellite;</w:t>
      </w:r>
    </w:p>
    <w:p w:rsidR="00244613" w:rsidRPr="003150A8" w:rsidRDefault="00244613" w:rsidP="00244613">
      <w:pPr>
        <w:rPr>
          <w:lang w:val="fr-CH"/>
        </w:rPr>
      </w:pPr>
      <w:r w:rsidRPr="003150A8">
        <w:rPr>
          <w:i/>
          <w:iCs/>
          <w:lang w:val="fr-CH"/>
        </w:rPr>
        <w:t>e)</w:t>
      </w:r>
      <w:r w:rsidRPr="003150A8">
        <w:rPr>
          <w:lang w:val="fr-CH"/>
        </w:rPr>
        <w:tab/>
        <w:t xml:space="preserve">le Document </w:t>
      </w:r>
      <w:hyperlink r:id="rId9" w:history="1">
        <w:r w:rsidRPr="003150A8">
          <w:rPr>
            <w:rStyle w:val="Hyperlink"/>
            <w:rFonts w:cstheme="minorHAnsi"/>
            <w:lang w:val="fr-CH"/>
          </w:rPr>
          <w:t>C99/47</w:t>
        </w:r>
      </w:hyperlink>
      <w:r w:rsidRPr="003150A8">
        <w:rPr>
          <w:lang w:val="fr-CH"/>
        </w:rPr>
        <w:t>, relatif au recouvrement des coûts pour certains produits et services de l'UIT;</w:t>
      </w:r>
    </w:p>
    <w:p w:rsidR="00244613" w:rsidRPr="003150A8" w:rsidRDefault="00244613" w:rsidP="00244613">
      <w:pPr>
        <w:rPr>
          <w:lang w:val="fr-CH"/>
        </w:rPr>
      </w:pPr>
      <w:proofErr w:type="spellStart"/>
      <w:proofErr w:type="gramStart"/>
      <w:r w:rsidRPr="003150A8">
        <w:rPr>
          <w:i/>
          <w:iCs/>
          <w:lang w:val="fr-CH"/>
        </w:rPr>
        <w:t>ebis</w:t>
      </w:r>
      <w:proofErr w:type="spellEnd"/>
      <w:proofErr w:type="gramEnd"/>
      <w:r w:rsidRPr="003150A8">
        <w:rPr>
          <w:lang w:val="fr-CH"/>
        </w:rPr>
        <w:t>)</w:t>
      </w:r>
      <w:r w:rsidRPr="003150A8">
        <w:rPr>
          <w:lang w:val="fr-CH"/>
        </w:rPr>
        <w:tab/>
        <w:t xml:space="preserve">le Document </w:t>
      </w:r>
      <w:hyperlink r:id="rId10" w:history="1">
        <w:r w:rsidRPr="003150A8">
          <w:rPr>
            <w:rStyle w:val="Hyperlink"/>
            <w:rFonts w:cstheme="minorHAnsi"/>
            <w:lang w:val="fr-CH"/>
          </w:rPr>
          <w:t>C05/29</w:t>
        </w:r>
      </w:hyperlink>
      <w:r w:rsidRPr="003150A8">
        <w:rPr>
          <w:lang w:val="fr-CH"/>
        </w:rPr>
        <w:t>, relatif au recouvrement des coûts appliqué au traitement des fiches de notification des réseaux à satellite;</w:t>
      </w:r>
    </w:p>
    <w:p w:rsidR="00244613" w:rsidRPr="003150A8" w:rsidRDefault="00244613" w:rsidP="00244613">
      <w:pPr>
        <w:rPr>
          <w:lang w:val="fr-CH"/>
        </w:rPr>
      </w:pPr>
      <w:r w:rsidRPr="003150A8">
        <w:rPr>
          <w:i/>
          <w:iCs/>
          <w:lang w:val="fr-CH"/>
        </w:rPr>
        <w:t>f)</w:t>
      </w:r>
      <w:r w:rsidRPr="003150A8">
        <w:rPr>
          <w:lang w:val="fr-CH"/>
        </w:rPr>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rsidR="00244613" w:rsidRPr="003150A8" w:rsidRDefault="00244613" w:rsidP="00244613">
      <w:pPr>
        <w:rPr>
          <w:lang w:val="fr-CH"/>
        </w:rPr>
      </w:pPr>
      <w:r w:rsidRPr="003150A8">
        <w:rPr>
          <w:i/>
          <w:iCs/>
          <w:lang w:val="fr-CH"/>
        </w:rPr>
        <w:t>g)</w:t>
      </w:r>
      <w:r w:rsidRPr="003150A8">
        <w:rPr>
          <w:lang w:val="fr-CH"/>
        </w:rPr>
        <w:tab/>
        <w:t>que la CMR-07 a largement révisé les procédures réglementaires associées au Plan pour le service fixe par satellite figurant dans l'Appendice 30B qui est entré en vigueur le 17 novembre 2007;</w:t>
      </w:r>
    </w:p>
    <w:p w:rsidR="00244613" w:rsidRPr="003150A8" w:rsidRDefault="00244613" w:rsidP="00244613">
      <w:pPr>
        <w:rPr>
          <w:lang w:val="fr-CH"/>
        </w:rPr>
      </w:pPr>
      <w:r w:rsidRPr="003150A8">
        <w:rPr>
          <w:i/>
          <w:iCs/>
          <w:lang w:val="fr-CH"/>
        </w:rPr>
        <w:t>h)</w:t>
      </w:r>
      <w:r w:rsidRPr="003150A8">
        <w:rPr>
          <w:lang w:val="fr-CH"/>
        </w:rPr>
        <w:tab/>
        <w:t>que la date d'entrée en vigueur de la Décision 482 (modifiée en 2005) était le 1er janvier 2006,</w:t>
      </w:r>
    </w:p>
    <w:p w:rsidR="00244613" w:rsidRPr="003150A8" w:rsidRDefault="00244613" w:rsidP="00134E33">
      <w:pPr>
        <w:pStyle w:val="Call"/>
        <w:rPr>
          <w:lang w:val="fr-CH"/>
        </w:rPr>
      </w:pPr>
      <w:proofErr w:type="gramStart"/>
      <w:r w:rsidRPr="003150A8">
        <w:rPr>
          <w:lang w:val="fr-CH"/>
        </w:rPr>
        <w:t>reconnaissant</w:t>
      </w:r>
      <w:proofErr w:type="gramEnd"/>
    </w:p>
    <w:p w:rsidR="00244613" w:rsidRPr="003150A8" w:rsidRDefault="00244613" w:rsidP="00134E33">
      <w:pPr>
        <w:keepNext/>
        <w:keepLines/>
        <w:rPr>
          <w:lang w:val="fr-CH"/>
        </w:rPr>
      </w:pPr>
      <w:r w:rsidRPr="003150A8">
        <w:rPr>
          <w:lang w:val="fr-CH"/>
        </w:rPr>
        <w:t xml:space="preserve">l'expérience pratique acquise par le Bureau des radiocommunications dans l'application des droits au titre du recouvrement des coûts pour le traitement des fiches de notification et de la méthode de mise en </w:t>
      </w:r>
      <w:proofErr w:type="spellStart"/>
      <w:r w:rsidRPr="003150A8">
        <w:rPr>
          <w:lang w:val="fr-CH"/>
        </w:rPr>
        <w:t>oeuvre</w:t>
      </w:r>
      <w:proofErr w:type="spellEnd"/>
      <w:r w:rsidRPr="003150A8">
        <w:rPr>
          <w:lang w:val="fr-CH"/>
        </w:rPr>
        <w:t xml:space="preserve"> de ces droits présentée au Conseil à ses sessions de 2001 à 2007 conformément à la Décision 482 telle qu'elle a été révisée par le Conseil,</w:t>
      </w:r>
    </w:p>
    <w:p w:rsidR="00244613" w:rsidRPr="003150A8" w:rsidRDefault="00244613" w:rsidP="00244613">
      <w:pPr>
        <w:pStyle w:val="Call"/>
        <w:rPr>
          <w:lang w:val="fr-CH"/>
        </w:rPr>
      </w:pPr>
      <w:proofErr w:type="gramStart"/>
      <w:r w:rsidRPr="003150A8">
        <w:rPr>
          <w:lang w:val="fr-CH"/>
        </w:rPr>
        <w:t>décide</w:t>
      </w:r>
      <w:proofErr w:type="gramEnd"/>
    </w:p>
    <w:p w:rsidR="00244613" w:rsidRPr="003150A8" w:rsidRDefault="00244613" w:rsidP="00244613">
      <w:pPr>
        <w:rPr>
          <w:lang w:val="fr-CH"/>
        </w:rPr>
      </w:pPr>
      <w:r w:rsidRPr="003150A8">
        <w:rPr>
          <w:lang w:val="fr-CH"/>
        </w:rPr>
        <w:t>1</w:t>
      </w:r>
      <w:r w:rsidRPr="003150A8">
        <w:rPr>
          <w:lang w:val="fr-CH"/>
        </w:rPr>
        <w:tab/>
        <w:t xml:space="preserve">que toutes les fiches de notification des réseaux à satellite concernant la publication anticipée, les demandes de coordination ou d'accord associées (Article 9 du Règlement des </w:t>
      </w:r>
      <w:r w:rsidRPr="003150A8">
        <w:rPr>
          <w:spacing w:val="4"/>
          <w:lang w:val="fr-CH"/>
        </w:rPr>
        <w:t>radiocommunications (RR), Article 7 des Appendices 30 et 30A du RR, Résolution 539</w:t>
      </w:r>
      <w:r w:rsidRPr="003150A8">
        <w:rPr>
          <w:lang w:val="fr-CH"/>
        </w:rPr>
        <w:t xml:space="preserve"> (</w:t>
      </w:r>
      <w:proofErr w:type="spellStart"/>
      <w:r w:rsidRPr="003150A8">
        <w:rPr>
          <w:lang w:val="fr-CH"/>
        </w:rPr>
        <w:t>Rév</w:t>
      </w:r>
      <w:proofErr w:type="spellEnd"/>
      <w:r w:rsidRPr="003150A8">
        <w:rPr>
          <w:lang w:val="fr-CH"/>
        </w:rPr>
        <w:t xml:space="preserve">. CMR-03)), l'utilisation des bandes de garde (Article 2A des Appendices 30 et 30A du RR), les demandes de modification des Plans et Listes pour les services spatiaux (Article 4 des Appendices 30 et 30A du RR), les demandes de mise en </w:t>
      </w:r>
      <w:proofErr w:type="spellStart"/>
      <w:r w:rsidRPr="003150A8">
        <w:rPr>
          <w:lang w:val="fr-CH"/>
        </w:rPr>
        <w:t>oeuvre</w:t>
      </w:r>
      <w:proofErr w:type="spellEnd"/>
      <w:r w:rsidRPr="003150A8">
        <w:rPr>
          <w:lang w:val="fr-CH"/>
        </w:rPr>
        <w:t xml:space="preserv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(Article 6 de l'Appendice 30B du RR à compter du 17 novembre 2007) seront assujetties aux droits à acquitter au titre du recouvrement des coûts si, et seulement si, elles ont été reçues par le Bureau des radiocommunications le 8 novembre 1998 ou après cette date;</w:t>
      </w:r>
    </w:p>
    <w:p w:rsidR="00244613" w:rsidRPr="003150A8" w:rsidRDefault="00244613" w:rsidP="00244613">
      <w:pPr>
        <w:rPr>
          <w:lang w:val="fr-CH"/>
        </w:rPr>
      </w:pPr>
      <w:r w:rsidRPr="003150A8">
        <w:rPr>
          <w:lang w:val="fr-CH"/>
        </w:rPr>
        <w:t>1</w:t>
      </w:r>
      <w:r w:rsidRPr="003150A8">
        <w:rPr>
          <w:i/>
          <w:iCs/>
          <w:lang w:val="fr-CH"/>
        </w:rPr>
        <w:t>bis</w:t>
      </w:r>
      <w:r w:rsidRPr="003150A8">
        <w:rPr>
          <w:i/>
          <w:iCs/>
          <w:lang w:val="fr-CH"/>
        </w:rPr>
        <w:tab/>
      </w:r>
      <w:r w:rsidRPr="003150A8">
        <w:rPr>
          <w:lang w:val="fr-CH"/>
        </w:rPr>
        <w:t>que</w:t>
      </w:r>
      <w:r w:rsidRPr="003150A8">
        <w:rPr>
          <w:i/>
          <w:iCs/>
          <w:lang w:val="fr-CH"/>
        </w:rPr>
        <w:t xml:space="preserve"> </w:t>
      </w:r>
      <w:r w:rsidRPr="003150A8">
        <w:rPr>
          <w:lang w:val="fr-CH"/>
        </w:rPr>
        <w:t xml:space="preserve">toutes les fiches de notification des réseaux à satellite concernant la notification en vue de l'inscription d'assignations de fréquence dans le Fichier de référence international des fréquences (Article 11 du Règlement des radiocommunications, Article 5 des Appendices 30/30A du Règlement des radiocommunications et 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w:t>
      </w:r>
      <w:proofErr w:type="spellStart"/>
      <w:r w:rsidRPr="003150A8">
        <w:rPr>
          <w:lang w:val="fr-CH"/>
        </w:rPr>
        <w:t>oeuvre</w:t>
      </w:r>
      <w:proofErr w:type="spellEnd"/>
      <w:r w:rsidRPr="003150A8">
        <w:rPr>
          <w:lang w:val="fr-CH"/>
        </w:rPr>
        <w:t xml:space="preserv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
    <w:p w:rsidR="00244613" w:rsidRPr="003150A8" w:rsidRDefault="00244613" w:rsidP="00244613">
      <w:pPr>
        <w:rPr>
          <w:lang w:val="fr-CH"/>
        </w:rPr>
      </w:pPr>
      <w:r w:rsidRPr="003150A8">
        <w:rPr>
          <w:lang w:val="fr-CH"/>
        </w:rPr>
        <w:t>1</w:t>
      </w:r>
      <w:r w:rsidRPr="003150A8">
        <w:rPr>
          <w:i/>
          <w:iCs/>
          <w:lang w:val="fr-CH"/>
        </w:rPr>
        <w:t>ter</w:t>
      </w:r>
      <w:r w:rsidRPr="003150A8">
        <w:rPr>
          <w:lang w:val="fr-CH"/>
        </w:rPr>
        <w:tab/>
        <w:t xml:space="preserve">que toutes les demandes de mise en </w:t>
      </w:r>
      <w:proofErr w:type="spellStart"/>
      <w:r w:rsidRPr="003150A8">
        <w:rPr>
          <w:lang w:val="fr-CH"/>
        </w:rPr>
        <w:t>oeuvre</w:t>
      </w:r>
      <w:proofErr w:type="spellEnd"/>
      <w:r w:rsidRPr="003150A8">
        <w:rPr>
          <w:lang w:val="fr-CH"/>
        </w:rPr>
        <w:t xml:space="preserv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rsidR="00244613" w:rsidRPr="003150A8" w:rsidRDefault="00244613" w:rsidP="00244613">
      <w:pPr>
        <w:rPr>
          <w:lang w:val="fr-CH"/>
        </w:rPr>
      </w:pPr>
      <w:r w:rsidRPr="003150A8">
        <w:rPr>
          <w:lang w:val="fr-CH"/>
        </w:rPr>
        <w:t>1</w:t>
      </w:r>
      <w:r w:rsidRPr="003150A8">
        <w:rPr>
          <w:i/>
          <w:iCs/>
          <w:lang w:val="fr-CH"/>
        </w:rPr>
        <w:t>quater</w:t>
      </w:r>
      <w:r w:rsidRPr="003150A8">
        <w:rPr>
          <w:i/>
          <w:iCs/>
          <w:lang w:val="fr-CH"/>
        </w:rPr>
        <w:tab/>
      </w:r>
      <w:r w:rsidRPr="003150A8">
        <w:rPr>
          <w:lang w:val="fr-CH"/>
        </w:rPr>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rsidR="00244613" w:rsidRPr="003150A8" w:rsidRDefault="00244613" w:rsidP="00244613">
      <w:pPr>
        <w:rPr>
          <w:lang w:val="fr-CH"/>
        </w:rPr>
      </w:pPr>
      <w:r w:rsidRPr="003150A8">
        <w:rPr>
          <w:lang w:val="fr-CH"/>
        </w:rPr>
        <w:t>2</w:t>
      </w:r>
      <w:r w:rsidRPr="003150A8">
        <w:rPr>
          <w:lang w:val="fr-CH"/>
        </w:rPr>
        <w:tab/>
        <w:t>que, pour chaque fiche de notification d'un réseau à satellite</w:t>
      </w:r>
      <w:r w:rsidRPr="003150A8">
        <w:rPr>
          <w:rStyle w:val="FootnoteReference"/>
          <w:lang w:val="fr-CH"/>
        </w:rPr>
        <w:footnoteReference w:id="1"/>
      </w:r>
      <w:r w:rsidRPr="003150A8">
        <w:rPr>
          <w:lang w:val="fr-CH"/>
        </w:rPr>
        <w:t xml:space="preserve"> communiquée au Bureau, les droits suivants</w:t>
      </w:r>
      <w:r w:rsidRPr="003150A8">
        <w:rPr>
          <w:rStyle w:val="FootnoteReference"/>
          <w:lang w:val="fr-CH"/>
        </w:rPr>
        <w:footnoteReference w:id="2"/>
      </w:r>
      <w:r w:rsidRPr="003150A8">
        <w:rPr>
          <w:lang w:val="fr-CH"/>
        </w:rPr>
        <w:t xml:space="preserve"> </w:t>
      </w:r>
      <w:r w:rsidRPr="003150A8">
        <w:rPr>
          <w:iCs/>
          <w:lang w:val="fr-CH"/>
        </w:rPr>
        <w:t>s'appliquent:</w:t>
      </w:r>
    </w:p>
    <w:p w:rsidR="00244613" w:rsidRPr="003150A8" w:rsidRDefault="00244613" w:rsidP="00244613">
      <w:pPr>
        <w:pStyle w:val="enumlev1"/>
        <w:rPr>
          <w:lang w:val="fr-CH"/>
        </w:rPr>
      </w:pPr>
      <w:r w:rsidRPr="003150A8">
        <w:rPr>
          <w:lang w:val="fr-CH"/>
        </w:rPr>
        <w:t>a)</w:t>
      </w:r>
      <w:r w:rsidRPr="003150A8">
        <w:rPr>
          <w:lang w:val="fr-CH"/>
        </w:rPr>
        <w:tab/>
        <w:t>pour les fiches de notification reçues jusqu'au 29 juin 2001 inclus, la Décision 482 (C99) s'applique; le droit pour ces fiches est perçu au stade de la publication, conformément au barème des droits en vigueur à la date de la publication;</w:t>
      </w:r>
    </w:p>
    <w:p w:rsidR="00244613" w:rsidRPr="003150A8" w:rsidRDefault="00244613" w:rsidP="00244613">
      <w:pPr>
        <w:pStyle w:val="enumlev1"/>
        <w:rPr>
          <w:lang w:val="fr-CH"/>
        </w:rPr>
      </w:pPr>
      <w:r w:rsidRPr="003150A8">
        <w:rPr>
          <w:lang w:val="fr-CH"/>
        </w:rPr>
        <w:t>b)</w:t>
      </w:r>
      <w:r w:rsidRPr="003150A8">
        <w:rPr>
          <w:lang w:val="fr-CH"/>
        </w:rPr>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rsidR="00244613" w:rsidRPr="003150A8" w:rsidRDefault="00244613" w:rsidP="00244613">
      <w:pPr>
        <w:pStyle w:val="enumlev1"/>
        <w:rPr>
          <w:lang w:val="fr-CH"/>
        </w:rPr>
      </w:pPr>
      <w:r w:rsidRPr="003150A8">
        <w:rPr>
          <w:lang w:val="fr-CH"/>
        </w:rPr>
        <w:t>c)</w:t>
      </w:r>
      <w:r w:rsidRPr="003150A8">
        <w:rPr>
          <w:lang w:val="fr-CH"/>
        </w:rPr>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rsidR="00244613" w:rsidRPr="003150A8" w:rsidRDefault="00244613" w:rsidP="00244613">
      <w:pPr>
        <w:pStyle w:val="enumlev1"/>
        <w:rPr>
          <w:lang w:val="fr-CH"/>
        </w:rPr>
      </w:pPr>
      <w:r w:rsidRPr="003150A8">
        <w:rPr>
          <w:lang w:val="fr-CH"/>
        </w:rPr>
        <w:t>d)</w:t>
      </w:r>
      <w:r w:rsidRPr="003150A8">
        <w:rPr>
          <w:lang w:val="fr-CH"/>
        </w:rPr>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rsidR="00244613" w:rsidRPr="003150A8" w:rsidRDefault="00244613" w:rsidP="00244613">
      <w:pPr>
        <w:pStyle w:val="enumlev1"/>
        <w:rPr>
          <w:lang w:val="fr-CH"/>
        </w:rPr>
      </w:pPr>
      <w:r w:rsidRPr="003150A8">
        <w:rPr>
          <w:lang w:val="fr-CH"/>
        </w:rPr>
        <w:t>e)</w:t>
      </w:r>
      <w:r w:rsidRPr="003150A8">
        <w:rPr>
          <w:lang w:val="fr-CH"/>
        </w:rPr>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rsidR="00244613" w:rsidRPr="003150A8" w:rsidRDefault="00244613" w:rsidP="00244613">
      <w:pPr>
        <w:pStyle w:val="enumlev1"/>
        <w:rPr>
          <w:lang w:val="fr-CH"/>
        </w:rPr>
      </w:pPr>
      <w:r w:rsidRPr="003150A8">
        <w:rPr>
          <w:lang w:val="fr-CH"/>
        </w:rPr>
        <w:t>f)</w:t>
      </w:r>
      <w:r w:rsidRPr="003150A8">
        <w:rPr>
          <w:lang w:val="fr-CH"/>
        </w:rPr>
        <w:tab/>
        <w:t>pour les fiches de notification reçues le 1er janvier 2006 ou après cette date mais avant le 1er janvier 2009, à l'exception de celles reçues au titre de l'Appendice 30B à compter du 17 novembre 2007, la Décision 482 (C-05) s'applique; le droit, calculé conformément au barème des droits en vigueur à la date de réception, est exigible après la réception de la fiche de notification;</w:t>
      </w:r>
    </w:p>
    <w:p w:rsidR="00244613" w:rsidRPr="003150A8" w:rsidRDefault="00244613" w:rsidP="00244613">
      <w:pPr>
        <w:pStyle w:val="enumlev1"/>
        <w:rPr>
          <w:lang w:val="fr-CH"/>
        </w:rPr>
      </w:pPr>
      <w:r w:rsidRPr="003150A8">
        <w:rPr>
          <w:lang w:val="fr-CH"/>
        </w:rPr>
        <w:t>g)</w:t>
      </w:r>
      <w:r w:rsidRPr="003150A8">
        <w:rPr>
          <w:lang w:val="fr-CH"/>
        </w:rPr>
        <w:tab/>
        <w:t>pour les fiches de notification reçues le 1er janvier 2009 ou après cette date, y compris celles reçues au titre de l'Appendice 30B à compter du 17 novembre 2007, mais avant le 14 juillet 2012, la Décision 482 (C-08) s'applique; le droit, calculé conformément au barème des droits en vigueur à la date de réception, est exigible après la réception de la fiche de notification;</w:t>
      </w:r>
    </w:p>
    <w:p w:rsidR="00244613" w:rsidRPr="003150A8" w:rsidRDefault="00244613" w:rsidP="00244613">
      <w:pPr>
        <w:pStyle w:val="enumlev1"/>
        <w:rPr>
          <w:lang w:val="fr-CH"/>
        </w:rPr>
      </w:pPr>
      <w:r w:rsidRPr="003150A8">
        <w:rPr>
          <w:lang w:val="fr-CH"/>
        </w:rPr>
        <w:t>h)</w:t>
      </w:r>
      <w:r w:rsidRPr="003150A8">
        <w:rPr>
          <w:lang w:val="fr-CH"/>
        </w:rPr>
        <w:tab/>
        <w:t>pour les fiches de notification reçues le 14 juillet 2012 ou après cette date, mais avant le 1er juillet 2013, la Décision 482 (C-12) s'applique; le droit, calculé conformément au barème des droits en vigueur à la date de réception, est exigible après réception de la fiche de notification;</w:t>
      </w:r>
    </w:p>
    <w:p w:rsidR="00244613" w:rsidRPr="003150A8" w:rsidRDefault="00244613" w:rsidP="00244613">
      <w:pPr>
        <w:pStyle w:val="enumlev1"/>
        <w:rPr>
          <w:lang w:val="fr-CH"/>
        </w:rPr>
      </w:pPr>
      <w:r w:rsidRPr="003150A8">
        <w:rPr>
          <w:lang w:val="fr-CH"/>
        </w:rPr>
        <w:t>i)</w:t>
      </w:r>
      <w:r w:rsidRPr="003150A8">
        <w:rPr>
          <w:lang w:val="fr-CH"/>
        </w:rPr>
        <w:tab/>
        <w:t>pour les fiches de notification reçues le 1er juillet 2013 ou après cette date, la Décision 482 (C</w:t>
      </w:r>
      <w:r w:rsidRPr="003150A8">
        <w:rPr>
          <w:lang w:val="fr-CH"/>
        </w:rPr>
        <w:noBreakHyphen/>
        <w:t>13) s'applique; le droit, calculé conformément au barème des droits en vigueur à la date de réception, est exigible après réception de la fiche de notification;</w:t>
      </w:r>
    </w:p>
    <w:p w:rsidR="00244613" w:rsidRPr="003150A8" w:rsidRDefault="00244613" w:rsidP="00244613">
      <w:pPr>
        <w:pStyle w:val="enumlev1"/>
        <w:rPr>
          <w:lang w:val="fr-CH"/>
        </w:rPr>
      </w:pPr>
      <w:r w:rsidRPr="003150A8">
        <w:rPr>
          <w:lang w:val="fr-CH"/>
        </w:rPr>
        <w:t>j)</w:t>
      </w:r>
      <w:r w:rsidRPr="003150A8">
        <w:rPr>
          <w:lang w:val="fr-CH"/>
        </w:rPr>
        <w:tab/>
        <w:t>pour les fiches de notification reçues le 1er juillet 2017 ou après cette date, la Décision 482 (C</w:t>
      </w:r>
      <w:r w:rsidRPr="003150A8">
        <w:rPr>
          <w:lang w:val="fr-CH"/>
        </w:rPr>
        <w:noBreakHyphen/>
        <w:t>17) s'applique; le droit, calculé conformément au barème des droits en vigueur à la date de réception, est exigible après réception de la fiche de notification;</w:t>
      </w:r>
    </w:p>
    <w:p w:rsidR="00244613" w:rsidRPr="003150A8" w:rsidRDefault="00244613" w:rsidP="00E1613A">
      <w:pPr>
        <w:snapToGrid w:val="0"/>
        <w:ind w:left="567" w:hanging="567"/>
        <w:rPr>
          <w:rFonts w:asciiTheme="minorHAnsi" w:eastAsiaTheme="minorEastAsia" w:hAnsiTheme="minorHAnsi" w:cs="Calibri"/>
          <w:szCs w:val="24"/>
          <w:lang w:val="fr-CH" w:eastAsia="zh-CN"/>
        </w:rPr>
      </w:pPr>
      <w:r w:rsidRPr="00E1613A">
        <w:rPr>
          <w:rFonts w:asciiTheme="minorHAnsi" w:eastAsiaTheme="minorEastAsia" w:hAnsiTheme="minorHAnsi" w:cs="Calibri"/>
          <w:szCs w:val="24"/>
          <w:lang w:val="fr-CH" w:eastAsia="zh-CN"/>
        </w:rPr>
        <w:t>k)</w:t>
      </w:r>
      <w:r w:rsidRPr="00E1613A">
        <w:rPr>
          <w:rFonts w:asciiTheme="minorHAnsi" w:eastAsiaTheme="minorEastAsia" w:hAnsiTheme="minorHAnsi" w:cs="Calibri"/>
          <w:szCs w:val="24"/>
          <w:lang w:val="fr-CH" w:eastAsia="zh-CN"/>
        </w:rPr>
        <w:tab/>
      </w:r>
      <w:r w:rsidRPr="003150A8">
        <w:rPr>
          <w:lang w:val="fr-CH"/>
        </w:rPr>
        <w:t>pour les fiches de notification reçues le 1er juillet 201</w:t>
      </w:r>
      <w:r w:rsidRPr="00E1613A">
        <w:rPr>
          <w:lang w:val="fr-CH"/>
        </w:rPr>
        <w:t>8</w:t>
      </w:r>
      <w:r w:rsidRPr="003150A8">
        <w:rPr>
          <w:lang w:val="fr-CH"/>
        </w:rPr>
        <w:t xml:space="preserve"> ou après cette date</w:t>
      </w:r>
      <w:r w:rsidRPr="00E1613A">
        <w:rPr>
          <w:lang w:val="fr-CH"/>
        </w:rPr>
        <w:t>,</w:t>
      </w:r>
      <w:r w:rsidRPr="003150A8">
        <w:rPr>
          <w:lang w:val="fr-CH"/>
        </w:rPr>
        <w:t xml:space="preserve"> la Décision 482 (C-18) s'applique; le droit, calculé conformément au barème des droits en vigueur à la date de réception, est exigible après réception de la fiche de notification;</w:t>
      </w:r>
    </w:p>
    <w:p w:rsidR="00244613" w:rsidRPr="003150A8" w:rsidRDefault="00244613" w:rsidP="00244613">
      <w:pPr>
        <w:rPr>
          <w:lang w:val="fr-CH"/>
        </w:rPr>
      </w:pPr>
      <w:r w:rsidRPr="003150A8">
        <w:rPr>
          <w:lang w:val="fr-CH"/>
        </w:rPr>
        <w:t>3</w:t>
      </w:r>
      <w:r w:rsidRPr="003150A8">
        <w:rPr>
          <w:lang w:val="fr-CH"/>
        </w:rPr>
        <w:tab/>
        <w:t>que le droit sera considéré comme un droit de base à acquitter pour le traitement d'une fiche de notification d'un réseau à satellite. Les modifications, sauf les modifications au titre du point 1</w:t>
      </w:r>
      <w:r w:rsidRPr="003150A8">
        <w:rPr>
          <w:i/>
          <w:iCs/>
          <w:lang w:val="fr-CH"/>
        </w:rPr>
        <w:t>quater</w:t>
      </w:r>
      <w:r w:rsidRPr="003150A8">
        <w:rPr>
          <w:lang w:val="fr-CH"/>
        </w:rPr>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rsidR="00244613" w:rsidRPr="003150A8" w:rsidRDefault="00244613" w:rsidP="00244613">
      <w:pPr>
        <w:rPr>
          <w:lang w:val="fr-CH"/>
        </w:rPr>
      </w:pPr>
      <w:r w:rsidRPr="003150A8">
        <w:rPr>
          <w:lang w:val="fr-CH"/>
        </w:rPr>
        <w:t>4</w:t>
      </w:r>
      <w:r w:rsidRPr="003150A8">
        <w:rPr>
          <w:lang w:val="fr-CH"/>
        </w:rPr>
        <w:tab/>
        <w:t xml:space="preserve">que chaque Etat Membre aura droit à la publication, en franchise des droits et taxes susmentionnés, de Sections spéciales ou de parties de la BR IFIC (services spatiaux) pour une fiche de notification de réseau à satellite par an. Chaque Etat Membre en tant qu'administration </w:t>
      </w:r>
      <w:proofErr w:type="spellStart"/>
      <w:r w:rsidRPr="003150A8">
        <w:rPr>
          <w:lang w:val="fr-CH"/>
        </w:rPr>
        <w:t>notificatrice</w:t>
      </w:r>
      <w:proofErr w:type="spellEnd"/>
      <w:r w:rsidRPr="003150A8">
        <w:rPr>
          <w:lang w:val="fr-CH"/>
        </w:rPr>
        <w:t xml:space="preserve"> pourra déterminer qui bénéficiera de cette franchise</w:t>
      </w:r>
      <w:r w:rsidRPr="003150A8">
        <w:rPr>
          <w:rStyle w:val="FootnoteReference"/>
          <w:lang w:val="fr-CH"/>
        </w:rPr>
        <w:footnoteReference w:id="3"/>
      </w:r>
      <w:r w:rsidRPr="003150A8">
        <w:rPr>
          <w:lang w:val="fr-CH"/>
        </w:rPr>
        <w:t>;</w:t>
      </w:r>
    </w:p>
    <w:p w:rsidR="00244613" w:rsidRPr="003150A8" w:rsidRDefault="00244613" w:rsidP="00244613">
      <w:pPr>
        <w:rPr>
          <w:lang w:val="fr-CH"/>
        </w:rPr>
      </w:pPr>
      <w:r w:rsidRPr="003150A8">
        <w:rPr>
          <w:lang w:val="fr-CH"/>
        </w:rPr>
        <w:t>5</w:t>
      </w:r>
      <w:r w:rsidRPr="003150A8">
        <w:rPr>
          <w:lang w:val="fr-CH"/>
        </w:rPr>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l'Etat Membre au plus tard à la fin du délai fixé pour le paiement de la facture, comme indiqué au point 9 du </w:t>
      </w:r>
      <w:r w:rsidRPr="003150A8">
        <w:rPr>
          <w:i/>
          <w:lang w:val="fr-CH"/>
        </w:rPr>
        <w:t xml:space="preserve">décide </w:t>
      </w:r>
      <w:r w:rsidRPr="003150A8">
        <w:rPr>
          <w:lang w:val="fr-CH"/>
        </w:rPr>
        <w:t>ci-dessous. La franchise de droit ne peut s'appliquer à une fiche de notification annulée antérieurement pour défaut de paiement;</w:t>
      </w:r>
    </w:p>
    <w:p w:rsidR="00244613" w:rsidRPr="003150A8" w:rsidRDefault="00244613" w:rsidP="00244613">
      <w:pPr>
        <w:rPr>
          <w:lang w:val="fr-CH"/>
        </w:rPr>
      </w:pPr>
      <w:r w:rsidRPr="003150A8">
        <w:rPr>
          <w:lang w:val="fr-CH"/>
        </w:rPr>
        <w:t>6</w:t>
      </w:r>
      <w:r w:rsidRPr="003150A8">
        <w:rPr>
          <w:lang w:val="fr-CH"/>
        </w:rPr>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3150A8">
        <w:rPr>
          <w:i/>
          <w:iCs/>
          <w:lang w:val="fr-CH"/>
        </w:rPr>
        <w:t>décide</w:t>
      </w:r>
      <w:r w:rsidRPr="003150A8">
        <w:rPr>
          <w:lang w:val="fr-CH"/>
        </w:rPr>
        <w:t xml:space="preserve"> ci-dessus;</w:t>
      </w:r>
    </w:p>
    <w:p w:rsidR="00244613" w:rsidRPr="003150A8" w:rsidRDefault="00244613" w:rsidP="00244613">
      <w:pPr>
        <w:rPr>
          <w:lang w:val="fr-CH"/>
        </w:rPr>
      </w:pPr>
      <w:r w:rsidRPr="003150A8">
        <w:rPr>
          <w:lang w:val="fr-CH"/>
        </w:rPr>
        <w:t>7</w:t>
      </w:r>
      <w:r w:rsidRPr="003150A8">
        <w:rPr>
          <w:lang w:val="fr-CH"/>
        </w:rPr>
        <w:tab/>
        <w:t xml:space="preserve">qu'aucun droit ne sera perçu au titre du recouvrement des coûts pour toute demande de publication dans la Partie A supposant l'application de l'Article 4 des Appendices 30/30A qui a été reçue par le Bureau avant le 8 novembre 1998 ou pour toute demande de publication dans la Partie B supposant l'application de l'Article 4 des Appendices 30/30A pour laquelle la Partie A associée a été reçue avant le 8 novembre 1998. Toute demande de publication dans la Partie 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3150A8">
        <w:rPr>
          <w:i/>
          <w:iCs/>
          <w:lang w:val="fr-CH"/>
        </w:rPr>
        <w:t>décide</w:t>
      </w:r>
      <w:r w:rsidRPr="003150A8">
        <w:rPr>
          <w:lang w:val="fr-CH"/>
        </w:rPr>
        <w:t xml:space="preserve"> ci-dessus; </w:t>
      </w:r>
    </w:p>
    <w:p w:rsidR="00244613" w:rsidRPr="003150A8" w:rsidRDefault="00244613" w:rsidP="00244613">
      <w:pPr>
        <w:rPr>
          <w:lang w:val="fr-CH"/>
        </w:rPr>
      </w:pPr>
      <w:r w:rsidRPr="003150A8">
        <w:rPr>
          <w:lang w:val="fr-CH"/>
        </w:rPr>
        <w:t>7</w:t>
      </w:r>
      <w:r w:rsidRPr="003150A8">
        <w:rPr>
          <w:i/>
          <w:iCs/>
          <w:lang w:val="fr-CH"/>
        </w:rPr>
        <w:t>bis</w:t>
      </w:r>
      <w:r w:rsidRPr="003150A8">
        <w:rPr>
          <w:lang w:val="fr-CH"/>
        </w:rPr>
        <w:tab/>
        <w:t>qu'aucun droit ne sera perçu au titre du recouvrement des coûts pour toute demande soumise au titre du § 6.17 de l'Article 6 de l'Appendice 30B lorsque la soumission associée au titre du § 6.1 de cet Article a été reçue avant le 17 novembre 2007;</w:t>
      </w:r>
    </w:p>
    <w:p w:rsidR="00244613" w:rsidRPr="003150A8" w:rsidRDefault="00244613" w:rsidP="00244613">
      <w:pPr>
        <w:rPr>
          <w:lang w:val="fr-CH"/>
        </w:rPr>
      </w:pPr>
      <w:r w:rsidRPr="003150A8">
        <w:rPr>
          <w:lang w:val="fr-CH"/>
        </w:rPr>
        <w:t>8</w:t>
      </w:r>
      <w:r w:rsidRPr="003150A8">
        <w:rPr>
          <w:lang w:val="fr-CH"/>
        </w:rPr>
        <w:tab/>
        <w:t>que l'Annexe (Barème des droits de traitement) de la présente Décision devrait être revue périodiquement par le Conseil;</w:t>
      </w:r>
    </w:p>
    <w:p w:rsidR="00244613" w:rsidRPr="003150A8" w:rsidRDefault="00244613" w:rsidP="00244613">
      <w:pPr>
        <w:rPr>
          <w:lang w:val="fr-CH"/>
        </w:rPr>
      </w:pPr>
      <w:r w:rsidRPr="003150A8">
        <w:rPr>
          <w:lang w:val="fr-CH"/>
        </w:rPr>
        <w:t>9</w:t>
      </w:r>
      <w:r w:rsidRPr="003150A8">
        <w:rPr>
          <w:lang w:val="fr-CH"/>
        </w:rPr>
        <w:tab/>
        <w:t xml:space="preserve">que les droits et taxes seront acquittés sur la base d'une facture établie dès réception de la fiche de notification par le Bureau des radiocommunications et envoyée à l'administration </w:t>
      </w:r>
      <w:proofErr w:type="spellStart"/>
      <w:r w:rsidRPr="003150A8">
        <w:rPr>
          <w:lang w:val="fr-CH"/>
        </w:rPr>
        <w:t>notificatrice</w:t>
      </w:r>
      <w:proofErr w:type="spellEnd"/>
      <w:r w:rsidRPr="003150A8">
        <w:rPr>
          <w:lang w:val="fr-CH"/>
        </w:rPr>
        <w:t xml:space="preserve"> ou, à la demande de cette administration, à l'exploitant du réseau à satellite concerné, dans un délai de six mois maximum après la date d'établissement de la facture;</w:t>
      </w:r>
    </w:p>
    <w:p w:rsidR="00244613" w:rsidRPr="003150A8" w:rsidRDefault="00244613" w:rsidP="00244613">
      <w:pPr>
        <w:rPr>
          <w:lang w:val="fr-CH"/>
        </w:rPr>
      </w:pPr>
      <w:r w:rsidRPr="003150A8">
        <w:rPr>
          <w:lang w:val="fr-CH"/>
        </w:rPr>
        <w:t>10</w:t>
      </w:r>
      <w:r w:rsidRPr="003150A8">
        <w:rPr>
          <w:lang w:val="fr-CH"/>
        </w:rPr>
        <w:tab/>
        <w:t>que toute annulation ultérieure reçue par le Bureau des radiocommunications dans les quinze jours qui suivent la date de réception de la fiche de notification supprimera l'obligation d'acquitter le droit;</w:t>
      </w:r>
    </w:p>
    <w:p w:rsidR="00244613" w:rsidRPr="003150A8" w:rsidRDefault="00244613" w:rsidP="00244613">
      <w:pPr>
        <w:rPr>
          <w:lang w:val="fr-CH"/>
        </w:rPr>
      </w:pPr>
      <w:r w:rsidRPr="003150A8">
        <w:rPr>
          <w:lang w:val="fr-CH"/>
        </w:rPr>
        <w:t>11</w:t>
      </w:r>
      <w:r w:rsidRPr="003150A8">
        <w:rPr>
          <w:lang w:val="fr-CH"/>
        </w:rPr>
        <w:tab/>
        <w:t xml:space="preserve">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l'adjonction d'un nouvel allotissement dans le Plan pour un nouvel Etat Membre de l'Union, conformément à la procédure prévue à l'Article 7 de l'Appendice 30B et les soumissions au titre des points 3 et 4 du </w:t>
      </w:r>
      <w:r w:rsidRPr="003150A8">
        <w:rPr>
          <w:i/>
          <w:iCs/>
          <w:lang w:val="fr-CH"/>
        </w:rPr>
        <w:t>décide</w:t>
      </w:r>
      <w:r w:rsidRPr="003150A8">
        <w:rPr>
          <w:lang w:val="fr-CH"/>
        </w:rPr>
        <w:t xml:space="preserve"> de la Résolution 555 (CMR-12), seront exonérées de tout droit;</w:t>
      </w:r>
    </w:p>
    <w:p w:rsidR="00244613" w:rsidRPr="003150A8" w:rsidRDefault="00244613" w:rsidP="00244613">
      <w:pPr>
        <w:rPr>
          <w:lang w:val="fr-CH"/>
        </w:rPr>
      </w:pPr>
      <w:r w:rsidRPr="003150A8">
        <w:rPr>
          <w:lang w:val="fr-CH"/>
        </w:rPr>
        <w:t>12</w:t>
      </w:r>
      <w:r w:rsidRPr="003150A8">
        <w:rPr>
          <w:lang w:val="fr-CH"/>
        </w:rPr>
        <w:tab/>
        <w:t xml:space="preserve">que la date d'entrée en vigueur de la Décision 482 (modifiée en </w:t>
      </w:r>
      <w:r w:rsidRPr="003150A8">
        <w:rPr>
          <w:lang w:val="fr-CH"/>
        </w:rPr>
        <w:t>2018</w:t>
      </w:r>
      <w:r w:rsidRPr="003150A8">
        <w:rPr>
          <w:lang w:val="fr-CH"/>
        </w:rPr>
        <w:t>) sera le 1er juillet </w:t>
      </w:r>
      <w:r w:rsidRPr="003150A8">
        <w:rPr>
          <w:lang w:val="fr-CH"/>
        </w:rPr>
        <w:t>2018</w:t>
      </w:r>
      <w:r w:rsidRPr="003150A8">
        <w:rPr>
          <w:lang w:val="fr-CH"/>
        </w:rPr>
        <w:t>;</w:t>
      </w:r>
    </w:p>
    <w:p w:rsidR="00244613" w:rsidRPr="003150A8" w:rsidRDefault="00244613" w:rsidP="00244613">
      <w:pPr>
        <w:rPr>
          <w:lang w:val="fr-CH"/>
        </w:rPr>
      </w:pPr>
      <w:r w:rsidRPr="003150A8">
        <w:rPr>
          <w:lang w:val="fr-CH"/>
        </w:rPr>
        <w:t>13</w:t>
      </w:r>
      <w:r w:rsidRPr="003150A8">
        <w:rPr>
          <w:lang w:val="fr-CH"/>
        </w:rPr>
        <w:tab/>
        <w:t>que les dispositions de la présente Décision devront être révisées lorsque l'on disposera de données de comptabilisation du temps,</w:t>
      </w:r>
    </w:p>
    <w:p w:rsidR="00244613" w:rsidRPr="003150A8" w:rsidRDefault="00244613" w:rsidP="00244613">
      <w:pPr>
        <w:pStyle w:val="Call"/>
        <w:rPr>
          <w:lang w:val="fr-CH"/>
        </w:rPr>
      </w:pPr>
      <w:proofErr w:type="gramStart"/>
      <w:r w:rsidRPr="003150A8">
        <w:rPr>
          <w:lang w:val="fr-CH"/>
        </w:rPr>
        <w:t>recommande</w:t>
      </w:r>
      <w:proofErr w:type="gramEnd"/>
    </w:p>
    <w:p w:rsidR="00244613" w:rsidRPr="003150A8" w:rsidRDefault="00244613" w:rsidP="00244613">
      <w:pPr>
        <w:rPr>
          <w:lang w:val="fr-CH"/>
        </w:rPr>
      </w:pPr>
      <w:proofErr w:type="gramStart"/>
      <w:r w:rsidRPr="003150A8">
        <w:rPr>
          <w:lang w:val="fr-CH"/>
        </w:rPr>
        <w:t>que</w:t>
      </w:r>
      <w:proofErr w:type="gramEnd"/>
      <w:r w:rsidRPr="003150A8">
        <w:rPr>
          <w:lang w:val="fr-CH"/>
        </w:rPr>
        <w:t>, si le Conseil</w:t>
      </w:r>
      <w:r w:rsidRPr="003150A8">
        <w:rPr>
          <w:rStyle w:val="FootnoteReference"/>
          <w:rFonts w:cstheme="minorHAnsi"/>
          <w:lang w:val="fr-CH"/>
        </w:rPr>
        <w:footnoteReference w:customMarkFollows="1" w:id="4"/>
        <w:sym w:font="Symbol" w:char="F02A"/>
      </w:r>
      <w:r w:rsidRPr="003150A8">
        <w:rPr>
          <w:lang w:val="fr-CH"/>
        </w:rPr>
        <w:t xml:space="preserve"> révise le barème des droits reproduit en Annexe, les éventuels avoirs soient utilisés par le Bureau pour le règlement de factures ultérieures, à la demande des administrations,</w:t>
      </w:r>
    </w:p>
    <w:p w:rsidR="00244613" w:rsidRPr="003150A8" w:rsidRDefault="00244613" w:rsidP="00244613">
      <w:pPr>
        <w:pStyle w:val="Call"/>
        <w:rPr>
          <w:lang w:val="fr-CH"/>
        </w:rPr>
      </w:pPr>
      <w:proofErr w:type="gramStart"/>
      <w:r w:rsidRPr="003150A8">
        <w:rPr>
          <w:lang w:val="fr-CH"/>
        </w:rPr>
        <w:t>encourage</w:t>
      </w:r>
      <w:proofErr w:type="gramEnd"/>
      <w:r w:rsidRPr="003150A8">
        <w:rPr>
          <w:lang w:val="fr-CH"/>
        </w:rPr>
        <w:t xml:space="preserve"> les Etats Membres</w:t>
      </w:r>
    </w:p>
    <w:p w:rsidR="00244613" w:rsidRPr="003150A8" w:rsidRDefault="00244613" w:rsidP="00244613">
      <w:pPr>
        <w:rPr>
          <w:lang w:val="fr-CH"/>
        </w:rPr>
      </w:pPr>
      <w:proofErr w:type="gramStart"/>
      <w:r w:rsidRPr="003150A8">
        <w:rPr>
          <w:lang w:val="fr-CH"/>
        </w:rPr>
        <w:t>à</w:t>
      </w:r>
      <w:proofErr w:type="gramEnd"/>
      <w:r w:rsidRPr="003150A8">
        <w:rPr>
          <w:lang w:val="fr-CH"/>
        </w:rPr>
        <w:t xml:space="preserve"> élaborer au niveau national des politiques qui permettront de limiter les cas de défaut de paiement et les pertes de recettes qui en résulteraient pour l'UIT,</w:t>
      </w:r>
    </w:p>
    <w:p w:rsidR="00244613" w:rsidRPr="003150A8" w:rsidRDefault="00244613" w:rsidP="00244613">
      <w:pPr>
        <w:pStyle w:val="Call"/>
        <w:rPr>
          <w:lang w:val="fr-CH"/>
        </w:rPr>
      </w:pPr>
      <w:proofErr w:type="gramStart"/>
      <w:r w:rsidRPr="003150A8">
        <w:rPr>
          <w:lang w:val="fr-CH"/>
        </w:rPr>
        <w:t>charge</w:t>
      </w:r>
      <w:proofErr w:type="gramEnd"/>
      <w:r w:rsidRPr="003150A8">
        <w:rPr>
          <w:lang w:val="fr-CH"/>
        </w:rPr>
        <w:t xml:space="preserve"> le Directeur du Bureau des radiocommunications</w:t>
      </w:r>
    </w:p>
    <w:p w:rsidR="00244613" w:rsidRPr="003150A8" w:rsidRDefault="00244613" w:rsidP="00244613">
      <w:pPr>
        <w:rPr>
          <w:lang w:val="fr-CH"/>
        </w:rPr>
      </w:pPr>
      <w:r w:rsidRPr="003150A8">
        <w:rPr>
          <w:lang w:val="fr-CH"/>
        </w:rPr>
        <w:t>1</w:t>
      </w:r>
      <w:r w:rsidRPr="003150A8">
        <w:rPr>
          <w:lang w:val="fr-CH"/>
        </w:rPr>
        <w:tab/>
        <w:t>d'améliorer le logiciel de saisie des fiches de notification électroniques (</w:t>
      </w:r>
      <w:proofErr w:type="spellStart"/>
      <w:r w:rsidRPr="003150A8">
        <w:rPr>
          <w:lang w:val="fr-CH"/>
        </w:rPr>
        <w:t>SpaceCap</w:t>
      </w:r>
      <w:proofErr w:type="spellEnd"/>
      <w:r w:rsidRPr="003150A8">
        <w:rPr>
          <w:lang w:val="fr-CH"/>
        </w:rPr>
        <w:t>) du Bureau des radiocommunications pour pouvoir calculer au mieux le montant estimatif des droits associés à une fiche de notification de réseau à satellite, de quelque type que ce soit, avant que cette fiche soit soumise à l'UIT;</w:t>
      </w:r>
    </w:p>
    <w:p w:rsidR="00244613" w:rsidRPr="003150A8" w:rsidRDefault="00244613" w:rsidP="00244613">
      <w:pPr>
        <w:rPr>
          <w:lang w:val="fr-CH"/>
        </w:rPr>
      </w:pPr>
      <w:r w:rsidRPr="003150A8">
        <w:rPr>
          <w:lang w:val="fr-CH"/>
        </w:rPr>
        <w:t>2</w:t>
      </w:r>
      <w:r w:rsidRPr="003150A8">
        <w:rPr>
          <w:lang w:val="fr-CH"/>
        </w:rPr>
        <w:tab/>
        <w:t>de soumettre au Conseil un rapport annuel sur l'application de la présente Décision, notamment une analyse sur:</w:t>
      </w:r>
    </w:p>
    <w:p w:rsidR="00244613" w:rsidRPr="003150A8" w:rsidRDefault="00244613" w:rsidP="00244613">
      <w:pPr>
        <w:pStyle w:val="enumlev1"/>
        <w:rPr>
          <w:lang w:val="fr-CH"/>
        </w:rPr>
      </w:pPr>
      <w:r w:rsidRPr="003150A8">
        <w:rPr>
          <w:lang w:val="fr-CH"/>
        </w:rPr>
        <w:t>a)</w:t>
      </w:r>
      <w:r w:rsidRPr="003150A8">
        <w:rPr>
          <w:lang w:val="fr-CH"/>
        </w:rPr>
        <w:tab/>
        <w:t>le coût des différentes étapes des procédures;</w:t>
      </w:r>
    </w:p>
    <w:p w:rsidR="00244613" w:rsidRPr="003150A8" w:rsidRDefault="00244613" w:rsidP="00244613">
      <w:pPr>
        <w:pStyle w:val="enumlev1"/>
        <w:rPr>
          <w:lang w:val="fr-CH"/>
        </w:rPr>
      </w:pPr>
      <w:r w:rsidRPr="003150A8">
        <w:rPr>
          <w:lang w:val="fr-CH"/>
        </w:rPr>
        <w:t>b)</w:t>
      </w:r>
      <w:r w:rsidRPr="003150A8">
        <w:rPr>
          <w:lang w:val="fr-CH"/>
        </w:rPr>
        <w:tab/>
        <w:t>les incidences de la présentation d'informations par voie électronique;</w:t>
      </w:r>
    </w:p>
    <w:p w:rsidR="00244613" w:rsidRPr="003150A8" w:rsidRDefault="00244613" w:rsidP="00244613">
      <w:pPr>
        <w:pStyle w:val="enumlev1"/>
        <w:rPr>
          <w:lang w:val="fr-CH"/>
        </w:rPr>
      </w:pPr>
      <w:r w:rsidRPr="003150A8">
        <w:rPr>
          <w:lang w:val="fr-CH"/>
        </w:rPr>
        <w:t>c)</w:t>
      </w:r>
      <w:r w:rsidRPr="003150A8">
        <w:rPr>
          <w:lang w:val="fr-CH"/>
        </w:rPr>
        <w:tab/>
        <w:t>l'amélioration de la qualité de service, notamment la réduction de l'arriéré;</w:t>
      </w:r>
    </w:p>
    <w:p w:rsidR="00244613" w:rsidRPr="003150A8" w:rsidRDefault="00244613" w:rsidP="00244613">
      <w:pPr>
        <w:pStyle w:val="enumlev1"/>
        <w:rPr>
          <w:lang w:val="fr-CH"/>
        </w:rPr>
      </w:pPr>
      <w:r w:rsidRPr="003150A8">
        <w:rPr>
          <w:lang w:val="fr-CH"/>
        </w:rPr>
        <w:t>d)</w:t>
      </w:r>
      <w:r w:rsidRPr="003150A8">
        <w:rPr>
          <w:lang w:val="fr-CH"/>
        </w:rPr>
        <w:tab/>
        <w:t>le coût de la validation des fiches de notification et des demandes de correction de ces fiches; et</w:t>
      </w:r>
    </w:p>
    <w:p w:rsidR="00244613" w:rsidRPr="003150A8" w:rsidRDefault="00244613" w:rsidP="00244613">
      <w:pPr>
        <w:pStyle w:val="enumlev1"/>
        <w:rPr>
          <w:lang w:val="fr-CH"/>
        </w:rPr>
      </w:pPr>
      <w:r w:rsidRPr="003150A8">
        <w:rPr>
          <w:lang w:val="fr-CH"/>
        </w:rPr>
        <w:t>e)</w:t>
      </w:r>
      <w:r w:rsidRPr="003150A8">
        <w:rPr>
          <w:lang w:val="fr-CH"/>
        </w:rPr>
        <w:tab/>
        <w:t>les difficultés rencontrées dans l'application des dispositions de la présente Décision;</w:t>
      </w:r>
    </w:p>
    <w:p w:rsidR="00244613" w:rsidRDefault="00244613" w:rsidP="00244613">
      <w:pPr>
        <w:rPr>
          <w:lang w:val="fr-CH"/>
        </w:rPr>
      </w:pPr>
      <w:r w:rsidRPr="003150A8">
        <w:rPr>
          <w:lang w:val="fr-CH"/>
        </w:rPr>
        <w:t>3</w:t>
      </w:r>
      <w:r w:rsidRPr="003150A8">
        <w:rPr>
          <w:lang w:val="fr-CH"/>
        </w:rPr>
        <w:tab/>
        <w:t xml:space="preserve">d'informer les Etats Membres de toute procédure suivie par le Bureau des radiocommunications pour mettre en </w:t>
      </w:r>
      <w:proofErr w:type="spellStart"/>
      <w:r w:rsidRPr="003150A8">
        <w:rPr>
          <w:lang w:val="fr-CH"/>
        </w:rPr>
        <w:t>oeuvre</w:t>
      </w:r>
      <w:proofErr w:type="spellEnd"/>
      <w:r w:rsidRPr="003150A8">
        <w:rPr>
          <w:lang w:val="fr-CH"/>
        </w:rPr>
        <w:t xml:space="preserve"> les dispositions de la présente Décision ainsi que de la raison d'être de cette procédure.</w:t>
      </w:r>
    </w:p>
    <w:p w:rsidR="00134E33" w:rsidRDefault="00134E33" w:rsidP="00244613">
      <w:pPr>
        <w:rPr>
          <w:lang w:val="fr-CH"/>
        </w:rPr>
      </w:pPr>
    </w:p>
    <w:p w:rsidR="00244613" w:rsidRDefault="00244613" w:rsidP="0018694A">
      <w:pPr>
        <w:rPr>
          <w:lang w:val="fr-CH"/>
        </w:rPr>
        <w:sectPr w:rsidR="00244613" w:rsidSect="006D3792">
          <w:headerReference w:type="default" r:id="rId11"/>
          <w:footerReference w:type="first" r:id="rId12"/>
          <w:pgSz w:w="11907" w:h="16840" w:code="9"/>
          <w:pgMar w:top="1418" w:right="1134" w:bottom="1418" w:left="1134" w:header="720" w:footer="720" w:gutter="0"/>
          <w:paperSrc w:first="7" w:other="7"/>
          <w:cols w:space="720"/>
          <w:titlePg/>
          <w:docGrid w:linePitch="326"/>
        </w:sectPr>
      </w:pPr>
    </w:p>
    <w:p w:rsidR="00244613" w:rsidRPr="003150A8" w:rsidRDefault="00244613" w:rsidP="00134E33">
      <w:pPr>
        <w:pStyle w:val="AnnexNo"/>
        <w:spacing w:before="240"/>
        <w:rPr>
          <w:rFonts w:eastAsiaTheme="minorEastAsia"/>
          <w:lang w:val="fr-CH" w:eastAsia="zh-CN"/>
        </w:rPr>
      </w:pPr>
      <w:r w:rsidRPr="003150A8">
        <w:rPr>
          <w:rFonts w:eastAsiaTheme="minorEastAsia"/>
          <w:lang w:val="fr-CH" w:eastAsia="zh-CN"/>
        </w:rPr>
        <w:t>ANNEXE</w:t>
      </w:r>
    </w:p>
    <w:p w:rsidR="00244613" w:rsidRPr="003150A8" w:rsidRDefault="00244613" w:rsidP="00244613">
      <w:pPr>
        <w:pStyle w:val="Annextitle"/>
        <w:rPr>
          <w:lang w:val="fr-CH"/>
        </w:rPr>
      </w:pPr>
      <w:r w:rsidRPr="003150A8">
        <w:rPr>
          <w:lang w:val="fr-CH"/>
        </w:rPr>
        <w:t xml:space="preserve">Barème des droits de traitement à appliquer aux fiches de notification de réseaux à satellite reçues </w:t>
      </w:r>
      <w:r>
        <w:rPr>
          <w:lang w:val="fr-CH"/>
        </w:rPr>
        <w:br/>
      </w:r>
      <w:r w:rsidRPr="003150A8">
        <w:rPr>
          <w:lang w:val="fr-CH"/>
        </w:rPr>
        <w:t xml:space="preserve">par le Bureau des radiocommunications le 1er juillet </w:t>
      </w:r>
      <w:r w:rsidRPr="003150A8">
        <w:rPr>
          <w:lang w:val="fr-CH"/>
        </w:rPr>
        <w:t>2018</w:t>
      </w:r>
      <w:r w:rsidRPr="003150A8">
        <w:rPr>
          <w:lang w:val="fr-CH"/>
        </w:rPr>
        <w:t xml:space="preserve">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11"/>
        <w:gridCol w:w="1059"/>
        <w:gridCol w:w="1007"/>
        <w:gridCol w:w="1370"/>
      </w:tblGrid>
      <w:tr w:rsidR="00244613" w:rsidRPr="003150A8" w:rsidTr="00516EF2">
        <w:trPr>
          <w:tblHeader/>
          <w:jc w:val="center"/>
        </w:trPr>
        <w:tc>
          <w:tcPr>
            <w:tcW w:w="331" w:type="dxa"/>
            <w:tcBorders>
              <w:top w:val="single" w:sz="4" w:space="0" w:color="auto"/>
              <w:left w:val="single" w:sz="4" w:space="0" w:color="auto"/>
              <w:bottom w:val="single" w:sz="4" w:space="0" w:color="auto"/>
              <w:right w:val="single" w:sz="4" w:space="0" w:color="auto"/>
            </w:tcBorders>
            <w:vAlign w:val="center"/>
          </w:tcPr>
          <w:p w:rsidR="00244613" w:rsidRPr="003150A8" w:rsidRDefault="00244613" w:rsidP="00DD310C">
            <w:pPr>
              <w:spacing w:before="20" w:after="20"/>
              <w:jc w:val="center"/>
              <w:rPr>
                <w:rFonts w:cstheme="minorHAnsi"/>
                <w:b/>
                <w:bCs/>
                <w:sz w:val="16"/>
                <w:szCs w:val="16"/>
                <w:lang w:val="fr-CH"/>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rPr>
                <w:rFonts w:asciiTheme="minorHAnsi" w:hAnsiTheme="minorHAnsi"/>
                <w:sz w:val="16"/>
                <w:szCs w:val="16"/>
                <w:lang w:val="fr-CH"/>
              </w:rPr>
            </w:pPr>
            <w:r w:rsidRPr="003150A8">
              <w:rPr>
                <w:rFonts w:asciiTheme="minorHAnsi" w:hAnsiTheme="minorHAnsi"/>
                <w:sz w:val="16"/>
                <w:szCs w:val="16"/>
                <w:lang w:val="fr-CH"/>
              </w:rPr>
              <w:t>Type</w:t>
            </w:r>
          </w:p>
        </w:tc>
        <w:tc>
          <w:tcPr>
            <w:tcW w:w="567" w:type="dxa"/>
            <w:tcBorders>
              <w:top w:val="single" w:sz="4" w:space="0" w:color="auto"/>
              <w:left w:val="single" w:sz="4" w:space="0" w:color="auto"/>
              <w:bottom w:val="single" w:sz="4" w:space="0" w:color="auto"/>
              <w:right w:val="single" w:sz="4" w:space="0" w:color="auto"/>
            </w:tcBorders>
            <w:vAlign w:val="center"/>
          </w:tcPr>
          <w:p w:rsidR="00244613" w:rsidRPr="003150A8" w:rsidRDefault="00244613" w:rsidP="00DD310C">
            <w:pPr>
              <w:pStyle w:val="TableHead0"/>
              <w:rPr>
                <w:rFonts w:asciiTheme="minorHAnsi" w:hAnsiTheme="minorHAnsi"/>
                <w:sz w:val="16"/>
                <w:szCs w:val="16"/>
                <w:lang w:val="fr-CH"/>
              </w:rPr>
            </w:pP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rPr>
                <w:rFonts w:asciiTheme="minorHAnsi" w:hAnsiTheme="minorHAnsi"/>
                <w:sz w:val="16"/>
                <w:szCs w:val="16"/>
                <w:lang w:val="fr-CH"/>
              </w:rPr>
            </w:pPr>
            <w:r w:rsidRPr="003150A8">
              <w:rPr>
                <w:rFonts w:asciiTheme="minorHAnsi" w:hAnsiTheme="minorHAnsi"/>
                <w:sz w:val="16"/>
                <w:szCs w:val="16"/>
                <w:lang w:val="fr-CH"/>
              </w:rPr>
              <w:t>Catégorie</w:t>
            </w: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rPr>
                <w:rFonts w:asciiTheme="minorHAnsi" w:hAnsiTheme="minorHAnsi"/>
                <w:sz w:val="16"/>
                <w:szCs w:val="16"/>
                <w:lang w:val="fr-CH"/>
              </w:rPr>
            </w:pPr>
            <w:r w:rsidRPr="003150A8">
              <w:rPr>
                <w:rFonts w:asciiTheme="minorHAnsi" w:hAnsiTheme="minorHAnsi"/>
                <w:sz w:val="16"/>
                <w:szCs w:val="16"/>
                <w:lang w:val="fr-CH"/>
              </w:rPr>
              <w:t xml:space="preserve">Droit fixe par fiche de notification </w:t>
            </w:r>
            <w:r w:rsidRPr="003150A8">
              <w:rPr>
                <w:rFonts w:asciiTheme="minorHAnsi" w:hAnsiTheme="minorHAnsi"/>
                <w:sz w:val="16"/>
                <w:szCs w:val="16"/>
                <w:lang w:val="fr-CH"/>
              </w:rPr>
              <w:br/>
              <w:t>(en CHF</w:t>
            </w:r>
            <w:proofErr w:type="gramStart"/>
            <w:r w:rsidRPr="003150A8">
              <w:rPr>
                <w:rFonts w:asciiTheme="minorHAnsi" w:hAnsiTheme="minorHAnsi"/>
                <w:sz w:val="16"/>
                <w:szCs w:val="16"/>
                <w:lang w:val="fr-CH"/>
              </w:rPr>
              <w:t>)</w:t>
            </w:r>
            <w:proofErr w:type="gramEnd"/>
            <w:r w:rsidRPr="003150A8">
              <w:rPr>
                <w:rFonts w:asciiTheme="minorHAnsi" w:hAnsiTheme="minorHAnsi"/>
                <w:sz w:val="16"/>
                <w:szCs w:val="16"/>
                <w:lang w:val="fr-CH"/>
              </w:rPr>
              <w:br/>
              <w:t>(</w:t>
            </w:r>
            <w:r w:rsidRPr="003150A8">
              <w:rPr>
                <w:rFonts w:asciiTheme="minorHAnsi" w:hAnsiTheme="minorHAnsi"/>
                <w:sz w:val="16"/>
                <w:szCs w:val="16"/>
                <w:lang w:val="fr-CH"/>
              </w:rPr>
              <w:sym w:font="Symbol" w:char="F0B3"/>
            </w:r>
            <w:r w:rsidRPr="003150A8">
              <w:rPr>
                <w:rFonts w:asciiTheme="minorHAnsi" w:hAnsiTheme="minorHAnsi"/>
                <w:sz w:val="16"/>
                <w:szCs w:val="16"/>
                <w:lang w:val="fr-CH"/>
              </w:rPr>
              <w:t xml:space="preserve"> 100 unités, le cas échéant)</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rPr>
                <w:rFonts w:asciiTheme="minorHAnsi" w:hAnsiTheme="minorHAnsi"/>
                <w:sz w:val="16"/>
                <w:szCs w:val="16"/>
                <w:lang w:val="fr-CH"/>
              </w:rPr>
            </w:pPr>
            <w:r w:rsidRPr="003150A8">
              <w:rPr>
                <w:rFonts w:asciiTheme="minorHAnsi" w:hAnsiTheme="minorHAnsi"/>
                <w:sz w:val="16"/>
                <w:szCs w:val="16"/>
                <w:lang w:val="fr-CH"/>
              </w:rPr>
              <w:t xml:space="preserve">Droit fixe par fiche de notification </w:t>
            </w:r>
            <w:r w:rsidRPr="003150A8">
              <w:rPr>
                <w:rFonts w:asciiTheme="minorHAnsi" w:hAnsiTheme="minorHAnsi"/>
                <w:sz w:val="16"/>
                <w:szCs w:val="16"/>
                <w:lang w:val="fr-CH"/>
              </w:rPr>
              <w:br/>
              <w:t>(en CHF</w:t>
            </w:r>
            <w:proofErr w:type="gramStart"/>
            <w:r w:rsidRPr="003150A8">
              <w:rPr>
                <w:rFonts w:asciiTheme="minorHAnsi" w:hAnsiTheme="minorHAnsi"/>
                <w:sz w:val="16"/>
                <w:szCs w:val="16"/>
                <w:lang w:val="fr-CH"/>
              </w:rPr>
              <w:t>)</w:t>
            </w:r>
            <w:proofErr w:type="gramEnd"/>
            <w:r w:rsidRPr="003150A8">
              <w:rPr>
                <w:rFonts w:asciiTheme="minorHAnsi" w:hAnsiTheme="minorHAnsi"/>
                <w:sz w:val="16"/>
                <w:szCs w:val="16"/>
                <w:lang w:val="fr-CH"/>
              </w:rPr>
              <w:br/>
              <w:t>(&lt; 100 unités)</w:t>
            </w:r>
          </w:p>
        </w:tc>
        <w:tc>
          <w:tcPr>
            <w:tcW w:w="1007" w:type="dxa"/>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rPr>
                <w:rFonts w:asciiTheme="minorHAnsi" w:hAnsiTheme="minorHAnsi"/>
                <w:sz w:val="16"/>
                <w:szCs w:val="16"/>
                <w:lang w:val="fr-CH"/>
              </w:rPr>
            </w:pPr>
            <w:r w:rsidRPr="003150A8">
              <w:rPr>
                <w:rFonts w:asciiTheme="minorHAnsi" w:hAnsiTheme="minorHAnsi"/>
                <w:sz w:val="16"/>
                <w:szCs w:val="16"/>
                <w:lang w:val="fr-CH"/>
              </w:rPr>
              <w:t>Droit par unité</w:t>
            </w:r>
            <w:r w:rsidRPr="003150A8">
              <w:rPr>
                <w:rFonts w:asciiTheme="minorHAnsi" w:hAnsiTheme="minorHAnsi"/>
                <w:sz w:val="16"/>
                <w:szCs w:val="16"/>
                <w:lang w:val="fr-CH"/>
              </w:rPr>
              <w:br/>
              <w:t>(en CHF</w:t>
            </w:r>
            <w:proofErr w:type="gramStart"/>
            <w:r w:rsidRPr="003150A8">
              <w:rPr>
                <w:rFonts w:asciiTheme="minorHAnsi" w:hAnsiTheme="minorHAnsi"/>
                <w:sz w:val="16"/>
                <w:szCs w:val="16"/>
                <w:lang w:val="fr-CH"/>
              </w:rPr>
              <w:t>)</w:t>
            </w:r>
            <w:proofErr w:type="gramEnd"/>
            <w:r w:rsidRPr="003150A8">
              <w:rPr>
                <w:rFonts w:asciiTheme="minorHAnsi" w:hAnsiTheme="minorHAnsi"/>
                <w:sz w:val="16"/>
                <w:szCs w:val="16"/>
                <w:lang w:val="fr-CH"/>
              </w:rPr>
              <w:br/>
              <w:t>(&lt; 100 unités)</w:t>
            </w:r>
          </w:p>
        </w:tc>
        <w:tc>
          <w:tcPr>
            <w:tcW w:w="1370" w:type="dxa"/>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rPr>
                <w:rFonts w:asciiTheme="minorHAnsi" w:hAnsiTheme="minorHAnsi"/>
                <w:sz w:val="16"/>
                <w:szCs w:val="16"/>
                <w:lang w:val="fr-CH"/>
              </w:rPr>
            </w:pPr>
            <w:r w:rsidRPr="003150A8">
              <w:rPr>
                <w:rFonts w:asciiTheme="minorHAnsi" w:hAnsiTheme="minorHAnsi"/>
                <w:sz w:val="16"/>
                <w:szCs w:val="16"/>
                <w:lang w:val="fr-CH"/>
              </w:rPr>
              <w:t>Unité assujettie au recouvrement des coûts</w:t>
            </w:r>
          </w:p>
        </w:tc>
      </w:tr>
      <w:tr w:rsidR="00244613" w:rsidRPr="003150A8" w:rsidTr="00516EF2">
        <w:trPr>
          <w:jc w:val="center"/>
        </w:trPr>
        <w:tc>
          <w:tcPr>
            <w:tcW w:w="33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 xml:space="preserve">Publication </w:t>
            </w:r>
            <w:proofErr w:type="spellStart"/>
            <w:r w:rsidRPr="00244613">
              <w:rPr>
                <w:rFonts w:asciiTheme="minorHAnsi" w:hAnsiTheme="minorHAnsi"/>
                <w:sz w:val="15"/>
                <w:szCs w:val="15"/>
              </w:rPr>
              <w:t>anticipée</w:t>
            </w:r>
            <w:proofErr w:type="spellEnd"/>
            <w:r w:rsidRPr="00244613">
              <w:rPr>
                <w:rFonts w:asciiTheme="minorHAnsi" w:hAnsiTheme="minorHAnsi"/>
                <w:sz w:val="15"/>
                <w:szCs w:val="15"/>
              </w:rPr>
              <w:t xml:space="preserve"> (A)</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A1</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lang w:val="fr-CH"/>
              </w:rPr>
            </w:pPr>
            <w:r w:rsidRPr="00244613">
              <w:rPr>
                <w:rFonts w:asciiTheme="minorHAnsi" w:hAnsiTheme="minorHAnsi"/>
                <w:sz w:val="15"/>
                <w:szCs w:val="15"/>
                <w:lang w:val="fr-CH"/>
              </w:rPr>
              <w:t>Publication anticipée d'un réseau à satellite non géostationnaire non soumis à la procédure de coordination au titre de la Sous-Section IA de l'Article 9; publication anticipée des liaisons inter-satellites d'une station spatiale d'un satellite géostationnaire communiquant avec une station spatiale d'un satellite non géostationnaire provisoirement non assujettie à la coordination conformément à la Règle de procédure relative au numéro 11.32, § 6 (MOD RRB04/35).</w:t>
            </w:r>
            <w:r w:rsidRPr="00244613">
              <w:rPr>
                <w:rFonts w:asciiTheme="minorHAnsi" w:hAnsiTheme="minorHAnsi"/>
                <w:sz w:val="15"/>
                <w:szCs w:val="15"/>
                <w:lang w:val="fr-CH"/>
              </w:rPr>
              <w:br/>
              <w:t>NOTE – La publication anticipée comprend également l'application du numéro 9.5 (Section spéciale API/B) et ne sera pas facturée séparément.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570</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spacing w:before="20" w:after="20"/>
              <w:rPr>
                <w:rFonts w:asciiTheme="minorHAnsi" w:hAnsiTheme="minorHAnsi" w:cstheme="minorHAnsi"/>
                <w:b w:val="0"/>
                <w:sz w:val="16"/>
                <w:szCs w:val="16"/>
                <w:lang w:val="fr-CH"/>
              </w:rPr>
            </w:pPr>
            <w:r w:rsidRPr="003150A8">
              <w:rPr>
                <w:rFonts w:asciiTheme="minorHAnsi" w:hAnsiTheme="minorHAnsi" w:cstheme="minorHAnsi"/>
                <w:b w:val="0"/>
                <w:sz w:val="16"/>
                <w:szCs w:val="16"/>
                <w:lang w:val="fr-CH"/>
              </w:rPr>
              <w:t>Sans objet</w:t>
            </w:r>
          </w:p>
        </w:tc>
      </w:tr>
      <w:tr w:rsidR="00244613" w:rsidRPr="003150A8" w:rsidTr="00516EF2">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2</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Coordination (C)</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C1*</w:t>
            </w:r>
          </w:p>
        </w:tc>
        <w:tc>
          <w:tcPr>
            <w:tcW w:w="7761"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lang w:val="fr-CH"/>
              </w:rPr>
            </w:pPr>
            <w:r w:rsidRPr="00244613">
              <w:rPr>
                <w:rFonts w:asciiTheme="minorHAnsi" w:hAnsiTheme="minorHAnsi"/>
                <w:sz w:val="15"/>
                <w:szCs w:val="15"/>
                <w:lang w:val="fr-CH"/>
              </w:rPr>
              <w:t>Demande de coordination pour un réseau à satellite conformément au numéro. 9.6 et à un ou plusieurs des numéros suivants: 9.7, 9.7A, 9.7B, 9.11, 9.11A, 9.12, 9.12A, 9.13, 9.14 et 9.21 de la Section II de l'Article 9, § 7.1 de l'Article 7 de l'Appendice 30, § 7.1 de l'Article 7 de l'Appendice 30A, Résolution 33 (Rév.CMR-03) et Résolution 539 (Rév.CMR-03).</w:t>
            </w:r>
            <w:r w:rsidRPr="00244613">
              <w:rPr>
                <w:rFonts w:asciiTheme="minorHAnsi" w:hAnsiTheme="minorHAnsi"/>
                <w:sz w:val="15"/>
                <w:szCs w:val="15"/>
                <w:lang w:val="fr-CH"/>
              </w:rPr>
              <w:br/>
              <w:t>NOTE – La coordination comprend également l'application des numéros9.1A, 9.53A (Section spéciale CR/D) et des numéros 9.41/9.42 et ne sera pas facturée séparément.</w:t>
            </w:r>
          </w:p>
          <w:p w:rsidR="00244613" w:rsidRPr="00244613" w:rsidRDefault="00244613" w:rsidP="00244613">
            <w:pPr>
              <w:pStyle w:val="TableText0"/>
              <w:rPr>
                <w:rFonts w:asciiTheme="minorHAnsi" w:hAnsiTheme="minorHAnsi"/>
                <w:sz w:val="15"/>
                <w:szCs w:val="15"/>
                <w:lang w:val="fr-CH"/>
              </w:rPr>
            </w:pPr>
            <w:r w:rsidRPr="00244613">
              <w:rPr>
                <w:rFonts w:asciiTheme="minorHAnsi" w:hAnsiTheme="minorHAnsi"/>
                <w:sz w:val="15"/>
                <w:szCs w:val="15"/>
                <w:lang w:val="fr-CH"/>
              </w:rPr>
              <w:t xml:space="preserve">NOTE – </w:t>
            </w:r>
            <w:r w:rsidRPr="00E1613A">
              <w:rPr>
                <w:rFonts w:asciiTheme="minorHAnsi" w:hAnsiTheme="minorHAnsi"/>
                <w:sz w:val="15"/>
                <w:szCs w:val="15"/>
                <w:lang w:val="fr-CH"/>
              </w:rPr>
              <w:t xml:space="preserve">En ce qui concerne les demandes de coordination relatives à un réseau à satellite non géostationnaire pour lequel l'administration </w:t>
            </w:r>
            <w:proofErr w:type="spellStart"/>
            <w:r w:rsidRPr="00E1613A">
              <w:rPr>
                <w:rFonts w:asciiTheme="minorHAnsi" w:hAnsiTheme="minorHAnsi"/>
                <w:sz w:val="15"/>
                <w:szCs w:val="15"/>
                <w:lang w:val="fr-CH"/>
              </w:rPr>
              <w:t>notificatrice</w:t>
            </w:r>
            <w:proofErr w:type="spellEnd"/>
            <w:r w:rsidRPr="00E1613A">
              <w:rPr>
                <w:rFonts w:asciiTheme="minorHAnsi" w:hAnsiTheme="minorHAnsi"/>
                <w:sz w:val="15"/>
                <w:szCs w:val="15"/>
                <w:lang w:val="fr-CH"/>
              </w:rPr>
              <w:t xml:space="preserve"> a indiqué que les différents sous-ensembles de caractéristiques orbitales s'</w:t>
            </w:r>
            <w:r w:rsidRPr="00244613">
              <w:rPr>
                <w:rFonts w:asciiTheme="minorHAnsi" w:hAnsiTheme="minorHAnsi"/>
                <w:sz w:val="15"/>
                <w:szCs w:val="15"/>
                <w:lang w:val="fr-CH"/>
              </w:rPr>
              <w:t>excluraient</w:t>
            </w:r>
            <w:r w:rsidRPr="00E1613A">
              <w:rPr>
                <w:rFonts w:asciiTheme="minorHAnsi" w:hAnsiTheme="minorHAnsi"/>
                <w:sz w:val="15"/>
                <w:szCs w:val="15"/>
                <w:lang w:val="fr-CH"/>
              </w:rPr>
              <w:t xml:space="preserve"> mutuellement, les droits de traitement sont calculés séparément pour chacun des sous-ensembles, puis sont additionnés pour obtenir le droit de traitement applicable au réseau à satellite.</w:t>
            </w: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20 560</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5 560</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spacing w:before="20" w:after="20"/>
              <w:rPr>
                <w:rFonts w:asciiTheme="minorHAnsi" w:hAnsiTheme="minorHAnsi" w:cstheme="minorHAnsi"/>
                <w:b w:val="0"/>
                <w:sz w:val="16"/>
                <w:szCs w:val="16"/>
                <w:lang w:val="fr-CH"/>
              </w:rPr>
            </w:pPr>
            <w:r w:rsidRPr="003150A8">
              <w:rPr>
                <w:rFonts w:asciiTheme="minorHAnsi" w:hAnsiTheme="minorHAnsi" w:cstheme="minorHAnsi"/>
                <w:b w:val="0"/>
                <w:sz w:val="16"/>
                <w:szCs w:val="16"/>
                <w:lang w:val="fr-CH"/>
              </w:rPr>
              <w:t>150</w:t>
            </w:r>
          </w:p>
        </w:tc>
        <w:tc>
          <w:tcPr>
            <w:tcW w:w="1370"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3150A8" w:rsidRDefault="00244613" w:rsidP="00DD310C">
            <w:pPr>
              <w:pStyle w:val="TableText0"/>
              <w:keepLines/>
              <w:spacing w:before="20" w:after="20"/>
              <w:jc w:val="center"/>
              <w:rPr>
                <w:rFonts w:cstheme="minorHAnsi"/>
                <w:sz w:val="16"/>
                <w:szCs w:val="16"/>
                <w:lang w:val="fr-CH"/>
              </w:rPr>
            </w:pPr>
            <w:r w:rsidRPr="003150A8">
              <w:rPr>
                <w:rFonts w:cstheme="minorHAnsi"/>
                <w:sz w:val="16"/>
                <w:szCs w:val="16"/>
                <w:lang w:val="fr-CH"/>
              </w:rPr>
              <w:t>Produit du nombre d'assignations de fréquence, du nombre de classes de station et du nombre d'émissions, pour tous les groupes d'assignations de fréquence</w:t>
            </w:r>
          </w:p>
        </w:tc>
      </w:tr>
      <w:tr w:rsidR="00244613" w:rsidRPr="003150A8" w:rsidTr="00516EF2">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C2*</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24 620</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9 620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C3*</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33 467</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18 467</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val="restart"/>
            <w:tcBorders>
              <w:top w:val="single" w:sz="4" w:space="0" w:color="auto"/>
              <w:left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br w:type="page"/>
              <w:t>3</w:t>
            </w:r>
            <w:r w:rsidRPr="00244613">
              <w:rPr>
                <w:rFonts w:asciiTheme="minorHAnsi" w:hAnsiTheme="minorHAnsi"/>
                <w:sz w:val="15"/>
                <w:szCs w:val="15"/>
              </w:rPr>
              <w:br w:type="page"/>
            </w:r>
          </w:p>
        </w:tc>
        <w:tc>
          <w:tcPr>
            <w:tcW w:w="1082" w:type="dxa"/>
            <w:vMerge w:val="restart"/>
            <w:tcBorders>
              <w:top w:val="single" w:sz="4" w:space="0" w:color="auto"/>
              <w:left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Notification (N)a)</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N1*</w:t>
            </w:r>
            <w:r w:rsidRPr="00244613">
              <w:rPr>
                <w:rStyle w:val="FootnoteReference"/>
                <w:rFonts w:asciiTheme="minorHAnsi" w:hAnsiTheme="minorHAnsi"/>
                <w:position w:val="0"/>
                <w:sz w:val="15"/>
                <w:szCs w:val="15"/>
                <w:lang w:val="fr-CH"/>
              </w:rPr>
              <w:t>d)</w:t>
            </w:r>
          </w:p>
        </w:tc>
        <w:tc>
          <w:tcPr>
            <w:tcW w:w="7761"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Notification en vue de l'inscription dans le Fichier de référence international des fréquences des assignations de fréquence à un réseau à satellite soumis à la coordination au titre de la Section II de l'Article 9 (à l'exception d'un réseau à satellite non géostationnaire assujetti uniquement au numéro 9.21).</w:t>
            </w:r>
          </w:p>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NOTE – La notification comprend également l'application des Résolutions 4 et 49, des numéros 11.32A (voir la note a), 11.41, 11.47, 11.49, de la Sous-Section IID de l'Article 9, des Sections 1 et 2 de l'Article 13 et de l'Article 14 et ne sera pas facturée séparément.</w:t>
            </w: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30 910</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15 910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left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left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N2*</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57 920</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42 920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left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left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N3*</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57 920</w:t>
            </w:r>
          </w:p>
        </w:tc>
        <w:tc>
          <w:tcPr>
            <w:tcW w:w="1059"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42 920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left w:val="single" w:sz="4" w:space="0" w:color="auto"/>
              <w:bottom w:val="single" w:sz="4" w:space="0" w:color="auto"/>
              <w:right w:val="single" w:sz="4" w:space="0" w:color="auto"/>
            </w:tcBorders>
          </w:tcPr>
          <w:p w:rsidR="00244613" w:rsidRPr="00244613" w:rsidRDefault="00244613" w:rsidP="00244613">
            <w:pPr>
              <w:pStyle w:val="TableText0"/>
              <w:rPr>
                <w:rFonts w:asciiTheme="minorHAnsi" w:hAnsiTheme="minorHAnsi"/>
                <w:sz w:val="15"/>
                <w:szCs w:val="15"/>
              </w:rPr>
            </w:pPr>
          </w:p>
        </w:tc>
        <w:tc>
          <w:tcPr>
            <w:tcW w:w="1082" w:type="dxa"/>
            <w:vMerge/>
            <w:tcBorders>
              <w:left w:val="single" w:sz="4" w:space="0" w:color="auto"/>
              <w:bottom w:val="single" w:sz="4" w:space="0" w:color="auto"/>
              <w:right w:val="single" w:sz="4" w:space="0" w:color="auto"/>
            </w:tcBorders>
            <w:vAlign w:val="center"/>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N4</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Notification en vue de l'inscription dans le Fichier de référence international des fréquences des assignations de fréquence à un réseau à satellite non géostationnaire non soumis à la coordination au titre de la Section II de l'Article 9 ou assujetti uniquement au numéro 9.21.</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7 030</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pStyle w:val="TableHead0"/>
              <w:spacing w:before="20" w:after="20"/>
              <w:rPr>
                <w:rFonts w:asciiTheme="minorHAnsi" w:hAnsiTheme="minorHAnsi" w:cstheme="minorHAnsi"/>
                <w:b w:val="0"/>
                <w:sz w:val="16"/>
                <w:szCs w:val="16"/>
                <w:lang w:val="fr-CH"/>
              </w:rPr>
            </w:pPr>
            <w:r w:rsidRPr="003150A8">
              <w:rPr>
                <w:rFonts w:asciiTheme="minorHAnsi" w:hAnsiTheme="minorHAnsi" w:cstheme="minorHAnsi"/>
                <w:b w:val="0"/>
                <w:sz w:val="16"/>
                <w:szCs w:val="16"/>
                <w:lang w:val="fr-CH"/>
              </w:rPr>
              <w:t>Sans objet</w:t>
            </w:r>
          </w:p>
        </w:tc>
      </w:tr>
      <w:tr w:rsidR="00244613" w:rsidRPr="003150A8" w:rsidTr="00516EF2">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keepNext/>
              <w:keepLines/>
              <w:rPr>
                <w:rFonts w:asciiTheme="minorHAnsi" w:hAnsiTheme="minorHAnsi"/>
                <w:sz w:val="15"/>
                <w:szCs w:val="15"/>
              </w:rPr>
            </w:pPr>
            <w:r w:rsidRPr="00244613">
              <w:rPr>
                <w:rFonts w:asciiTheme="minorHAnsi" w:hAnsiTheme="minorHAnsi"/>
                <w:sz w:val="15"/>
                <w:szCs w:val="15"/>
              </w:rPr>
              <w:t>4</w:t>
            </w:r>
            <w:r w:rsidRPr="00244613">
              <w:rPr>
                <w:rFonts w:asciiTheme="minorHAnsi" w:hAnsiTheme="minorHAnsi"/>
                <w:sz w:val="15"/>
                <w:szCs w:val="15"/>
              </w:rPr>
              <w:br w:type="page"/>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keepNext/>
              <w:keepLines/>
              <w:rPr>
                <w:rFonts w:asciiTheme="minorHAnsi" w:hAnsiTheme="minorHAnsi"/>
                <w:sz w:val="15"/>
                <w:szCs w:val="15"/>
              </w:rPr>
            </w:pPr>
            <w:r w:rsidRPr="00244613">
              <w:rPr>
                <w:rFonts w:asciiTheme="minorHAnsi" w:hAnsiTheme="minorHAnsi"/>
                <w:sz w:val="15"/>
                <w:szCs w:val="15"/>
              </w:rPr>
              <w:t>Plans (P)</w:t>
            </w:r>
          </w:p>
        </w:tc>
        <w:tc>
          <w:tcPr>
            <w:tcW w:w="567"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keepNext/>
              <w:keepLines/>
              <w:rPr>
                <w:rFonts w:asciiTheme="minorHAnsi" w:hAnsiTheme="minorHAnsi"/>
                <w:sz w:val="15"/>
                <w:szCs w:val="15"/>
              </w:rPr>
            </w:pPr>
            <w:r w:rsidRPr="00244613">
              <w:rPr>
                <w:rFonts w:asciiTheme="minorHAnsi" w:hAnsiTheme="minorHAnsi"/>
                <w:sz w:val="15"/>
                <w:szCs w:val="15"/>
              </w:rPr>
              <w:t xml:space="preserve">P1 </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keepNext/>
              <w:keepLines/>
              <w:rPr>
                <w:rFonts w:asciiTheme="minorHAnsi" w:hAnsiTheme="minorHAnsi"/>
                <w:sz w:val="15"/>
                <w:szCs w:val="15"/>
                <w:lang w:val="fr-CH"/>
              </w:rPr>
            </w:pPr>
            <w:r w:rsidRPr="00CF449E">
              <w:rPr>
                <w:rFonts w:asciiTheme="minorHAnsi" w:hAnsiTheme="minorHAnsi"/>
                <w:sz w:val="15"/>
                <w:szCs w:val="15"/>
                <w:lang w:val="fr-CH"/>
              </w:rPr>
              <w:t>Section spéciale (Partie A) pour un projet d'assignation nouvelle ou modifiée figurant dans la Liste pour les Régions 1 et 3 ou les Listes des utilisations additionnelles par les liaisons de connexion au titre du § 4.1.5 ou proposition de modification des Plans pour la Région 2 au titre du § 4.2.8 de l'Appendice 30 ou 30A; ou Section spéciale (Partie B) pour un projet d'assignation nouvelle ou modifiée figurant dans la Liste pour les Régions 1 et 3 ou les Listes des utilisations additionnelles par les liaisons de connexion au titre du § 4.1.15 (sauf Section spéciale Partie B relative à l'application de la Résolution 548 (CMR-03)) ou proposition de modification des Plans pour la Région 2 au titre du § 4.2.19 des Appendices 30 ou 30Ab).</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keepNext/>
              <w:keepLines/>
              <w:rPr>
                <w:rFonts w:asciiTheme="minorHAnsi" w:hAnsiTheme="minorHAnsi"/>
                <w:sz w:val="15"/>
                <w:szCs w:val="15"/>
              </w:rPr>
            </w:pPr>
            <w:r w:rsidRPr="00244613">
              <w:rPr>
                <w:rFonts w:asciiTheme="minorHAnsi" w:hAnsiTheme="minorHAnsi"/>
                <w:sz w:val="15"/>
                <w:szCs w:val="15"/>
              </w:rPr>
              <w:t>28 870</w:t>
            </w:r>
          </w:p>
        </w:tc>
        <w:tc>
          <w:tcPr>
            <w:tcW w:w="23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244613">
            <w:pPr>
              <w:pStyle w:val="TableHead0"/>
              <w:keepLines/>
              <w:spacing w:before="20" w:after="20"/>
              <w:rPr>
                <w:rFonts w:asciiTheme="minorHAnsi" w:hAnsiTheme="minorHAnsi" w:cstheme="minorHAnsi"/>
                <w:b w:val="0"/>
                <w:sz w:val="16"/>
                <w:szCs w:val="16"/>
                <w:lang w:val="fr-CH"/>
              </w:rPr>
            </w:pPr>
            <w:r w:rsidRPr="003150A8">
              <w:rPr>
                <w:rFonts w:asciiTheme="minorHAnsi" w:hAnsiTheme="minorHAnsi" w:cstheme="minorHAnsi"/>
                <w:b w:val="0"/>
                <w:sz w:val="16"/>
                <w:szCs w:val="16"/>
                <w:lang w:val="fr-CH"/>
              </w:rPr>
              <w:t>Sans objet</w:t>
            </w:r>
          </w:p>
        </w:tc>
      </w:tr>
      <w:tr w:rsidR="00244613" w:rsidRPr="003150A8" w:rsidTr="00516EF2">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P2</w:t>
            </w:r>
            <w:r w:rsidRPr="00E1613A">
              <w:rPr>
                <w:rStyle w:val="FootnoteReference"/>
                <w:rFonts w:asciiTheme="minorHAnsi" w:hAnsiTheme="minorHAnsi"/>
                <w:position w:val="0"/>
                <w:sz w:val="15"/>
                <w:szCs w:val="15"/>
                <w:lang w:val="fr-CH"/>
              </w:rPr>
              <w:t>d)</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5 des Appendices 30 ou 30Ab).</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11 550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P3</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Demande de coordination conformément à l'Article 2A des Appendices 30 et 30A.</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12 000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P4</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30B;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30Bc).</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25 350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244613" w:rsidRPr="003150A8" w:rsidTr="00516EF2">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P5</w:t>
            </w:r>
            <w:r w:rsidRPr="00E1613A">
              <w:rPr>
                <w:rStyle w:val="FootnoteReference"/>
                <w:rFonts w:asciiTheme="minorHAnsi" w:hAnsiTheme="minorHAnsi"/>
                <w:position w:val="0"/>
                <w:sz w:val="15"/>
                <w:szCs w:val="15"/>
                <w:lang w:val="fr-CH"/>
              </w:rPr>
              <w:t>d)</w:t>
            </w:r>
          </w:p>
        </w:tc>
        <w:tc>
          <w:tcPr>
            <w:tcW w:w="7761" w:type="dxa"/>
            <w:tcBorders>
              <w:top w:val="single" w:sz="4" w:space="0" w:color="auto"/>
              <w:left w:val="single" w:sz="4" w:space="0" w:color="auto"/>
              <w:bottom w:val="single" w:sz="4" w:space="0" w:color="auto"/>
              <w:right w:val="single" w:sz="4" w:space="0" w:color="auto"/>
            </w:tcBorders>
            <w:vAlign w:val="center"/>
            <w:hideMark/>
          </w:tcPr>
          <w:p w:rsidR="00244613" w:rsidRPr="00CF449E" w:rsidRDefault="00244613" w:rsidP="00244613">
            <w:pPr>
              <w:pStyle w:val="TableText0"/>
              <w:rPr>
                <w:rFonts w:asciiTheme="minorHAnsi" w:hAnsiTheme="minorHAnsi"/>
                <w:sz w:val="15"/>
                <w:szCs w:val="15"/>
                <w:lang w:val="fr-CH"/>
              </w:rPr>
            </w:pPr>
            <w:r w:rsidRPr="00CF449E">
              <w:rPr>
                <w:rFonts w:asciiTheme="minorHAnsi" w:hAnsiTheme="minorHAnsi"/>
                <w:sz w:val="15"/>
                <w:szCs w:val="15"/>
                <w:lang w:val="fr-CH"/>
              </w:rPr>
              <w:t>Notification en vue de l'inscription dans le Fichier de référence international des fréquences d'assignations de fréquence aux stations spatiales du service fixe par satellite conformément à l'Article 8 de l'Appendice 30B.</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244613" w:rsidRPr="00244613" w:rsidRDefault="00244613" w:rsidP="00244613">
            <w:pPr>
              <w:pStyle w:val="TableText0"/>
              <w:rPr>
                <w:rFonts w:asciiTheme="minorHAnsi" w:hAnsiTheme="minorHAnsi"/>
                <w:sz w:val="15"/>
                <w:szCs w:val="15"/>
              </w:rPr>
            </w:pPr>
            <w:r w:rsidRPr="00244613">
              <w:rPr>
                <w:rFonts w:asciiTheme="minorHAnsi" w:hAnsiTheme="minorHAnsi"/>
                <w:sz w:val="15"/>
                <w:szCs w:val="15"/>
              </w:rPr>
              <w:t>20 280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244613" w:rsidRPr="003150A8" w:rsidRDefault="00244613" w:rsidP="00DD310C">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bl>
    <w:p w:rsidR="00244613" w:rsidRPr="003150A8" w:rsidRDefault="00244613" w:rsidP="00244613">
      <w:pPr>
        <w:tabs>
          <w:tab w:val="left" w:pos="284"/>
        </w:tabs>
        <w:ind w:left="284" w:hanging="284"/>
        <w:rPr>
          <w:rStyle w:val="FootnoteReference"/>
          <w:rFonts w:asciiTheme="minorHAnsi" w:hAnsiTheme="minorHAnsi" w:cstheme="minorHAnsi"/>
          <w:szCs w:val="16"/>
          <w:lang w:val="fr-CH"/>
        </w:rPr>
      </w:pPr>
      <w:r w:rsidRPr="003150A8">
        <w:rPr>
          <w:rStyle w:val="FootnoteReference"/>
          <w:szCs w:val="16"/>
          <w:lang w:val="fr-CH"/>
        </w:rPr>
        <w:t>a)</w:t>
      </w:r>
      <w:r w:rsidRPr="003150A8">
        <w:rPr>
          <w:rStyle w:val="FootnoteReference"/>
          <w:szCs w:val="16"/>
          <w:lang w:val="fr-CH"/>
        </w:rPr>
        <w:tab/>
      </w:r>
      <w:r w:rsidRPr="003150A8">
        <w:rPr>
          <w:rFonts w:cstheme="minorHAnsi"/>
          <w:sz w:val="16"/>
          <w:szCs w:val="16"/>
          <w:lang w:val="fr-CH"/>
        </w:rPr>
        <w:t xml:space="preserve">Les droits pour les catégories N1, N2 et N3 sont applicables à la première notification d'assignations qui contient aussi une demande d'application du numéro </w:t>
      </w:r>
      <w:r w:rsidRPr="003150A8">
        <w:rPr>
          <w:rFonts w:cstheme="minorHAnsi"/>
          <w:b/>
          <w:sz w:val="16"/>
          <w:szCs w:val="16"/>
          <w:lang w:val="fr-CH"/>
        </w:rPr>
        <w:t>11.32A</w:t>
      </w:r>
      <w:r w:rsidRPr="003150A8">
        <w:rPr>
          <w:rFonts w:cstheme="minorHAnsi"/>
          <w:sz w:val="16"/>
          <w:szCs w:val="16"/>
          <w:lang w:val="fr-CH"/>
        </w:rPr>
        <w:t xml:space="preserve">. Si cette application n'est pas demandée, 70% des droits indiqués s'appliqueront, les 30% restants étant perçus pour une éventuelle demande ultérieure d'application du numéro </w:t>
      </w:r>
      <w:r w:rsidRPr="003150A8">
        <w:rPr>
          <w:rFonts w:cstheme="minorHAnsi"/>
          <w:b/>
          <w:sz w:val="16"/>
          <w:szCs w:val="16"/>
          <w:lang w:val="fr-CH"/>
        </w:rPr>
        <w:t>11.32A</w:t>
      </w:r>
      <w:r w:rsidRPr="003150A8">
        <w:rPr>
          <w:rFonts w:cstheme="minorHAnsi"/>
          <w:sz w:val="16"/>
          <w:szCs w:val="16"/>
          <w:lang w:val="fr-CH"/>
        </w:rPr>
        <w:t>.</w:t>
      </w:r>
    </w:p>
    <w:p w:rsidR="00244613" w:rsidRPr="003150A8" w:rsidRDefault="00244613" w:rsidP="00244613">
      <w:pPr>
        <w:tabs>
          <w:tab w:val="left" w:pos="284"/>
        </w:tabs>
        <w:spacing w:before="40"/>
        <w:ind w:left="284" w:hanging="284"/>
        <w:rPr>
          <w:lang w:val="fr-CH"/>
        </w:rPr>
      </w:pPr>
      <w:r w:rsidRPr="003150A8">
        <w:rPr>
          <w:rStyle w:val="FootnoteReference"/>
          <w:rFonts w:asciiTheme="minorHAnsi" w:hAnsiTheme="minorHAnsi" w:cstheme="minorHAnsi"/>
          <w:szCs w:val="16"/>
          <w:lang w:val="fr-CH"/>
        </w:rPr>
        <w:t>b)</w:t>
      </w:r>
      <w:r w:rsidRPr="003150A8">
        <w:rPr>
          <w:rFonts w:cstheme="minorHAnsi"/>
          <w:sz w:val="16"/>
          <w:szCs w:val="16"/>
          <w:lang w:val="fr-CH"/>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rsidR="00244613" w:rsidRPr="003150A8" w:rsidRDefault="00244613" w:rsidP="00244613">
      <w:pPr>
        <w:tabs>
          <w:tab w:val="left" w:pos="284"/>
        </w:tabs>
        <w:spacing w:before="40"/>
        <w:ind w:left="284" w:hanging="284"/>
        <w:rPr>
          <w:rFonts w:cstheme="minorHAnsi"/>
          <w:sz w:val="16"/>
          <w:szCs w:val="16"/>
          <w:lang w:val="fr-CH"/>
        </w:rPr>
      </w:pPr>
      <w:r w:rsidRPr="003150A8">
        <w:rPr>
          <w:rStyle w:val="FootnoteReference"/>
          <w:rFonts w:asciiTheme="minorHAnsi" w:hAnsiTheme="minorHAnsi" w:cstheme="minorHAnsi"/>
          <w:szCs w:val="16"/>
          <w:lang w:val="fr-CH"/>
        </w:rPr>
        <w:t>c)</w:t>
      </w:r>
      <w:r w:rsidRPr="003150A8">
        <w:rPr>
          <w:rFonts w:cstheme="minorHAnsi"/>
          <w:sz w:val="16"/>
          <w:szCs w:val="16"/>
          <w:lang w:val="fr-CH"/>
        </w:rPr>
        <w:tab/>
        <w:t xml:space="preserve">Les droits à acquitter pour une demande soumise au titre du § 6.17 de l'Article 6 de l'Appendice </w:t>
      </w:r>
      <w:r w:rsidRPr="003150A8">
        <w:rPr>
          <w:rFonts w:cstheme="minorHAnsi"/>
          <w:b/>
          <w:bCs/>
          <w:sz w:val="16"/>
          <w:szCs w:val="16"/>
          <w:lang w:val="fr-CH"/>
        </w:rPr>
        <w:t>30B</w:t>
      </w:r>
      <w:r w:rsidRPr="003150A8">
        <w:rPr>
          <w:rFonts w:cstheme="minorHAnsi"/>
          <w:sz w:val="16"/>
          <w:szCs w:val="16"/>
          <w:vertAlign w:val="superscript"/>
          <w:lang w:val="fr-CH"/>
        </w:rPr>
        <w:t xml:space="preserve"> </w:t>
      </w:r>
      <w:r w:rsidRPr="003150A8">
        <w:rPr>
          <w:rFonts w:cstheme="minorHAnsi"/>
          <w:sz w:val="16"/>
          <w:szCs w:val="16"/>
          <w:lang w:val="fr-CH"/>
        </w:rPr>
        <w:t xml:space="preserve">couvrent également la possibilité d'une demande ultérieure (nouvelle soumission) au titre du § 6.25. Aucun droit ne sera perçu pour une demande soumise au titre du § 6.17 de l'Article 6 de l'Appendice </w:t>
      </w:r>
      <w:r w:rsidRPr="003150A8">
        <w:rPr>
          <w:rFonts w:cstheme="minorHAnsi"/>
          <w:b/>
          <w:bCs/>
          <w:sz w:val="16"/>
          <w:szCs w:val="16"/>
          <w:lang w:val="fr-CH"/>
        </w:rPr>
        <w:t>30B</w:t>
      </w:r>
      <w:r w:rsidRPr="003150A8">
        <w:rPr>
          <w:rFonts w:cstheme="minorHAnsi"/>
          <w:sz w:val="16"/>
          <w:szCs w:val="16"/>
          <w:vertAlign w:val="superscript"/>
          <w:lang w:val="fr-CH"/>
        </w:rPr>
        <w:t xml:space="preserve"> </w:t>
      </w:r>
      <w:r w:rsidRPr="003150A8">
        <w:rPr>
          <w:rFonts w:cstheme="minorHAnsi"/>
          <w:sz w:val="16"/>
          <w:szCs w:val="16"/>
          <w:lang w:val="fr-CH"/>
        </w:rPr>
        <w:t>pour une soumission traitée comme celle au titre du § 6.1 conformément au § 7.7 de l'Article 7.</w:t>
      </w:r>
    </w:p>
    <w:p w:rsidR="00244613" w:rsidRDefault="00244613" w:rsidP="00244613">
      <w:pPr>
        <w:tabs>
          <w:tab w:val="left" w:pos="284"/>
        </w:tabs>
        <w:spacing w:before="40"/>
        <w:ind w:left="284" w:hanging="284"/>
        <w:rPr>
          <w:rFonts w:asciiTheme="minorHAnsi" w:hAnsiTheme="minorHAnsi"/>
          <w:lang w:val="fr-CH"/>
        </w:rPr>
      </w:pPr>
      <w:r w:rsidRPr="003150A8">
        <w:rPr>
          <w:rStyle w:val="FootnoteReference"/>
          <w:rFonts w:asciiTheme="minorHAnsi" w:hAnsiTheme="minorHAnsi" w:cstheme="minorHAnsi"/>
          <w:szCs w:val="16"/>
          <w:lang w:val="fr-CH"/>
        </w:rPr>
        <w:t>d)</w:t>
      </w:r>
      <w:r w:rsidRPr="003150A8">
        <w:rPr>
          <w:rStyle w:val="FootnoteReference"/>
          <w:rFonts w:asciiTheme="minorHAnsi" w:hAnsiTheme="minorHAnsi"/>
          <w:lang w:val="fr-CH"/>
        </w:rPr>
        <w:tab/>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
    <w:p w:rsidR="00244613" w:rsidRPr="003150A8" w:rsidRDefault="00244613" w:rsidP="00244613">
      <w:pPr>
        <w:tabs>
          <w:tab w:val="left" w:pos="284"/>
        </w:tabs>
        <w:spacing w:before="40"/>
        <w:ind w:left="284" w:hanging="284"/>
        <w:rPr>
          <w:rFonts w:asciiTheme="minorHAnsi" w:hAnsiTheme="minorHAnsi"/>
          <w:lang w:val="fr-CH"/>
        </w:rPr>
      </w:pPr>
    </w:p>
    <w:p w:rsidR="00244613" w:rsidRDefault="00244613" w:rsidP="0018694A">
      <w:pPr>
        <w:rPr>
          <w:lang w:val="fr-CH"/>
        </w:rPr>
        <w:sectPr w:rsidR="00244613" w:rsidSect="00244613">
          <w:headerReference w:type="first" r:id="rId13"/>
          <w:footerReference w:type="first" r:id="rId14"/>
          <w:pgSz w:w="16840" w:h="11907" w:orient="landscape" w:code="9"/>
          <w:pgMar w:top="1134" w:right="1418" w:bottom="1134" w:left="1418" w:header="720" w:footer="720" w:gutter="0"/>
          <w:paperSrc w:first="261" w:other="261"/>
          <w:cols w:space="720"/>
          <w:titlePg/>
          <w:docGrid w:linePitch="326"/>
        </w:sectPr>
      </w:pPr>
    </w:p>
    <w:p w:rsidR="00244613" w:rsidRPr="003150A8" w:rsidRDefault="00244613" w:rsidP="00244613">
      <w:pPr>
        <w:pStyle w:val="Headingb"/>
        <w:tabs>
          <w:tab w:val="left" w:pos="284"/>
        </w:tabs>
        <w:rPr>
          <w:rFonts w:cstheme="minorHAnsi"/>
          <w:lang w:val="fr-CH"/>
        </w:rPr>
      </w:pPr>
      <w:bookmarkStart w:id="22" w:name="_Toc489534507"/>
      <w:r w:rsidRPr="003150A8">
        <w:rPr>
          <w:rFonts w:cstheme="minorHAnsi"/>
          <w:lang w:val="fr-CH"/>
        </w:rPr>
        <w:t>*</w:t>
      </w:r>
      <w:r w:rsidRPr="003150A8">
        <w:rPr>
          <w:rFonts w:cstheme="minorHAnsi"/>
          <w:lang w:val="fr-CH"/>
        </w:rPr>
        <w:tab/>
        <w:t>Définition des catégories de coordination (C) et de notification (N)</w:t>
      </w:r>
      <w:bookmarkEnd w:id="22"/>
    </w:p>
    <w:p w:rsidR="00244613" w:rsidRPr="003150A8" w:rsidRDefault="00244613" w:rsidP="00244613">
      <w:pPr>
        <w:rPr>
          <w:rFonts w:cstheme="minorHAnsi"/>
          <w:lang w:val="fr-CH"/>
        </w:rPr>
      </w:pPr>
      <w:r w:rsidRPr="003150A8">
        <w:rPr>
          <w:rFonts w:cstheme="minorHAnsi"/>
          <w:lang w:val="fr-CH"/>
        </w:rPr>
        <w:t>La relation entre la catégorie de coordination (C1, C2, C3) ou la catégorie de notification (N1, N2, N3) et le nombre de types de coordination applicables à une demande de coordination ou à la notification de tel ou tel réseau à satellite est la suivante:</w:t>
      </w:r>
    </w:p>
    <w:p w:rsidR="00244613" w:rsidRPr="003150A8" w:rsidRDefault="00244613" w:rsidP="00244613">
      <w:pPr>
        <w:pStyle w:val="enumlev1"/>
        <w:rPr>
          <w:rFonts w:cstheme="minorHAnsi"/>
          <w:lang w:val="fr-CH"/>
        </w:rPr>
      </w:pPr>
      <w:r w:rsidRPr="003150A8">
        <w:rPr>
          <w:rFonts w:cstheme="minorHAnsi"/>
          <w:lang w:val="fr-CH"/>
        </w:rPr>
        <w:t>•</w:t>
      </w:r>
      <w:r w:rsidRPr="003150A8">
        <w:rPr>
          <w:rFonts w:cstheme="minorHAnsi"/>
          <w:lang w:val="fr-CH"/>
        </w:rPr>
        <w:tab/>
        <w:t xml:space="preserve">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w:t>
      </w:r>
      <w:proofErr w:type="gramStart"/>
      <w:r w:rsidRPr="003150A8">
        <w:rPr>
          <w:rFonts w:cstheme="minorHAnsi"/>
          <w:lang w:val="fr-CH"/>
        </w:rPr>
        <w:t>des radiocommunications, formulée</w:t>
      </w:r>
      <w:proofErr w:type="gramEnd"/>
      <w:r w:rsidRPr="003150A8">
        <w:rPr>
          <w:rFonts w:cstheme="minorHAnsi"/>
          <w:lang w:val="fr-CH"/>
        </w:rPr>
        <w:t xml:space="preserve"> pour toutes les assignations de fréquence du réseau faisant l'objet de la fiche de notification soumise, ou les cas comportant des assignations de fréquence publiées uniquement pour information.</w:t>
      </w:r>
    </w:p>
    <w:p w:rsidR="00244613" w:rsidRPr="003150A8" w:rsidRDefault="00244613" w:rsidP="00244613">
      <w:pPr>
        <w:pStyle w:val="enumlev1"/>
        <w:rPr>
          <w:rFonts w:cstheme="minorHAnsi"/>
          <w:lang w:val="fr-CH"/>
        </w:rPr>
      </w:pPr>
      <w:r w:rsidRPr="003150A8">
        <w:rPr>
          <w:rFonts w:cstheme="minorHAnsi"/>
          <w:lang w:val="fr-CH"/>
        </w:rPr>
        <w:t>•</w:t>
      </w:r>
      <w:r w:rsidRPr="003150A8">
        <w:rPr>
          <w:rFonts w:cstheme="minorHAnsi"/>
          <w:lang w:val="fr-CH"/>
        </w:rPr>
        <w:tab/>
        <w:t>C2 et N2 correspondent à une fiche de notification de réseau à satellite faisant intervenir deux ou trois types de coordination assujettis au recouvrement des coûts, quels qu'ils soient (A, B, C, D, E ou F).</w:t>
      </w:r>
    </w:p>
    <w:p w:rsidR="00244613" w:rsidRPr="003150A8" w:rsidRDefault="00244613" w:rsidP="00244613">
      <w:pPr>
        <w:pStyle w:val="enumlev1"/>
        <w:spacing w:after="240"/>
        <w:rPr>
          <w:rFonts w:cstheme="minorHAnsi"/>
          <w:lang w:val="fr-CH"/>
        </w:rPr>
      </w:pPr>
      <w:r w:rsidRPr="003150A8">
        <w:rPr>
          <w:rFonts w:cstheme="minorHAnsi"/>
          <w:lang w:val="fr-CH"/>
        </w:rPr>
        <w:t>•</w:t>
      </w:r>
      <w:r w:rsidRPr="003150A8">
        <w:rPr>
          <w:rFonts w:cstheme="minorHAnsi"/>
          <w:lang w:val="fr-CH"/>
        </w:rPr>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head"/>
              <w:rPr>
                <w:rFonts w:cstheme="minorHAnsi"/>
                <w:lang w:val="fr-CH"/>
              </w:rPr>
            </w:pPr>
            <w:r w:rsidRPr="003150A8">
              <w:rPr>
                <w:rFonts w:cstheme="minorHAnsi"/>
                <w:lang w:val="fr-CH"/>
              </w:rPr>
              <w:t>Type de coordination assujetti au recouvrement des coûts</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head"/>
              <w:rPr>
                <w:rFonts w:cstheme="minorHAnsi"/>
                <w:lang w:val="fr-CH"/>
              </w:rPr>
            </w:pPr>
            <w:r w:rsidRPr="003150A8">
              <w:rPr>
                <w:rFonts w:cstheme="minorHAnsi"/>
                <w:lang w:val="fr-CH"/>
              </w:rPr>
              <w:t>Différents types de coordination prévus dans le Règlement des radiocommunications</w:t>
            </w:r>
          </w:p>
        </w:tc>
      </w:tr>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jc w:val="center"/>
              <w:rPr>
                <w:rFonts w:cstheme="minorHAnsi"/>
                <w:lang w:val="fr-CH"/>
              </w:rPr>
            </w:pPr>
            <w:r w:rsidRPr="003150A8">
              <w:rPr>
                <w:rFonts w:cstheme="minorHAnsi"/>
                <w:lang w:val="fr-CH"/>
              </w:rPr>
              <w:t>A</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rPr>
                <w:rFonts w:cstheme="minorHAnsi"/>
                <w:lang w:val="fr-CH"/>
              </w:rPr>
            </w:pPr>
            <w:r w:rsidRPr="003150A8">
              <w:rPr>
                <w:rFonts w:cstheme="minorHAnsi"/>
                <w:lang w:val="fr-CH"/>
              </w:rPr>
              <w:t>Numéro 9.7, RS33.3</w:t>
            </w:r>
          </w:p>
        </w:tc>
      </w:tr>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jc w:val="center"/>
              <w:rPr>
                <w:rFonts w:cstheme="minorHAnsi"/>
                <w:lang w:val="fr-CH"/>
              </w:rPr>
            </w:pPr>
            <w:r w:rsidRPr="003150A8">
              <w:rPr>
                <w:rFonts w:cstheme="minorHAnsi"/>
                <w:lang w:val="fr-CH"/>
              </w:rPr>
              <w:t>B</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rPr>
                <w:rFonts w:cstheme="minorHAnsi"/>
                <w:lang w:val="fr-CH"/>
              </w:rPr>
            </w:pPr>
            <w:r w:rsidRPr="003150A8">
              <w:rPr>
                <w:rFonts w:cstheme="minorHAnsi"/>
                <w:lang w:val="fr-CH"/>
              </w:rPr>
              <w:t>AP30 7.1, AP30A 7.1</w:t>
            </w:r>
          </w:p>
        </w:tc>
      </w:tr>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jc w:val="center"/>
              <w:rPr>
                <w:rFonts w:cstheme="minorHAnsi"/>
                <w:lang w:val="fr-CH"/>
              </w:rPr>
            </w:pPr>
            <w:r w:rsidRPr="003150A8">
              <w:rPr>
                <w:rFonts w:cstheme="minorHAnsi"/>
                <w:lang w:val="fr-CH"/>
              </w:rPr>
              <w:t>C</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rPr>
                <w:rFonts w:cstheme="minorHAnsi"/>
                <w:lang w:val="fr-CH"/>
              </w:rPr>
            </w:pPr>
            <w:r w:rsidRPr="003150A8">
              <w:rPr>
                <w:rFonts w:cstheme="minorHAnsi"/>
                <w:lang w:val="fr-CH"/>
              </w:rPr>
              <w:t>Numéro 9.11, RS33 2.1, RS539</w:t>
            </w:r>
          </w:p>
        </w:tc>
      </w:tr>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jc w:val="center"/>
              <w:rPr>
                <w:rFonts w:cstheme="minorHAnsi"/>
                <w:lang w:val="fr-CH"/>
              </w:rPr>
            </w:pPr>
            <w:r w:rsidRPr="003150A8">
              <w:rPr>
                <w:rFonts w:cstheme="minorHAnsi"/>
                <w:lang w:val="fr-CH"/>
              </w:rPr>
              <w:t>D</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rPr>
                <w:rFonts w:cstheme="minorHAnsi"/>
                <w:lang w:val="fr-CH"/>
              </w:rPr>
            </w:pPr>
            <w:r w:rsidRPr="003150A8">
              <w:rPr>
                <w:rFonts w:cstheme="minorHAnsi"/>
                <w:lang w:val="fr-CH"/>
              </w:rPr>
              <w:t>Numéros 9.7B, 9.11A, 9.12, 9.12A, 9.13, 9.14</w:t>
            </w:r>
          </w:p>
        </w:tc>
      </w:tr>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jc w:val="center"/>
              <w:rPr>
                <w:rFonts w:cstheme="minorHAnsi"/>
                <w:lang w:val="fr-CH"/>
              </w:rPr>
            </w:pPr>
            <w:r w:rsidRPr="003150A8">
              <w:rPr>
                <w:rFonts w:cstheme="minorHAnsi"/>
                <w:lang w:val="fr-CH"/>
              </w:rPr>
              <w:t>E</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rPr>
                <w:rFonts w:cstheme="minorHAnsi"/>
                <w:lang w:val="fr-CH"/>
              </w:rPr>
            </w:pPr>
            <w:r w:rsidRPr="003150A8">
              <w:rPr>
                <w:rFonts w:cstheme="minorHAnsi"/>
                <w:lang w:val="fr-CH"/>
              </w:rPr>
              <w:t>Numéro 9.7A</w:t>
            </w:r>
            <w:r w:rsidRPr="003150A8">
              <w:rPr>
                <w:rStyle w:val="FootnoteReference"/>
                <w:rFonts w:cstheme="minorHAnsi"/>
                <w:lang w:val="fr-CH"/>
              </w:rPr>
              <w:footnoteReference w:id="5"/>
            </w:r>
          </w:p>
        </w:tc>
      </w:tr>
      <w:tr w:rsidR="00244613" w:rsidRPr="003150A8" w:rsidTr="00DD310C">
        <w:tc>
          <w:tcPr>
            <w:tcW w:w="396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jc w:val="center"/>
              <w:rPr>
                <w:rFonts w:cstheme="minorHAnsi"/>
                <w:lang w:val="fr-CH"/>
              </w:rPr>
            </w:pPr>
            <w:r w:rsidRPr="003150A8">
              <w:rPr>
                <w:rFonts w:cstheme="minorHAnsi"/>
                <w:lang w:val="fr-CH"/>
              </w:rPr>
              <w:t>F</w:t>
            </w:r>
          </w:p>
        </w:tc>
        <w:tc>
          <w:tcPr>
            <w:tcW w:w="5529" w:type="dxa"/>
            <w:tcBorders>
              <w:top w:val="single" w:sz="4" w:space="0" w:color="auto"/>
              <w:left w:val="single" w:sz="4" w:space="0" w:color="auto"/>
              <w:bottom w:val="single" w:sz="4" w:space="0" w:color="auto"/>
              <w:right w:val="single" w:sz="4" w:space="0" w:color="auto"/>
            </w:tcBorders>
            <w:hideMark/>
          </w:tcPr>
          <w:p w:rsidR="00244613" w:rsidRPr="003150A8" w:rsidRDefault="00244613" w:rsidP="00DD310C">
            <w:pPr>
              <w:pStyle w:val="Tabletext"/>
              <w:rPr>
                <w:rFonts w:cstheme="minorHAnsi"/>
                <w:lang w:val="fr-CH"/>
              </w:rPr>
            </w:pPr>
            <w:r w:rsidRPr="003150A8">
              <w:rPr>
                <w:rFonts w:cstheme="minorHAnsi"/>
                <w:lang w:val="fr-CH"/>
              </w:rPr>
              <w:t>Numéro 9.21</w:t>
            </w:r>
          </w:p>
        </w:tc>
      </w:tr>
    </w:tbl>
    <w:p w:rsidR="00244613" w:rsidRPr="003150A8" w:rsidRDefault="00244613" w:rsidP="00244613">
      <w:pPr>
        <w:pStyle w:val="Reasons"/>
        <w:rPr>
          <w:lang w:val="fr-CH"/>
        </w:rPr>
      </w:pPr>
    </w:p>
    <w:p w:rsidR="00F36FF3" w:rsidRDefault="00F36FF3" w:rsidP="00E1613A">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E1613A" w:rsidRPr="00E1613A" w:rsidRDefault="00E1613A" w:rsidP="00E1613A">
      <w:pPr>
        <w:tabs>
          <w:tab w:val="clear" w:pos="567"/>
          <w:tab w:val="clear" w:pos="1134"/>
          <w:tab w:val="clear" w:pos="1701"/>
          <w:tab w:val="clear" w:pos="2268"/>
          <w:tab w:val="clear" w:pos="2835"/>
        </w:tabs>
        <w:overflowPunct/>
        <w:autoSpaceDE/>
        <w:autoSpaceDN/>
        <w:adjustRightInd/>
        <w:spacing w:before="0"/>
        <w:jc w:val="center"/>
        <w:textAlignment w:val="auto"/>
        <w:rPr>
          <w:u w:val="single"/>
          <w:lang w:val="fr-CH"/>
        </w:rPr>
      </w:pPr>
      <w:r>
        <w:rPr>
          <w:u w:val="single"/>
          <w:lang w:val="fr-CH"/>
        </w:rPr>
        <w:t>                      </w:t>
      </w:r>
    </w:p>
    <w:sectPr w:rsidR="00E1613A" w:rsidRPr="00E1613A" w:rsidSect="00244613">
      <w:footerReference w:type="first" r:id="rId15"/>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D1" w:rsidRDefault="00B744D1">
      <w:r>
        <w:separator/>
      </w:r>
    </w:p>
  </w:endnote>
  <w:endnote w:type="continuationSeparator" w:id="0">
    <w:p w:rsidR="00B744D1" w:rsidRDefault="00B7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A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92" w:rsidRDefault="006D3792" w:rsidP="006D3792">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3A" w:rsidRPr="00E1613A" w:rsidRDefault="00E1613A" w:rsidP="00E161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D1" w:rsidRPr="00E1613A" w:rsidRDefault="00B744D1" w:rsidP="00E16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D1" w:rsidRDefault="00B744D1">
      <w:r>
        <w:t>____________________</w:t>
      </w:r>
    </w:p>
  </w:footnote>
  <w:footnote w:type="continuationSeparator" w:id="0">
    <w:p w:rsidR="00B744D1" w:rsidRDefault="00B744D1">
      <w:r>
        <w:continuationSeparator/>
      </w:r>
    </w:p>
  </w:footnote>
  <w:footnote w:id="1">
    <w:p w:rsidR="00B744D1" w:rsidRDefault="00B744D1" w:rsidP="00244613">
      <w:pPr>
        <w:pStyle w:val="FootnoteText"/>
      </w:pPr>
      <w:r>
        <w:rPr>
          <w:rStyle w:val="FootnoteReference"/>
        </w:rPr>
        <w:footnoteRef/>
      </w:r>
      <w:r>
        <w:t xml:space="preserve"> </w:t>
      </w:r>
      <w:r>
        <w:tab/>
      </w:r>
      <w:r>
        <w:rPr>
          <w:lang w:val="fr-CH"/>
        </w:rPr>
        <w:t>Dans la présente Décision, l'expression "réseau à satellite" renvoie à un système spatial au sens du numéro 1.110 du Règlement des radiocommunications.</w:t>
      </w:r>
    </w:p>
  </w:footnote>
  <w:footnote w:id="2">
    <w:p w:rsidR="00B744D1" w:rsidRDefault="00B744D1" w:rsidP="00244613">
      <w:pPr>
        <w:pStyle w:val="FootnoteText"/>
      </w:pPr>
      <w:r>
        <w:rPr>
          <w:rStyle w:val="FootnoteReference"/>
        </w:rPr>
        <w:footnoteRef/>
      </w:r>
      <w:r>
        <w:t xml:space="preserve"> </w:t>
      </w:r>
      <w:r>
        <w:tab/>
      </w:r>
      <w:r>
        <w:rPr>
          <w:lang w:val="fr-CH"/>
        </w:rPr>
        <w:t>Le droit par "unité" (voir l'Annexe) ne doit pas être entendu comme étant une taxe imposée aux utilisateurs du spectre. Elle sert ici de facteur pour le calcul du recouvrement des coûts concernant la publication des systèmes à satellites.</w:t>
      </w:r>
    </w:p>
  </w:footnote>
  <w:footnote w:id="3">
    <w:p w:rsidR="00B744D1" w:rsidRDefault="00B744D1" w:rsidP="00244613">
      <w:pPr>
        <w:pStyle w:val="FootnoteText"/>
      </w:pPr>
      <w:r>
        <w:rPr>
          <w:rStyle w:val="FootnoteReference"/>
        </w:rPr>
        <w:footnoteRef/>
      </w:r>
      <w:r>
        <w:t xml:space="preserve"> </w:t>
      </w:r>
      <w:r>
        <w:tab/>
      </w:r>
      <w:r>
        <w:rPr>
          <w:lang w:val="fr-CH"/>
        </w:rPr>
        <w:t>Les fiches de notification soumises au titre de l'Article 4 de l'Appendice 30 et de l'Appendice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4">
    <w:p w:rsidR="00B744D1" w:rsidRDefault="00B744D1" w:rsidP="00244613">
      <w:pPr>
        <w:tabs>
          <w:tab w:val="clear" w:pos="567"/>
          <w:tab w:val="left" w:pos="284"/>
        </w:tabs>
        <w:rPr>
          <w:szCs w:val="24"/>
          <w:lang w:val="fr-CH"/>
        </w:rPr>
      </w:pPr>
      <w:r>
        <w:rPr>
          <w:rStyle w:val="FootnoteReference"/>
        </w:rPr>
        <w:sym w:font="Symbol" w:char="F02A"/>
      </w:r>
      <w:r>
        <w:rPr>
          <w:lang w:val="fr-CH"/>
        </w:rPr>
        <w:tab/>
      </w:r>
      <w:r>
        <w:rPr>
          <w:i/>
          <w:iCs/>
          <w:szCs w:val="24"/>
          <w:lang w:val="fr-CH"/>
        </w:rPr>
        <w:t>Note: Modification rédactionnelle apportée par le Secrétariat.</w:t>
      </w:r>
    </w:p>
  </w:footnote>
  <w:footnote w:id="5">
    <w:p w:rsidR="00B744D1" w:rsidRDefault="00B744D1" w:rsidP="00244613">
      <w:pPr>
        <w:pStyle w:val="FootnoteText"/>
      </w:pPr>
      <w:r>
        <w:rPr>
          <w:rStyle w:val="FootnoteReference"/>
        </w:rPr>
        <w:footnoteRef/>
      </w:r>
      <w:r>
        <w:t xml:space="preserve"> </w:t>
      </w:r>
      <w:r>
        <w:tab/>
      </w:r>
      <w:r>
        <w:rPr>
          <w:lang w:val="fr-CH"/>
        </w:rPr>
        <w:t>Recouvrement des coûts pour la catégorie C1 uniquement. Voir également le point 11 du </w:t>
      </w:r>
      <w:r>
        <w:rPr>
          <w:i/>
          <w:lang w:val="fr-CH"/>
        </w:rPr>
        <w:t>décide</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92" w:rsidRDefault="006D3792" w:rsidP="006D3792">
    <w:pPr>
      <w:pStyle w:val="Header"/>
    </w:pPr>
    <w:r>
      <w:fldChar w:fldCharType="begin"/>
    </w:r>
    <w:r>
      <w:instrText>PAGE</w:instrText>
    </w:r>
    <w:r>
      <w:fldChar w:fldCharType="separate"/>
    </w:r>
    <w:r w:rsidR="00865FB0">
      <w:rPr>
        <w:noProof/>
      </w:rPr>
      <w:t>8</w:t>
    </w:r>
    <w:r>
      <w:rPr>
        <w:noProof/>
      </w:rPr>
      <w:fldChar w:fldCharType="end"/>
    </w:r>
  </w:p>
  <w:p w:rsidR="006D3792" w:rsidRDefault="006D3792" w:rsidP="00E1613A">
    <w:pPr>
      <w:pStyle w:val="Header"/>
    </w:pPr>
    <w:r>
      <w:t>C18/1</w:t>
    </w:r>
    <w:r w:rsidR="00E1613A">
      <w:t>14</w:t>
    </w:r>
    <w:r>
      <w:t>-F</w:t>
    </w:r>
  </w:p>
  <w:p w:rsidR="006D3792" w:rsidRDefault="006D3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3A" w:rsidRDefault="00E1613A" w:rsidP="00E1613A">
    <w:pPr>
      <w:pStyle w:val="Header"/>
    </w:pPr>
    <w:r>
      <w:fldChar w:fldCharType="begin"/>
    </w:r>
    <w:r>
      <w:instrText>PAGE</w:instrText>
    </w:r>
    <w:r>
      <w:fldChar w:fldCharType="separate"/>
    </w:r>
    <w:r w:rsidR="00865FB0">
      <w:rPr>
        <w:noProof/>
      </w:rPr>
      <w:t>9</w:t>
    </w:r>
    <w:r>
      <w:rPr>
        <w:noProof/>
      </w:rPr>
      <w:fldChar w:fldCharType="end"/>
    </w:r>
  </w:p>
  <w:p w:rsidR="00E1613A" w:rsidRDefault="00E1613A" w:rsidP="00E1613A">
    <w:pPr>
      <w:pStyle w:val="Header"/>
    </w:pPr>
    <w:r>
      <w:t>C18/114-F</w:t>
    </w:r>
  </w:p>
  <w:p w:rsidR="00E1613A" w:rsidRPr="00E1613A" w:rsidRDefault="00E1613A" w:rsidP="00E16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CE"/>
    <w:rsid w:val="0000714D"/>
    <w:rsid w:val="00007379"/>
    <w:rsid w:val="0002431B"/>
    <w:rsid w:val="00075FF4"/>
    <w:rsid w:val="00094F6C"/>
    <w:rsid w:val="000B1C3B"/>
    <w:rsid w:val="000D0D0A"/>
    <w:rsid w:val="00103163"/>
    <w:rsid w:val="0011459E"/>
    <w:rsid w:val="00115D93"/>
    <w:rsid w:val="001247A8"/>
    <w:rsid w:val="00134E33"/>
    <w:rsid w:val="001378C0"/>
    <w:rsid w:val="0017270C"/>
    <w:rsid w:val="0018694A"/>
    <w:rsid w:val="00196AF5"/>
    <w:rsid w:val="001A3287"/>
    <w:rsid w:val="001A6508"/>
    <w:rsid w:val="001D4C31"/>
    <w:rsid w:val="001E4D21"/>
    <w:rsid w:val="00204E77"/>
    <w:rsid w:val="00207CD1"/>
    <w:rsid w:val="00207D17"/>
    <w:rsid w:val="00210DCD"/>
    <w:rsid w:val="00244613"/>
    <w:rsid w:val="002477A2"/>
    <w:rsid w:val="002538F1"/>
    <w:rsid w:val="00263A51"/>
    <w:rsid w:val="00267E02"/>
    <w:rsid w:val="002A5D44"/>
    <w:rsid w:val="002E0BC4"/>
    <w:rsid w:val="002F1B76"/>
    <w:rsid w:val="0033568E"/>
    <w:rsid w:val="00335CCE"/>
    <w:rsid w:val="003377F6"/>
    <w:rsid w:val="003443B4"/>
    <w:rsid w:val="00355FF5"/>
    <w:rsid w:val="00361350"/>
    <w:rsid w:val="003B062F"/>
    <w:rsid w:val="003C3FAE"/>
    <w:rsid w:val="003F542E"/>
    <w:rsid w:val="004038CB"/>
    <w:rsid w:val="0040546F"/>
    <w:rsid w:val="0042404A"/>
    <w:rsid w:val="0044618F"/>
    <w:rsid w:val="0046769A"/>
    <w:rsid w:val="00475FB3"/>
    <w:rsid w:val="004B2F29"/>
    <w:rsid w:val="004C264C"/>
    <w:rsid w:val="004C34A5"/>
    <w:rsid w:val="004C37A9"/>
    <w:rsid w:val="004D74F8"/>
    <w:rsid w:val="004F259E"/>
    <w:rsid w:val="004F5B70"/>
    <w:rsid w:val="00511F1D"/>
    <w:rsid w:val="00516EF2"/>
    <w:rsid w:val="00520F36"/>
    <w:rsid w:val="00525B11"/>
    <w:rsid w:val="00540615"/>
    <w:rsid w:val="00540A6D"/>
    <w:rsid w:val="005412A6"/>
    <w:rsid w:val="00571EEA"/>
    <w:rsid w:val="00575417"/>
    <w:rsid w:val="005768E1"/>
    <w:rsid w:val="005B1938"/>
    <w:rsid w:val="005C3890"/>
    <w:rsid w:val="005F7BFE"/>
    <w:rsid w:val="00600017"/>
    <w:rsid w:val="006235CA"/>
    <w:rsid w:val="00631306"/>
    <w:rsid w:val="006643AB"/>
    <w:rsid w:val="0068301E"/>
    <w:rsid w:val="00693F83"/>
    <w:rsid w:val="006A1608"/>
    <w:rsid w:val="006D33B1"/>
    <w:rsid w:val="006D3792"/>
    <w:rsid w:val="006F417D"/>
    <w:rsid w:val="00702563"/>
    <w:rsid w:val="007210CD"/>
    <w:rsid w:val="00732045"/>
    <w:rsid w:val="007369DB"/>
    <w:rsid w:val="007630B0"/>
    <w:rsid w:val="007956C2"/>
    <w:rsid w:val="007A187E"/>
    <w:rsid w:val="007A5D3C"/>
    <w:rsid w:val="007C72C2"/>
    <w:rsid w:val="007D4436"/>
    <w:rsid w:val="007F078F"/>
    <w:rsid w:val="007F257A"/>
    <w:rsid w:val="007F3665"/>
    <w:rsid w:val="00800037"/>
    <w:rsid w:val="0084569A"/>
    <w:rsid w:val="00861D73"/>
    <w:rsid w:val="00865FB0"/>
    <w:rsid w:val="00881516"/>
    <w:rsid w:val="00882A86"/>
    <w:rsid w:val="008A4E87"/>
    <w:rsid w:val="008B3999"/>
    <w:rsid w:val="008C1A13"/>
    <w:rsid w:val="008D76E6"/>
    <w:rsid w:val="00904E0C"/>
    <w:rsid w:val="0092392D"/>
    <w:rsid w:val="0093234A"/>
    <w:rsid w:val="00972EE4"/>
    <w:rsid w:val="00984073"/>
    <w:rsid w:val="009C307F"/>
    <w:rsid w:val="009C694F"/>
    <w:rsid w:val="00A2113E"/>
    <w:rsid w:val="00A23A51"/>
    <w:rsid w:val="00A24607"/>
    <w:rsid w:val="00A25CD3"/>
    <w:rsid w:val="00A325A6"/>
    <w:rsid w:val="00A529E5"/>
    <w:rsid w:val="00A56530"/>
    <w:rsid w:val="00A82767"/>
    <w:rsid w:val="00A829FC"/>
    <w:rsid w:val="00AA332F"/>
    <w:rsid w:val="00AA7BBB"/>
    <w:rsid w:val="00AB64A8"/>
    <w:rsid w:val="00AC0266"/>
    <w:rsid w:val="00AD24EC"/>
    <w:rsid w:val="00AF6F8E"/>
    <w:rsid w:val="00B12917"/>
    <w:rsid w:val="00B309F9"/>
    <w:rsid w:val="00B32B60"/>
    <w:rsid w:val="00B61619"/>
    <w:rsid w:val="00B744D1"/>
    <w:rsid w:val="00B87E48"/>
    <w:rsid w:val="00B9783D"/>
    <w:rsid w:val="00BB4545"/>
    <w:rsid w:val="00BC4CFF"/>
    <w:rsid w:val="00BC5E41"/>
    <w:rsid w:val="00BD5873"/>
    <w:rsid w:val="00BD6900"/>
    <w:rsid w:val="00BF786E"/>
    <w:rsid w:val="00C02D43"/>
    <w:rsid w:val="00C04BE3"/>
    <w:rsid w:val="00C25D29"/>
    <w:rsid w:val="00C27A7C"/>
    <w:rsid w:val="00C41086"/>
    <w:rsid w:val="00C82109"/>
    <w:rsid w:val="00CA08C0"/>
    <w:rsid w:val="00CA08ED"/>
    <w:rsid w:val="00CC32F9"/>
    <w:rsid w:val="00CD0FC8"/>
    <w:rsid w:val="00CF183B"/>
    <w:rsid w:val="00CF449E"/>
    <w:rsid w:val="00D375CD"/>
    <w:rsid w:val="00D553A2"/>
    <w:rsid w:val="00D774D3"/>
    <w:rsid w:val="00D8721D"/>
    <w:rsid w:val="00D904E8"/>
    <w:rsid w:val="00DA08C3"/>
    <w:rsid w:val="00DB5A3E"/>
    <w:rsid w:val="00DC22AA"/>
    <w:rsid w:val="00DC4CC0"/>
    <w:rsid w:val="00DD23B4"/>
    <w:rsid w:val="00DD310C"/>
    <w:rsid w:val="00DE64C6"/>
    <w:rsid w:val="00DF1CC7"/>
    <w:rsid w:val="00DF74DD"/>
    <w:rsid w:val="00E07258"/>
    <w:rsid w:val="00E1613A"/>
    <w:rsid w:val="00E24AFB"/>
    <w:rsid w:val="00E25AD0"/>
    <w:rsid w:val="00E43CF8"/>
    <w:rsid w:val="00E56567"/>
    <w:rsid w:val="00E71487"/>
    <w:rsid w:val="00E85CA6"/>
    <w:rsid w:val="00E97C1B"/>
    <w:rsid w:val="00EB6350"/>
    <w:rsid w:val="00ED386D"/>
    <w:rsid w:val="00ED4A7B"/>
    <w:rsid w:val="00F15B57"/>
    <w:rsid w:val="00F36FF3"/>
    <w:rsid w:val="00F427DB"/>
    <w:rsid w:val="00F71102"/>
    <w:rsid w:val="00FA25C3"/>
    <w:rsid w:val="00FA5EB1"/>
    <w:rsid w:val="00FA7439"/>
    <w:rsid w:val="00FB622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0A64C6ED-7C7A-4390-AC3C-123B86D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Style 3,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link w:val="HeadingbChar"/>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TableText0">
    <w:name w:val="Table_Text"/>
    <w:basedOn w:val="Normal"/>
    <w:rsid w:val="00BF786E"/>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call0">
    <w:name w:val="call"/>
    <w:basedOn w:val="Normal"/>
    <w:next w:val="Normal"/>
    <w:rsid w:val="00BF786E"/>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Default">
    <w:name w:val="Default"/>
    <w:rsid w:val="00BF786E"/>
    <w:pPr>
      <w:autoSpaceDE w:val="0"/>
      <w:autoSpaceDN w:val="0"/>
      <w:adjustRightInd w:val="0"/>
    </w:pPr>
    <w:rPr>
      <w:rFonts w:ascii="Times New Roman" w:hAnsi="Times New Roman"/>
      <w:color w:val="000000"/>
      <w:sz w:val="24"/>
      <w:szCs w:val="24"/>
    </w:rPr>
  </w:style>
  <w:style w:type="table" w:styleId="TableGrid">
    <w:name w:val="Table Grid"/>
    <w:basedOn w:val="TableNormal"/>
    <w:rsid w:val="00BF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BF786E"/>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paragraph" w:customStyle="1" w:styleId="AnnexRef0">
    <w:name w:val="Annex_Ref"/>
    <w:basedOn w:val="Normal"/>
    <w:next w:val="Normalaftertitle"/>
    <w:rsid w:val="00BF786E"/>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BF786E"/>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Aes New Roman" w:hAnsi="TiAes New Roman"/>
      <w:sz w:val="18"/>
      <w:szCs w:val="18"/>
      <w:lang w:val="en-GB" w:eastAsia="zh-CN"/>
    </w:rPr>
  </w:style>
  <w:style w:type="paragraph" w:customStyle="1" w:styleId="AnnexTitle0">
    <w:name w:val="Annex_Title"/>
    <w:basedOn w:val="Appendixtitle"/>
    <w:next w:val="AnnexRef0"/>
    <w:rsid w:val="00BF786E"/>
    <w:pPr>
      <w:keepNext/>
      <w:keepLines/>
      <w:tabs>
        <w:tab w:val="clear" w:pos="567"/>
        <w:tab w:val="clear" w:pos="1134"/>
        <w:tab w:val="clear" w:pos="1701"/>
        <w:tab w:val="clear" w:pos="2268"/>
        <w:tab w:val="clear" w:pos="2835"/>
      </w:tabs>
      <w:overflowPunct/>
      <w:autoSpaceDE/>
      <w:autoSpaceDN/>
      <w:adjustRightInd/>
      <w:spacing w:after="0"/>
      <w:textAlignment w:val="auto"/>
    </w:pPr>
    <w:rPr>
      <w:rFonts w:ascii="Tms Rmn" w:hAnsi="Tms Rmn"/>
      <w:bCs/>
      <w:sz w:val="20"/>
      <w:lang w:val="en-GB" w:eastAsia="zh-CN"/>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locked/>
    <w:rsid w:val="00244613"/>
    <w:rPr>
      <w:rFonts w:ascii="Calibri" w:hAnsi="Calibri"/>
      <w:sz w:val="24"/>
      <w:lang w:val="fr-FR" w:eastAsia="en-US"/>
    </w:rPr>
  </w:style>
  <w:style w:type="character" w:customStyle="1" w:styleId="enumlev1Char">
    <w:name w:val="enumlev1 Char"/>
    <w:basedOn w:val="DefaultParagraphFont"/>
    <w:link w:val="enumlev1"/>
    <w:locked/>
    <w:rsid w:val="00244613"/>
    <w:rPr>
      <w:rFonts w:ascii="Calibri" w:hAnsi="Calibri"/>
      <w:sz w:val="24"/>
      <w:lang w:val="fr-FR" w:eastAsia="en-US"/>
    </w:rPr>
  </w:style>
  <w:style w:type="character" w:customStyle="1" w:styleId="NormalaftertitleChar">
    <w:name w:val="Normal after title Char"/>
    <w:basedOn w:val="DefaultParagraphFont"/>
    <w:link w:val="Normalaftertitle"/>
    <w:locked/>
    <w:rsid w:val="00244613"/>
    <w:rPr>
      <w:rFonts w:ascii="Calibri" w:hAnsi="Calibri"/>
      <w:sz w:val="24"/>
      <w:lang w:val="fr-FR" w:eastAsia="en-US"/>
    </w:rPr>
  </w:style>
  <w:style w:type="character" w:customStyle="1" w:styleId="CallChar">
    <w:name w:val="Call Char"/>
    <w:basedOn w:val="DefaultParagraphFont"/>
    <w:link w:val="Call"/>
    <w:locked/>
    <w:rsid w:val="00244613"/>
    <w:rPr>
      <w:rFonts w:ascii="Calibri" w:hAnsi="Calibri"/>
      <w:i/>
      <w:sz w:val="24"/>
      <w:lang w:val="fr-FR" w:eastAsia="en-US"/>
    </w:rPr>
  </w:style>
  <w:style w:type="character" w:customStyle="1" w:styleId="AnnextitleChar">
    <w:name w:val="Annex_title Char"/>
    <w:basedOn w:val="DefaultParagraphFont"/>
    <w:link w:val="Annextitle"/>
    <w:locked/>
    <w:rsid w:val="00244613"/>
    <w:rPr>
      <w:rFonts w:ascii="Calibri" w:hAnsi="Calibri"/>
      <w:b/>
      <w:sz w:val="28"/>
      <w:lang w:val="fr-FR" w:eastAsia="en-US"/>
    </w:rPr>
  </w:style>
  <w:style w:type="paragraph" w:customStyle="1" w:styleId="TableHead0">
    <w:name w:val="Table_Head"/>
    <w:basedOn w:val="TableText0"/>
    <w:rsid w:val="00244613"/>
    <w:pPr>
      <w:keepNext/>
      <w:overflowPunct w:val="0"/>
      <w:autoSpaceDE w:val="0"/>
      <w:autoSpaceDN w:val="0"/>
      <w:adjustRightInd w:val="0"/>
      <w:spacing w:before="80" w:after="80"/>
      <w:jc w:val="center"/>
    </w:pPr>
    <w:rPr>
      <w:b/>
    </w:rPr>
  </w:style>
  <w:style w:type="character" w:customStyle="1" w:styleId="HeadingbChar">
    <w:name w:val="Heading_b Char"/>
    <w:basedOn w:val="DefaultParagraphFont"/>
    <w:link w:val="Headingb"/>
    <w:locked/>
    <w:rsid w:val="00244613"/>
    <w:rPr>
      <w:rFonts w:ascii="Calibri" w:hAnsi="Calibri"/>
      <w:b/>
      <w:sz w:val="24"/>
      <w:lang w:val="fr-FR" w:eastAsia="en-US"/>
    </w:rPr>
  </w:style>
  <w:style w:type="character" w:customStyle="1" w:styleId="TabletextChar">
    <w:name w:val="Table_text Char"/>
    <w:basedOn w:val="DefaultParagraphFont"/>
    <w:link w:val="Tabletext"/>
    <w:qFormat/>
    <w:locked/>
    <w:rsid w:val="00244613"/>
    <w:rPr>
      <w:rFonts w:ascii="Calibri" w:hAnsi="Calibri"/>
      <w:sz w:val="22"/>
      <w:lang w:val="fr-FR" w:eastAsia="en-US"/>
    </w:rPr>
  </w:style>
  <w:style w:type="character" w:customStyle="1" w:styleId="Heading1Char">
    <w:name w:val="Heading 1 Char"/>
    <w:basedOn w:val="DefaultParagraphFont"/>
    <w:link w:val="Heading1"/>
    <w:rsid w:val="00D8721D"/>
    <w:rPr>
      <w:rFonts w:ascii="Calibri" w:hAnsi="Calibri"/>
      <w:b/>
      <w:sz w:val="28"/>
      <w:lang w:val="fr-FR" w:eastAsia="en-US"/>
    </w:rPr>
  </w:style>
  <w:style w:type="paragraph" w:styleId="ListParagraph">
    <w:name w:val="List Paragraph"/>
    <w:basedOn w:val="Normal"/>
    <w:uiPriority w:val="34"/>
    <w:qFormat/>
    <w:rsid w:val="00007379"/>
    <w:pPr>
      <w:ind w:left="720"/>
      <w:contextualSpacing/>
    </w:pPr>
  </w:style>
  <w:style w:type="character" w:customStyle="1" w:styleId="Heading2Char">
    <w:name w:val="Heading 2 Char"/>
    <w:basedOn w:val="DefaultParagraphFont"/>
    <w:link w:val="Heading2"/>
    <w:rsid w:val="00B744D1"/>
    <w:rPr>
      <w:rFonts w:ascii="Calibri" w:hAnsi="Calibri"/>
      <w:b/>
      <w:sz w:val="24"/>
      <w:lang w:val="fr-FR" w:eastAsia="en-US"/>
    </w:rPr>
  </w:style>
  <w:style w:type="character" w:customStyle="1" w:styleId="Heading3Char">
    <w:name w:val="Heading 3 Char"/>
    <w:basedOn w:val="DefaultParagraphFont"/>
    <w:link w:val="Heading3"/>
    <w:rsid w:val="00B744D1"/>
    <w:rPr>
      <w:rFonts w:ascii="Calibri" w:hAnsi="Calibri"/>
      <w:b/>
      <w:sz w:val="24"/>
      <w:lang w:val="fr-FR" w:eastAsia="en-US"/>
    </w:rPr>
  </w:style>
  <w:style w:type="character" w:customStyle="1" w:styleId="Heading4Char">
    <w:name w:val="Heading 4 Char"/>
    <w:basedOn w:val="DefaultParagraphFont"/>
    <w:link w:val="Heading4"/>
    <w:rsid w:val="00B744D1"/>
    <w:rPr>
      <w:rFonts w:ascii="Calibri" w:hAnsi="Calibri"/>
      <w:b/>
      <w:sz w:val="24"/>
      <w:lang w:val="fr-FR" w:eastAsia="en-US"/>
    </w:rPr>
  </w:style>
  <w:style w:type="character" w:customStyle="1" w:styleId="Heading5Char">
    <w:name w:val="Heading 5 Char"/>
    <w:basedOn w:val="DefaultParagraphFont"/>
    <w:link w:val="Heading5"/>
    <w:rsid w:val="00B744D1"/>
    <w:rPr>
      <w:rFonts w:ascii="Calibri" w:hAnsi="Calibri"/>
      <w:b/>
      <w:sz w:val="24"/>
      <w:lang w:val="fr-FR" w:eastAsia="en-US"/>
    </w:rPr>
  </w:style>
  <w:style w:type="character" w:customStyle="1" w:styleId="Heading6Char">
    <w:name w:val="Heading 6 Char"/>
    <w:basedOn w:val="DefaultParagraphFont"/>
    <w:link w:val="Heading6"/>
    <w:rsid w:val="00B744D1"/>
    <w:rPr>
      <w:rFonts w:ascii="Calibri" w:hAnsi="Calibri"/>
      <w:b/>
      <w:sz w:val="24"/>
      <w:lang w:val="fr-FR" w:eastAsia="en-US"/>
    </w:rPr>
  </w:style>
  <w:style w:type="character" w:customStyle="1" w:styleId="Heading7Char">
    <w:name w:val="Heading 7 Char"/>
    <w:basedOn w:val="DefaultParagraphFont"/>
    <w:link w:val="Heading7"/>
    <w:rsid w:val="00B744D1"/>
    <w:rPr>
      <w:rFonts w:ascii="Calibri" w:hAnsi="Calibri"/>
      <w:b/>
      <w:sz w:val="24"/>
      <w:lang w:val="fr-FR" w:eastAsia="en-US"/>
    </w:rPr>
  </w:style>
  <w:style w:type="character" w:customStyle="1" w:styleId="Heading8Char">
    <w:name w:val="Heading 8 Char"/>
    <w:basedOn w:val="DefaultParagraphFont"/>
    <w:link w:val="Heading8"/>
    <w:rsid w:val="00B744D1"/>
    <w:rPr>
      <w:rFonts w:ascii="Calibri" w:hAnsi="Calibri"/>
      <w:b/>
      <w:sz w:val="24"/>
      <w:lang w:val="fr-FR" w:eastAsia="en-US"/>
    </w:rPr>
  </w:style>
  <w:style w:type="character" w:customStyle="1" w:styleId="Heading9Char">
    <w:name w:val="Heading 9 Char"/>
    <w:basedOn w:val="DefaultParagraphFont"/>
    <w:link w:val="Heading9"/>
    <w:rsid w:val="00B744D1"/>
    <w:rPr>
      <w:rFonts w:ascii="Calibri" w:hAnsi="Calibri"/>
      <w:b/>
      <w:sz w:val="24"/>
      <w:lang w:val="fr-FR" w:eastAsia="en-US"/>
    </w:rPr>
  </w:style>
  <w:style w:type="character" w:customStyle="1" w:styleId="FooterChar">
    <w:name w:val="Footer Char"/>
    <w:basedOn w:val="DefaultParagraphFont"/>
    <w:link w:val="Footer"/>
    <w:rsid w:val="00B744D1"/>
    <w:rPr>
      <w:rFonts w:ascii="Calibri" w:hAnsi="Calibri"/>
      <w:caps/>
      <w:noProof/>
      <w:sz w:val="16"/>
      <w:lang w:val="fr-FR" w:eastAsia="en-US"/>
    </w:rPr>
  </w:style>
  <w:style w:type="character" w:customStyle="1" w:styleId="HeaderChar">
    <w:name w:val="Header Char"/>
    <w:basedOn w:val="DefaultParagraphFont"/>
    <w:link w:val="Header"/>
    <w:rsid w:val="00B744D1"/>
    <w:rPr>
      <w:rFonts w:ascii="Calibri" w:hAnsi="Calibri"/>
      <w:sz w:val="18"/>
      <w:lang w:val="fr-FR" w:eastAsia="en-US"/>
    </w:rPr>
  </w:style>
  <w:style w:type="character" w:customStyle="1" w:styleId="RestitleChar">
    <w:name w:val="Res_title Char"/>
    <w:basedOn w:val="DefaultParagraphFont"/>
    <w:link w:val="Restitle"/>
    <w:locked/>
    <w:rsid w:val="00FB622E"/>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9/docs/docs1/068-fr.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S05-CL-C-0029/fr" TargetMode="External"/><Relationship Id="rId4" Type="http://schemas.openxmlformats.org/officeDocument/2006/relationships/webSettings" Target="webSettings.xml"/><Relationship Id="rId9" Type="http://schemas.openxmlformats.org/officeDocument/2006/relationships/hyperlink" Target="https://www.itu.int/itudoc/gs/council/c99/docs/docs1/047-fr.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3</TotalTime>
  <Pages>9</Pages>
  <Words>3965</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24900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482 (modifiée) - Mise en oeuvre du recouvrement des coûts pour le traitement des fiches de notification des réseaux à satellite</dc:title>
  <dc:subject>Conseil 2018</dc:subject>
  <dc:creator>Gozel, Elsa</dc:creator>
  <cp:keywords>C2018, C18</cp:keywords>
  <dc:description/>
  <cp:lastModifiedBy>Janin</cp:lastModifiedBy>
  <cp:revision>4</cp:revision>
  <cp:lastPrinted>2018-04-26T08:18:00Z</cp:lastPrinted>
  <dcterms:created xsi:type="dcterms:W3CDTF">2018-05-09T09:30:00Z</dcterms:created>
  <dcterms:modified xsi:type="dcterms:W3CDTF">2018-05-09T09:33:00Z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