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52ED8">
        <w:trPr>
          <w:cantSplit/>
        </w:trPr>
        <w:tc>
          <w:tcPr>
            <w:tcW w:w="6911" w:type="dxa"/>
          </w:tcPr>
          <w:p w:rsidR="00BC7BC0" w:rsidRPr="00552ED8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52ED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52ED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552ED8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552ED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52ED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52ED8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552ED8">
              <w:rPr>
                <w:b/>
                <w:bCs/>
                <w:lang w:val="ru-RU"/>
              </w:rPr>
              <w:t>1</w:t>
            </w:r>
            <w:r w:rsidR="00A01CF9" w:rsidRPr="00552ED8">
              <w:rPr>
                <w:b/>
                <w:bCs/>
                <w:lang w:val="ru-RU"/>
              </w:rPr>
              <w:t>7</w:t>
            </w:r>
            <w:r w:rsidR="00747918" w:rsidRPr="00552ED8">
              <w:rPr>
                <w:b/>
                <w:bCs/>
                <w:lang w:val="ru-RU"/>
              </w:rPr>
              <w:t>−</w:t>
            </w:r>
            <w:r w:rsidR="008B62B4" w:rsidRPr="00552ED8">
              <w:rPr>
                <w:b/>
                <w:bCs/>
                <w:lang w:val="ru-RU"/>
              </w:rPr>
              <w:t>2</w:t>
            </w:r>
            <w:r w:rsidR="00A01CF9" w:rsidRPr="00552ED8">
              <w:rPr>
                <w:b/>
                <w:bCs/>
                <w:lang w:val="ru-RU"/>
              </w:rPr>
              <w:t>7</w:t>
            </w:r>
            <w:r w:rsidR="00A01CF9" w:rsidRPr="00552ED8">
              <w:rPr>
                <w:b/>
                <w:szCs w:val="22"/>
                <w:lang w:val="ru-RU"/>
              </w:rPr>
              <w:t xml:space="preserve"> апреля</w:t>
            </w:r>
            <w:r w:rsidR="00A01CF9" w:rsidRPr="00552ED8">
              <w:rPr>
                <w:b/>
                <w:bCs/>
                <w:lang w:val="ru-RU"/>
              </w:rPr>
              <w:t xml:space="preserve"> </w:t>
            </w:r>
            <w:r w:rsidR="00225368" w:rsidRPr="00552ED8">
              <w:rPr>
                <w:b/>
                <w:bCs/>
                <w:lang w:val="ru-RU"/>
              </w:rPr>
              <w:t>201</w:t>
            </w:r>
            <w:r w:rsidR="00A01CF9" w:rsidRPr="00552ED8">
              <w:rPr>
                <w:b/>
                <w:bCs/>
                <w:lang w:val="ru-RU"/>
              </w:rPr>
              <w:t>8</w:t>
            </w:r>
            <w:r w:rsidR="00225368" w:rsidRPr="00552ED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52ED8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52ED8">
              <w:rPr>
                <w:noProof/>
                <w:lang w:val="en-US"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52ED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52ED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52ED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52ED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52ED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52ED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52ED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52ED8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52ED8" w:rsidRDefault="00BC7BC0" w:rsidP="007B1CA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52ED8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52ED8">
              <w:rPr>
                <w:b/>
                <w:bCs/>
                <w:szCs w:val="22"/>
                <w:lang w:val="ru-RU"/>
              </w:rPr>
              <w:t>1</w:t>
            </w:r>
            <w:r w:rsidR="00A01CF9" w:rsidRPr="00552ED8">
              <w:rPr>
                <w:b/>
                <w:bCs/>
                <w:szCs w:val="22"/>
                <w:lang w:val="ru-RU"/>
              </w:rPr>
              <w:t>8</w:t>
            </w:r>
            <w:r w:rsidRPr="00552ED8">
              <w:rPr>
                <w:b/>
                <w:bCs/>
                <w:szCs w:val="22"/>
                <w:lang w:val="ru-RU"/>
              </w:rPr>
              <w:t>/</w:t>
            </w:r>
            <w:r w:rsidR="00882F8D" w:rsidRPr="00552ED8">
              <w:rPr>
                <w:b/>
                <w:bCs/>
                <w:szCs w:val="22"/>
                <w:lang w:val="ru-RU"/>
              </w:rPr>
              <w:t>10</w:t>
            </w:r>
            <w:r w:rsidR="007B1CA2" w:rsidRPr="00552ED8">
              <w:rPr>
                <w:b/>
                <w:bCs/>
                <w:szCs w:val="22"/>
                <w:lang w:val="ru-RU"/>
              </w:rPr>
              <w:t>9</w:t>
            </w:r>
            <w:r w:rsidRPr="00552ED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52ED8">
        <w:trPr>
          <w:cantSplit/>
          <w:trHeight w:val="23"/>
        </w:trPr>
        <w:tc>
          <w:tcPr>
            <w:tcW w:w="6911" w:type="dxa"/>
            <w:vMerge/>
          </w:tcPr>
          <w:p w:rsidR="00BC7BC0" w:rsidRPr="00552ED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52ED8" w:rsidRDefault="00552ED8" w:rsidP="009E5D0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52ED8">
              <w:rPr>
                <w:b/>
                <w:bCs/>
                <w:szCs w:val="22"/>
                <w:lang w:val="ru-RU"/>
              </w:rPr>
              <w:t>1</w:t>
            </w:r>
            <w:r w:rsidR="009E5D0C">
              <w:rPr>
                <w:b/>
                <w:bCs/>
                <w:szCs w:val="22"/>
                <w:lang w:val="en-US"/>
              </w:rPr>
              <w:t>7</w:t>
            </w:r>
            <w:r w:rsidRPr="00552ED8">
              <w:rPr>
                <w:b/>
                <w:bCs/>
                <w:szCs w:val="22"/>
                <w:lang w:val="ru-RU"/>
              </w:rPr>
              <w:t xml:space="preserve"> мая</w:t>
            </w:r>
            <w:r w:rsidR="00882F8D" w:rsidRPr="00552ED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52ED8">
              <w:rPr>
                <w:b/>
                <w:bCs/>
                <w:szCs w:val="22"/>
                <w:lang w:val="ru-RU"/>
              </w:rPr>
              <w:t>20</w:t>
            </w:r>
            <w:r w:rsidR="003F099E" w:rsidRPr="00552ED8">
              <w:rPr>
                <w:b/>
                <w:bCs/>
                <w:szCs w:val="22"/>
                <w:lang w:val="ru-RU"/>
              </w:rPr>
              <w:t>1</w:t>
            </w:r>
            <w:r w:rsidR="00A01CF9" w:rsidRPr="00552ED8">
              <w:rPr>
                <w:b/>
                <w:bCs/>
                <w:szCs w:val="22"/>
                <w:lang w:val="ru-RU"/>
              </w:rPr>
              <w:t>8</w:t>
            </w:r>
            <w:r w:rsidR="00BC7BC0" w:rsidRPr="00552ED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52ED8">
        <w:trPr>
          <w:cantSplit/>
          <w:trHeight w:val="23"/>
        </w:trPr>
        <w:tc>
          <w:tcPr>
            <w:tcW w:w="6911" w:type="dxa"/>
            <w:vMerge/>
          </w:tcPr>
          <w:p w:rsidR="00BC7BC0" w:rsidRPr="00552ED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52ED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52ED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E5D0C">
        <w:trPr>
          <w:cantSplit/>
        </w:trPr>
        <w:tc>
          <w:tcPr>
            <w:tcW w:w="10031" w:type="dxa"/>
            <w:gridSpan w:val="2"/>
          </w:tcPr>
          <w:p w:rsidR="00882F8D" w:rsidRPr="00552ED8" w:rsidRDefault="00882F8D" w:rsidP="009D3583">
            <w:pPr>
              <w:pStyle w:val="Title1"/>
              <w:spacing w:before="720"/>
              <w:rPr>
                <w:lang w:val="ru-RU"/>
              </w:rPr>
            </w:pPr>
            <w:bookmarkStart w:id="1" w:name="dtitle2" w:colFirst="0" w:colLast="0"/>
            <w:r w:rsidRPr="00552ED8">
              <w:rPr>
                <w:lang w:val="ru-RU"/>
              </w:rPr>
              <w:t>КРАТКИЙ ОТЧЕТ</w:t>
            </w:r>
          </w:p>
          <w:p w:rsidR="00BC7BC0" w:rsidRPr="00552ED8" w:rsidRDefault="00882F8D" w:rsidP="002B6874">
            <w:pPr>
              <w:pStyle w:val="Title1"/>
              <w:rPr>
                <w:szCs w:val="22"/>
                <w:lang w:val="ru-RU"/>
              </w:rPr>
            </w:pPr>
            <w:r w:rsidRPr="00552ED8">
              <w:rPr>
                <w:lang w:val="ru-RU"/>
              </w:rPr>
              <w:t xml:space="preserve">О </w:t>
            </w:r>
            <w:r w:rsidR="002B6874" w:rsidRPr="00552ED8">
              <w:rPr>
                <w:lang w:val="ru-RU"/>
              </w:rPr>
              <w:t xml:space="preserve">пятом </w:t>
            </w:r>
            <w:r w:rsidRPr="00552ED8">
              <w:rPr>
                <w:lang w:val="ru-RU"/>
              </w:rPr>
              <w:t>ПЛЕНАРНОМ ЗАСЕДАНИИ</w:t>
            </w:r>
          </w:p>
        </w:tc>
      </w:tr>
      <w:tr w:rsidR="00BC7BC0" w:rsidRPr="009E5D0C">
        <w:trPr>
          <w:cantSplit/>
        </w:trPr>
        <w:tc>
          <w:tcPr>
            <w:tcW w:w="10031" w:type="dxa"/>
            <w:gridSpan w:val="2"/>
          </w:tcPr>
          <w:p w:rsidR="00BC7BC0" w:rsidRPr="00552ED8" w:rsidRDefault="002B6874" w:rsidP="002B6874">
            <w:pPr>
              <w:pStyle w:val="Normalaftertitle"/>
              <w:jc w:val="center"/>
              <w:rPr>
                <w:lang w:val="ru-RU"/>
              </w:rPr>
            </w:pPr>
            <w:bookmarkStart w:id="2" w:name="dtitle3" w:colFirst="0" w:colLast="0"/>
            <w:bookmarkEnd w:id="1"/>
            <w:r w:rsidRPr="00552ED8">
              <w:rPr>
                <w:lang w:val="ru-RU"/>
              </w:rPr>
              <w:t>Вторник</w:t>
            </w:r>
            <w:r w:rsidR="00882F8D" w:rsidRPr="00552ED8">
              <w:rPr>
                <w:lang w:val="ru-RU"/>
              </w:rPr>
              <w:t xml:space="preserve">, </w:t>
            </w:r>
            <w:r w:rsidR="009D3583" w:rsidRPr="00552ED8">
              <w:rPr>
                <w:lang w:val="ru-RU"/>
              </w:rPr>
              <w:t>2</w:t>
            </w:r>
            <w:r w:rsidRPr="00552ED8">
              <w:rPr>
                <w:lang w:val="ru-RU"/>
              </w:rPr>
              <w:t>4</w:t>
            </w:r>
            <w:r w:rsidR="009D3583" w:rsidRPr="00552ED8">
              <w:rPr>
                <w:lang w:val="ru-RU"/>
              </w:rPr>
              <w:t xml:space="preserve"> апреля </w:t>
            </w:r>
            <w:r w:rsidRPr="00552ED8">
              <w:rPr>
                <w:lang w:val="ru-RU"/>
              </w:rPr>
              <w:t>2018 года, 09 час. 3</w:t>
            </w:r>
            <w:r w:rsidR="00D04A20" w:rsidRPr="00552ED8">
              <w:rPr>
                <w:lang w:val="ru-RU"/>
              </w:rPr>
              <w:t>5</w:t>
            </w:r>
            <w:r w:rsidR="00882F8D" w:rsidRPr="00552ED8">
              <w:rPr>
                <w:lang w:val="ru-RU"/>
              </w:rPr>
              <w:t xml:space="preserve"> мин. – 12 час. </w:t>
            </w:r>
            <w:r w:rsidRPr="00552ED8">
              <w:rPr>
                <w:lang w:val="ru-RU"/>
              </w:rPr>
              <w:t>3</w:t>
            </w:r>
            <w:r w:rsidR="00882F8D" w:rsidRPr="00552ED8">
              <w:rPr>
                <w:lang w:val="ru-RU"/>
              </w:rPr>
              <w:t>5 мин.</w:t>
            </w:r>
          </w:p>
        </w:tc>
      </w:tr>
      <w:tr w:rsidR="00882F8D" w:rsidRPr="009E5D0C">
        <w:trPr>
          <w:cantSplit/>
        </w:trPr>
        <w:tc>
          <w:tcPr>
            <w:tcW w:w="10031" w:type="dxa"/>
            <w:gridSpan w:val="2"/>
          </w:tcPr>
          <w:p w:rsidR="00882F8D" w:rsidRPr="00552ED8" w:rsidRDefault="00882F8D" w:rsidP="005F693C">
            <w:pPr>
              <w:jc w:val="center"/>
              <w:rPr>
                <w:lang w:val="ru-RU"/>
              </w:rPr>
            </w:pPr>
            <w:r w:rsidRPr="00552ED8">
              <w:rPr>
                <w:b/>
                <w:bCs/>
                <w:lang w:val="ru-RU"/>
              </w:rPr>
              <w:t>Председатель</w:t>
            </w:r>
            <w:r w:rsidRPr="00552ED8">
              <w:rPr>
                <w:lang w:val="ru-RU"/>
              </w:rPr>
              <w:t xml:space="preserve">: </w:t>
            </w:r>
            <w:r w:rsidR="00D04A20" w:rsidRPr="00552ED8">
              <w:rPr>
                <w:lang w:val="ru-RU"/>
              </w:rPr>
              <w:t>г-н Р. ИСМАИЛОВ (Российская Федерация)</w:t>
            </w:r>
          </w:p>
        </w:tc>
      </w:tr>
      <w:tr w:rsidR="00882F8D" w:rsidRPr="009E5D0C">
        <w:trPr>
          <w:cantSplit/>
        </w:trPr>
        <w:tc>
          <w:tcPr>
            <w:tcW w:w="10031" w:type="dxa"/>
            <w:gridSpan w:val="2"/>
          </w:tcPr>
          <w:p w:rsidR="00882F8D" w:rsidRPr="00552ED8" w:rsidRDefault="00882F8D" w:rsidP="00882F8D">
            <w:pPr>
              <w:jc w:val="center"/>
              <w:rPr>
                <w:szCs w:val="22"/>
                <w:lang w:val="ru-RU"/>
              </w:rPr>
            </w:pPr>
          </w:p>
        </w:tc>
      </w:tr>
      <w:bookmarkEnd w:id="2"/>
    </w:tbl>
    <w:p w:rsidR="002D2F57" w:rsidRPr="00552ED8" w:rsidRDefault="002D2F57">
      <w:pPr>
        <w:rPr>
          <w:lang w:val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9"/>
        <w:gridCol w:w="7152"/>
        <w:gridCol w:w="1808"/>
      </w:tblGrid>
      <w:tr w:rsidR="00882F8D" w:rsidRPr="00552ED8" w:rsidTr="005F693C">
        <w:trPr>
          <w:tblHeader/>
        </w:trPr>
        <w:tc>
          <w:tcPr>
            <w:tcW w:w="352" w:type="pct"/>
          </w:tcPr>
          <w:p w:rsidR="00882F8D" w:rsidRPr="00552ED8" w:rsidRDefault="00882F8D" w:rsidP="009D3583">
            <w:pPr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709" w:type="pct"/>
          </w:tcPr>
          <w:p w:rsidR="00882F8D" w:rsidRPr="00552ED8" w:rsidRDefault="00882F8D" w:rsidP="009D3583">
            <w:pPr>
              <w:rPr>
                <w:b/>
                <w:bCs/>
                <w:szCs w:val="22"/>
                <w:lang w:val="ru-RU"/>
              </w:rPr>
            </w:pPr>
            <w:r w:rsidRPr="00552ED8">
              <w:rPr>
                <w:b/>
                <w:bCs/>
                <w:szCs w:val="22"/>
                <w:lang w:val="ru-RU"/>
              </w:rPr>
              <w:t>Обсуждаемые вопросы</w:t>
            </w:r>
          </w:p>
        </w:tc>
        <w:tc>
          <w:tcPr>
            <w:tcW w:w="938" w:type="pct"/>
          </w:tcPr>
          <w:p w:rsidR="00882F8D" w:rsidRPr="00552ED8" w:rsidRDefault="00882F8D" w:rsidP="009D3583">
            <w:pPr>
              <w:jc w:val="center"/>
              <w:rPr>
                <w:b/>
                <w:bCs/>
                <w:szCs w:val="22"/>
                <w:lang w:val="ru-RU"/>
              </w:rPr>
            </w:pPr>
            <w:r w:rsidRPr="00552ED8">
              <w:rPr>
                <w:b/>
                <w:bCs/>
                <w:szCs w:val="22"/>
                <w:lang w:val="ru-RU"/>
              </w:rPr>
              <w:t>Документы</w:t>
            </w:r>
          </w:p>
        </w:tc>
      </w:tr>
      <w:tr w:rsidR="009D3583" w:rsidRPr="00552ED8" w:rsidTr="005F693C">
        <w:tc>
          <w:tcPr>
            <w:tcW w:w="352" w:type="pct"/>
          </w:tcPr>
          <w:p w:rsidR="009D3583" w:rsidRPr="00552ED8" w:rsidRDefault="009D3583" w:rsidP="009D3583">
            <w:pPr>
              <w:rPr>
                <w:szCs w:val="22"/>
                <w:lang w:val="ru-RU"/>
              </w:rPr>
            </w:pPr>
            <w:r w:rsidRPr="00552ED8">
              <w:rPr>
                <w:szCs w:val="22"/>
                <w:lang w:val="ru-RU"/>
              </w:rPr>
              <w:t>1</w:t>
            </w:r>
          </w:p>
        </w:tc>
        <w:tc>
          <w:tcPr>
            <w:tcW w:w="3709" w:type="pct"/>
          </w:tcPr>
          <w:p w:rsidR="009D3583" w:rsidRPr="00552ED8" w:rsidRDefault="002B6874" w:rsidP="009D3583">
            <w:pPr>
              <w:pStyle w:val="toc0"/>
              <w:rPr>
                <w:b w:val="0"/>
                <w:bCs/>
                <w:szCs w:val="22"/>
                <w:lang w:val="ru-RU"/>
              </w:rPr>
            </w:pPr>
            <w:r w:rsidRPr="00552ED8">
              <w:rPr>
                <w:b w:val="0"/>
                <w:bCs/>
                <w:szCs w:val="22"/>
                <w:lang w:val="ru-RU"/>
              </w:rPr>
              <w:t>Отчет о последующих мерах в связи с возможными способами совершенствования процесса проведения полномочной конференции</w:t>
            </w:r>
            <w:r w:rsidR="007B1CA2" w:rsidRPr="00552ED8">
              <w:rPr>
                <w:b w:val="0"/>
                <w:bCs/>
                <w:szCs w:val="22"/>
                <w:lang w:val="ru-RU"/>
              </w:rPr>
              <w:t>: слушания кандидатов и руководящие указания по этическим аспектам</w:t>
            </w:r>
          </w:p>
        </w:tc>
        <w:tc>
          <w:tcPr>
            <w:tcW w:w="938" w:type="pct"/>
          </w:tcPr>
          <w:p w:rsidR="009D3583" w:rsidRPr="00552ED8" w:rsidRDefault="00D67625" w:rsidP="009D3583">
            <w:pPr>
              <w:jc w:val="center"/>
              <w:rPr>
                <w:szCs w:val="22"/>
                <w:lang w:val="ru-RU"/>
              </w:rPr>
            </w:pPr>
            <w:hyperlink r:id="rId8" w:history="1">
              <w:r w:rsidR="002B6874" w:rsidRPr="00552ED8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C18/5</w:t>
              </w:r>
            </w:hyperlink>
            <w:r w:rsidR="002B6874" w:rsidRPr="00552ED8">
              <w:rPr>
                <w:rFonts w:asciiTheme="minorHAnsi" w:hAnsiTheme="minorHAnsi"/>
                <w:szCs w:val="22"/>
                <w:lang w:val="ru-RU"/>
              </w:rPr>
              <w:t xml:space="preserve">, </w:t>
            </w:r>
            <w:hyperlink r:id="rId9" w:history="1">
              <w:r w:rsidR="002B6874" w:rsidRPr="00552ED8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C18/95</w:t>
              </w:r>
            </w:hyperlink>
          </w:p>
        </w:tc>
      </w:tr>
      <w:tr w:rsidR="009D3583" w:rsidRPr="00552ED8" w:rsidTr="005F693C">
        <w:tc>
          <w:tcPr>
            <w:tcW w:w="352" w:type="pct"/>
          </w:tcPr>
          <w:p w:rsidR="009D3583" w:rsidRPr="00552ED8" w:rsidRDefault="009D3583" w:rsidP="009D3583">
            <w:pPr>
              <w:rPr>
                <w:szCs w:val="22"/>
                <w:lang w:val="ru-RU"/>
              </w:rPr>
            </w:pPr>
            <w:r w:rsidRPr="00552ED8">
              <w:rPr>
                <w:szCs w:val="22"/>
                <w:lang w:val="ru-RU"/>
              </w:rPr>
              <w:t>2</w:t>
            </w:r>
          </w:p>
        </w:tc>
        <w:tc>
          <w:tcPr>
            <w:tcW w:w="3709" w:type="pct"/>
          </w:tcPr>
          <w:p w:rsidR="009D3583" w:rsidRPr="00552ED8" w:rsidRDefault="00241AB4" w:rsidP="002B6874">
            <w:pPr>
              <w:pStyle w:val="toc0"/>
              <w:rPr>
                <w:b w:val="0"/>
                <w:bCs/>
                <w:szCs w:val="22"/>
                <w:lang w:val="ru-RU"/>
              </w:rPr>
            </w:pPr>
            <w:r w:rsidRPr="00552ED8">
              <w:rPr>
                <w:b w:val="0"/>
                <w:bCs/>
                <w:szCs w:val="22"/>
                <w:lang w:val="ru-RU"/>
              </w:rPr>
              <w:t xml:space="preserve">Деятельность </w:t>
            </w:r>
            <w:r w:rsidR="002B6874" w:rsidRPr="00552ED8">
              <w:rPr>
                <w:b w:val="0"/>
                <w:bCs/>
                <w:szCs w:val="22"/>
                <w:lang w:val="ru-RU"/>
              </w:rPr>
              <w:t xml:space="preserve">в области гендерного равенства </w:t>
            </w:r>
          </w:p>
        </w:tc>
        <w:tc>
          <w:tcPr>
            <w:tcW w:w="938" w:type="pct"/>
          </w:tcPr>
          <w:p w:rsidR="009D3583" w:rsidRPr="00552ED8" w:rsidRDefault="00D67625" w:rsidP="009D3583">
            <w:pPr>
              <w:jc w:val="center"/>
              <w:rPr>
                <w:szCs w:val="22"/>
                <w:lang w:val="ru-RU"/>
              </w:rPr>
            </w:pPr>
            <w:hyperlink r:id="rId10" w:history="1">
              <w:r w:rsidR="002B6874" w:rsidRPr="00552ED8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C18/6</w:t>
              </w:r>
            </w:hyperlink>
            <w:r w:rsidR="002B6874" w:rsidRPr="00552ED8">
              <w:rPr>
                <w:rFonts w:asciiTheme="minorHAnsi" w:hAnsiTheme="minorHAnsi"/>
                <w:szCs w:val="22"/>
                <w:lang w:val="ru-RU"/>
              </w:rPr>
              <w:t xml:space="preserve">, </w:t>
            </w:r>
            <w:hyperlink r:id="rId11" w:history="1">
              <w:r w:rsidR="002B6874" w:rsidRPr="00552ED8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C18/13</w:t>
              </w:r>
            </w:hyperlink>
            <w:r w:rsidR="002B6874" w:rsidRPr="00552ED8">
              <w:rPr>
                <w:rFonts w:asciiTheme="minorHAnsi" w:hAnsiTheme="minorHAnsi"/>
                <w:szCs w:val="22"/>
                <w:lang w:val="ru-RU"/>
              </w:rPr>
              <w:t xml:space="preserve">, </w:t>
            </w:r>
            <w:hyperlink r:id="rId12" w:history="1">
              <w:r w:rsidR="002B6874" w:rsidRPr="00552ED8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C18/63</w:t>
              </w:r>
            </w:hyperlink>
          </w:p>
        </w:tc>
      </w:tr>
      <w:tr w:rsidR="009D3583" w:rsidRPr="00552ED8" w:rsidTr="005F693C">
        <w:tc>
          <w:tcPr>
            <w:tcW w:w="352" w:type="pct"/>
          </w:tcPr>
          <w:p w:rsidR="009D3583" w:rsidRPr="00552ED8" w:rsidRDefault="009D3583" w:rsidP="009D3583">
            <w:pPr>
              <w:rPr>
                <w:szCs w:val="22"/>
                <w:lang w:val="ru-RU"/>
              </w:rPr>
            </w:pPr>
            <w:r w:rsidRPr="00552ED8">
              <w:rPr>
                <w:szCs w:val="22"/>
                <w:lang w:val="ru-RU"/>
              </w:rPr>
              <w:t>3</w:t>
            </w:r>
          </w:p>
        </w:tc>
        <w:tc>
          <w:tcPr>
            <w:tcW w:w="3709" w:type="pct"/>
          </w:tcPr>
          <w:p w:rsidR="009D3583" w:rsidRPr="00552ED8" w:rsidRDefault="005F693C" w:rsidP="005F693C">
            <w:pPr>
              <w:pStyle w:val="toc0"/>
              <w:rPr>
                <w:b w:val="0"/>
                <w:bCs/>
                <w:szCs w:val="22"/>
                <w:lang w:val="ru-RU"/>
              </w:rPr>
            </w:pPr>
            <w:r w:rsidRPr="00552ED8">
              <w:rPr>
                <w:b w:val="0"/>
                <w:bCs/>
                <w:szCs w:val="22"/>
                <w:lang w:val="ru-RU"/>
              </w:rPr>
              <w:t>Консолидация</w:t>
            </w:r>
            <w:r w:rsidR="008018C4" w:rsidRPr="00552ED8">
              <w:rPr>
                <w:b w:val="0"/>
                <w:bCs/>
                <w:szCs w:val="22"/>
                <w:lang w:val="ru-RU"/>
              </w:rPr>
              <w:t xml:space="preserve"> мероприятий МСЭ высокого уровня, имеющих глобальный характер</w:t>
            </w:r>
          </w:p>
        </w:tc>
        <w:tc>
          <w:tcPr>
            <w:tcW w:w="938" w:type="pct"/>
          </w:tcPr>
          <w:p w:rsidR="009D3583" w:rsidRPr="00552ED8" w:rsidRDefault="00D67625" w:rsidP="009D3583">
            <w:pPr>
              <w:jc w:val="center"/>
              <w:rPr>
                <w:szCs w:val="22"/>
                <w:lang w:val="ru-RU"/>
              </w:rPr>
            </w:pPr>
            <w:hyperlink r:id="rId13" w:history="1">
              <w:r w:rsidR="008018C4" w:rsidRPr="00552ED8">
                <w:rPr>
                  <w:rStyle w:val="Hyperlink"/>
                  <w:rFonts w:asciiTheme="minorHAnsi" w:hAnsiTheme="minorHAnsi"/>
                  <w:bCs/>
                  <w:szCs w:val="22"/>
                  <w:lang w:val="ru-RU"/>
                </w:rPr>
                <w:t>C18/55</w:t>
              </w:r>
            </w:hyperlink>
          </w:p>
        </w:tc>
      </w:tr>
      <w:tr w:rsidR="009D3583" w:rsidRPr="00552ED8" w:rsidTr="005F693C">
        <w:tc>
          <w:tcPr>
            <w:tcW w:w="352" w:type="pct"/>
          </w:tcPr>
          <w:p w:rsidR="009D3583" w:rsidRPr="00552ED8" w:rsidRDefault="009D3583" w:rsidP="009D3583">
            <w:pPr>
              <w:rPr>
                <w:szCs w:val="22"/>
                <w:lang w:val="ru-RU"/>
              </w:rPr>
            </w:pPr>
            <w:r w:rsidRPr="00552ED8">
              <w:rPr>
                <w:szCs w:val="22"/>
                <w:lang w:val="ru-RU"/>
              </w:rPr>
              <w:t>4</w:t>
            </w:r>
          </w:p>
        </w:tc>
        <w:tc>
          <w:tcPr>
            <w:tcW w:w="3709" w:type="pct"/>
          </w:tcPr>
          <w:p w:rsidR="009D3583" w:rsidRPr="00552ED8" w:rsidRDefault="008018C4" w:rsidP="008018C4">
            <w:pPr>
              <w:pStyle w:val="toc0"/>
              <w:rPr>
                <w:b w:val="0"/>
                <w:bCs/>
                <w:szCs w:val="22"/>
                <w:lang w:val="ru-RU"/>
              </w:rPr>
            </w:pPr>
            <w:r w:rsidRPr="00552ED8">
              <w:rPr>
                <w:b w:val="0"/>
                <w:bCs/>
                <w:szCs w:val="22"/>
                <w:lang w:val="ru-RU"/>
              </w:rPr>
              <w:t>Отчет Группы экспертов по Регламенту международной электросвязи (ГЭ-РМЭ) (продолжение)</w:t>
            </w:r>
          </w:p>
        </w:tc>
        <w:tc>
          <w:tcPr>
            <w:tcW w:w="938" w:type="pct"/>
          </w:tcPr>
          <w:p w:rsidR="009D3583" w:rsidRPr="00552ED8" w:rsidRDefault="00D67625" w:rsidP="009D3583">
            <w:pPr>
              <w:jc w:val="center"/>
              <w:rPr>
                <w:szCs w:val="22"/>
                <w:lang w:val="ru-RU"/>
              </w:rPr>
            </w:pPr>
            <w:hyperlink r:id="rId14" w:history="1">
              <w:r w:rsidR="008018C4" w:rsidRPr="00552ED8">
                <w:rPr>
                  <w:rStyle w:val="Hyperlink"/>
                  <w:rFonts w:asciiTheme="minorHAnsi" w:hAnsiTheme="minorHAnsi"/>
                  <w:bCs/>
                  <w:szCs w:val="22"/>
                  <w:lang w:val="ru-RU"/>
                </w:rPr>
                <w:t>C18/26</w:t>
              </w:r>
            </w:hyperlink>
            <w:r w:rsidR="008018C4" w:rsidRPr="00552ED8">
              <w:rPr>
                <w:rFonts w:asciiTheme="minorHAnsi" w:hAnsiTheme="minorHAnsi"/>
                <w:bCs/>
                <w:szCs w:val="22"/>
                <w:lang w:val="ru-RU"/>
              </w:rPr>
              <w:t xml:space="preserve">, </w:t>
            </w:r>
            <w:hyperlink r:id="rId15" w:history="1">
              <w:r w:rsidR="008018C4" w:rsidRPr="00552ED8">
                <w:rPr>
                  <w:rStyle w:val="Hyperlink"/>
                  <w:rFonts w:asciiTheme="minorHAnsi" w:hAnsiTheme="minorHAnsi"/>
                  <w:bCs/>
                  <w:szCs w:val="22"/>
                  <w:lang w:val="ru-RU"/>
                </w:rPr>
                <w:t>C18/79</w:t>
              </w:r>
            </w:hyperlink>
            <w:r w:rsidR="008018C4" w:rsidRPr="00552ED8">
              <w:rPr>
                <w:rFonts w:asciiTheme="minorHAnsi" w:hAnsiTheme="minorHAnsi"/>
                <w:bCs/>
                <w:szCs w:val="22"/>
                <w:lang w:val="ru-RU"/>
              </w:rPr>
              <w:t xml:space="preserve">, </w:t>
            </w:r>
            <w:hyperlink r:id="rId16" w:history="1">
              <w:r w:rsidR="008018C4" w:rsidRPr="00552ED8">
                <w:rPr>
                  <w:rStyle w:val="Hyperlink"/>
                  <w:rFonts w:asciiTheme="minorHAnsi" w:hAnsiTheme="minorHAnsi"/>
                  <w:bCs/>
                  <w:szCs w:val="22"/>
                  <w:lang w:val="ru-RU"/>
                </w:rPr>
                <w:t>C18/91</w:t>
              </w:r>
            </w:hyperlink>
            <w:r w:rsidR="008018C4" w:rsidRPr="00552ED8">
              <w:rPr>
                <w:rFonts w:asciiTheme="minorHAnsi" w:hAnsiTheme="minorHAnsi"/>
                <w:bCs/>
                <w:szCs w:val="22"/>
                <w:lang w:val="ru-RU"/>
              </w:rPr>
              <w:t xml:space="preserve">, </w:t>
            </w:r>
            <w:hyperlink r:id="rId17" w:history="1">
              <w:r w:rsidR="008018C4" w:rsidRPr="00552ED8">
                <w:rPr>
                  <w:rStyle w:val="Hyperlink"/>
                  <w:rFonts w:asciiTheme="minorHAnsi" w:hAnsiTheme="minorHAnsi"/>
                  <w:bCs/>
                  <w:szCs w:val="22"/>
                  <w:lang w:val="ru-RU"/>
                </w:rPr>
                <w:t>C18/92</w:t>
              </w:r>
            </w:hyperlink>
            <w:r w:rsidR="008018C4" w:rsidRPr="00552ED8">
              <w:rPr>
                <w:rFonts w:asciiTheme="minorHAnsi" w:hAnsiTheme="minorHAnsi"/>
                <w:bCs/>
                <w:szCs w:val="22"/>
                <w:lang w:val="ru-RU"/>
              </w:rPr>
              <w:t>,</w:t>
            </w:r>
            <w:r w:rsidR="008018C4" w:rsidRPr="00552ED8">
              <w:rPr>
                <w:rFonts w:asciiTheme="minorHAnsi" w:hAnsiTheme="minorHAnsi"/>
                <w:bCs/>
                <w:szCs w:val="22"/>
                <w:lang w:val="ru-RU"/>
              </w:rPr>
              <w:br/>
            </w:r>
            <w:hyperlink r:id="rId18" w:history="1">
              <w:r w:rsidR="008018C4" w:rsidRPr="00552ED8">
                <w:rPr>
                  <w:rStyle w:val="Hyperlink"/>
                  <w:rFonts w:asciiTheme="minorHAnsi" w:hAnsiTheme="minorHAnsi"/>
                  <w:bCs/>
                  <w:szCs w:val="22"/>
                  <w:lang w:val="ru-RU"/>
                </w:rPr>
                <w:t>C18/DT/6</w:t>
              </w:r>
            </w:hyperlink>
          </w:p>
        </w:tc>
      </w:tr>
      <w:tr w:rsidR="009D3583" w:rsidRPr="00552ED8" w:rsidTr="005F693C">
        <w:tc>
          <w:tcPr>
            <w:tcW w:w="352" w:type="pct"/>
          </w:tcPr>
          <w:p w:rsidR="009D3583" w:rsidRPr="00552ED8" w:rsidRDefault="009D3583" w:rsidP="009D3583">
            <w:pPr>
              <w:rPr>
                <w:szCs w:val="22"/>
                <w:lang w:val="ru-RU"/>
              </w:rPr>
            </w:pPr>
            <w:r w:rsidRPr="00552ED8">
              <w:rPr>
                <w:szCs w:val="22"/>
                <w:lang w:val="ru-RU"/>
              </w:rPr>
              <w:t>5</w:t>
            </w:r>
          </w:p>
        </w:tc>
        <w:tc>
          <w:tcPr>
            <w:tcW w:w="3709" w:type="pct"/>
          </w:tcPr>
          <w:p w:rsidR="009D3583" w:rsidRPr="00552ED8" w:rsidRDefault="008018C4" w:rsidP="009D3583">
            <w:pPr>
              <w:pStyle w:val="toc0"/>
              <w:rPr>
                <w:b w:val="0"/>
                <w:bCs/>
                <w:szCs w:val="22"/>
                <w:lang w:val="ru-RU"/>
              </w:rPr>
            </w:pPr>
            <w:r w:rsidRPr="00552ED8">
              <w:rPr>
                <w:b w:val="0"/>
                <w:bCs/>
                <w:szCs w:val="22"/>
                <w:lang w:val="ru-RU"/>
              </w:rPr>
              <w:t xml:space="preserve">Объявления </w:t>
            </w:r>
            <w:r w:rsidR="00552ED8" w:rsidRPr="00552ED8">
              <w:rPr>
                <w:b w:val="0"/>
                <w:bCs/>
                <w:szCs w:val="22"/>
                <w:lang w:val="ru-RU"/>
              </w:rPr>
              <w:t>советников</w:t>
            </w:r>
          </w:p>
        </w:tc>
        <w:tc>
          <w:tcPr>
            <w:tcW w:w="938" w:type="pct"/>
          </w:tcPr>
          <w:p w:rsidR="009D3583" w:rsidRPr="00552ED8" w:rsidRDefault="00552ED8" w:rsidP="009D3583">
            <w:pPr>
              <w:jc w:val="center"/>
              <w:rPr>
                <w:szCs w:val="22"/>
                <w:lang w:val="ru-RU"/>
              </w:rPr>
            </w:pPr>
            <w:r w:rsidRPr="00552ED8">
              <w:rPr>
                <w:szCs w:val="22"/>
                <w:lang w:val="ru-RU"/>
              </w:rPr>
              <w:t>−</w:t>
            </w:r>
          </w:p>
        </w:tc>
      </w:tr>
    </w:tbl>
    <w:p w:rsidR="00AF0E6B" w:rsidRPr="00552ED8" w:rsidRDefault="002D2F57" w:rsidP="00ED7609">
      <w:pPr>
        <w:rPr>
          <w:lang w:val="ru-RU"/>
        </w:rPr>
      </w:pPr>
      <w:r w:rsidRPr="00552ED8">
        <w:rPr>
          <w:lang w:val="ru-RU"/>
        </w:rPr>
        <w:br w:type="page"/>
      </w:r>
    </w:p>
    <w:p w:rsidR="007C4261" w:rsidRPr="00552ED8" w:rsidRDefault="007C4261" w:rsidP="00552ED8">
      <w:pPr>
        <w:pStyle w:val="Heading1"/>
        <w:rPr>
          <w:lang w:val="ru-RU"/>
        </w:rPr>
      </w:pPr>
      <w:r w:rsidRPr="00552ED8">
        <w:rPr>
          <w:lang w:val="ru-RU"/>
        </w:rPr>
        <w:lastRenderedPageBreak/>
        <w:t>1</w:t>
      </w:r>
      <w:r w:rsidRPr="00552ED8">
        <w:rPr>
          <w:lang w:val="ru-RU"/>
        </w:rPr>
        <w:tab/>
      </w:r>
      <w:r w:rsidR="007E5B38" w:rsidRPr="00552ED8">
        <w:rPr>
          <w:lang w:val="ru-RU"/>
        </w:rPr>
        <w:t>Отчет о последующих мерах в связи с возможными способами совершенствования процесса проведения полномочной конференции</w:t>
      </w:r>
      <w:r w:rsidR="007B1CA2" w:rsidRPr="00552ED8">
        <w:rPr>
          <w:lang w:val="ru-RU"/>
        </w:rPr>
        <w:t>: слушания кандидатов и руководящие указания по этическим аспектам</w:t>
      </w:r>
      <w:r w:rsidRPr="00552ED8">
        <w:rPr>
          <w:lang w:val="ru-RU"/>
        </w:rPr>
        <w:t xml:space="preserve"> (</w:t>
      </w:r>
      <w:r w:rsidR="00ED7609" w:rsidRPr="00552ED8">
        <w:rPr>
          <w:lang w:val="ru-RU"/>
        </w:rPr>
        <w:t>Документ</w:t>
      </w:r>
      <w:r w:rsidR="00B803EA" w:rsidRPr="00552ED8">
        <w:rPr>
          <w:lang w:val="ru-RU"/>
        </w:rPr>
        <w:t>ы</w:t>
      </w:r>
      <w:r w:rsidRPr="00552ED8">
        <w:rPr>
          <w:lang w:val="ru-RU"/>
        </w:rPr>
        <w:t xml:space="preserve"> </w:t>
      </w:r>
      <w:hyperlink r:id="rId19" w:history="1">
        <w:r w:rsidR="00B803EA" w:rsidRPr="00552ED8">
          <w:rPr>
            <w:rStyle w:val="Hyperlink"/>
            <w:rFonts w:asciiTheme="minorHAnsi" w:hAnsiTheme="minorHAnsi"/>
            <w:spacing w:val="-4"/>
            <w:szCs w:val="26"/>
            <w:lang w:val="ru-RU"/>
          </w:rPr>
          <w:t>C18/5</w:t>
        </w:r>
      </w:hyperlink>
      <w:r w:rsidR="00B803EA" w:rsidRPr="00552ED8">
        <w:rPr>
          <w:rFonts w:asciiTheme="minorHAnsi" w:hAnsiTheme="minorHAnsi"/>
          <w:spacing w:val="-4"/>
          <w:szCs w:val="26"/>
          <w:lang w:val="ru-RU"/>
        </w:rPr>
        <w:t xml:space="preserve"> и </w:t>
      </w:r>
      <w:hyperlink r:id="rId20" w:history="1">
        <w:r w:rsidR="00B803EA" w:rsidRPr="00552ED8">
          <w:rPr>
            <w:rStyle w:val="Hyperlink"/>
            <w:rFonts w:asciiTheme="minorHAnsi" w:hAnsiTheme="minorHAnsi"/>
            <w:spacing w:val="-4"/>
            <w:szCs w:val="26"/>
            <w:lang w:val="ru-RU"/>
          </w:rPr>
          <w:t>C18/95</w:t>
        </w:r>
      </w:hyperlink>
      <w:r w:rsidRPr="00552ED8">
        <w:rPr>
          <w:lang w:val="ru-RU"/>
        </w:rPr>
        <w:t>)</w:t>
      </w:r>
    </w:p>
    <w:p w:rsidR="007C4261" w:rsidRPr="00552ED8" w:rsidRDefault="007C4261" w:rsidP="005F693C">
      <w:pPr>
        <w:rPr>
          <w:lang w:val="ru-RU"/>
        </w:rPr>
      </w:pPr>
      <w:r w:rsidRPr="00552ED8">
        <w:rPr>
          <w:lang w:val="ru-RU"/>
        </w:rPr>
        <w:t>1.1</w:t>
      </w:r>
      <w:r w:rsidRPr="00552ED8">
        <w:rPr>
          <w:lang w:val="ru-RU"/>
        </w:rPr>
        <w:tab/>
      </w:r>
      <w:r w:rsidR="00B803EA" w:rsidRPr="00552ED8">
        <w:rPr>
          <w:lang w:val="ru-RU"/>
        </w:rPr>
        <w:t>Сотрудники секретариата представ</w:t>
      </w:r>
      <w:r w:rsidR="00E96AA4" w:rsidRPr="00552ED8">
        <w:rPr>
          <w:lang w:val="ru-RU"/>
        </w:rPr>
        <w:t>ляют</w:t>
      </w:r>
      <w:r w:rsidR="00B803EA" w:rsidRPr="00552ED8">
        <w:rPr>
          <w:lang w:val="ru-RU"/>
        </w:rPr>
        <w:t xml:space="preserve"> в Документе </w:t>
      </w:r>
      <w:r w:rsidR="00B803EA" w:rsidRPr="00552ED8">
        <w:rPr>
          <w:rFonts w:asciiTheme="minorHAnsi" w:hAnsiTheme="minorHAnsi"/>
          <w:szCs w:val="24"/>
          <w:lang w:val="ru-RU"/>
        </w:rPr>
        <w:t>C18/5</w:t>
      </w:r>
      <w:r w:rsidR="00E96AA4" w:rsidRPr="00552ED8">
        <w:rPr>
          <w:rFonts w:asciiTheme="minorHAnsi" w:hAnsiTheme="minorHAnsi"/>
          <w:szCs w:val="24"/>
          <w:lang w:val="ru-RU"/>
        </w:rPr>
        <w:t xml:space="preserve"> </w:t>
      </w:r>
      <w:r w:rsidR="00B803EA" w:rsidRPr="00552ED8">
        <w:rPr>
          <w:lang w:val="ru-RU"/>
        </w:rPr>
        <w:t>отчет Генерального секретаря, в котором содержится сравнительный анализ процедур слушаний кандидатов, выдвигаемых на выборные должности</w:t>
      </w:r>
      <w:r w:rsidR="005F693C" w:rsidRPr="00552ED8">
        <w:rPr>
          <w:lang w:val="ru-RU"/>
        </w:rPr>
        <w:t>,</w:t>
      </w:r>
      <w:r w:rsidR="00B803EA" w:rsidRPr="00552ED8">
        <w:rPr>
          <w:lang w:val="ru-RU"/>
        </w:rPr>
        <w:t xml:space="preserve"> в МСЭ и других международных организациях. В соответствии с высказанной Советом ранее просьбой </w:t>
      </w:r>
      <w:r w:rsidR="003A224A" w:rsidRPr="00552ED8">
        <w:rPr>
          <w:lang w:val="ru-RU"/>
        </w:rPr>
        <w:t xml:space="preserve">прилагаемый к отчету проект </w:t>
      </w:r>
      <w:r w:rsidR="00B803EA" w:rsidRPr="00552ED8">
        <w:rPr>
          <w:lang w:val="ru-RU"/>
        </w:rPr>
        <w:t>набор</w:t>
      </w:r>
      <w:r w:rsidR="003A224A" w:rsidRPr="00552ED8">
        <w:rPr>
          <w:lang w:val="ru-RU"/>
        </w:rPr>
        <w:t>а</w:t>
      </w:r>
      <w:r w:rsidR="00B803EA" w:rsidRPr="00552ED8">
        <w:rPr>
          <w:lang w:val="ru-RU"/>
        </w:rPr>
        <w:t xml:space="preserve"> руководящих указаний по этическим аспектам предвыборных мероприятий, проводимых лицами, занимающими </w:t>
      </w:r>
      <w:r w:rsidR="007B1CA2" w:rsidRPr="00552ED8">
        <w:rPr>
          <w:lang w:val="ru-RU"/>
        </w:rPr>
        <w:t xml:space="preserve">какие-либо должности </w:t>
      </w:r>
      <w:r w:rsidR="00B803EA" w:rsidRPr="00552ED8">
        <w:rPr>
          <w:lang w:val="ru-RU"/>
        </w:rPr>
        <w:t xml:space="preserve">в </w:t>
      </w:r>
      <w:r w:rsidR="003A224A" w:rsidRPr="00552ED8">
        <w:rPr>
          <w:lang w:val="ru-RU"/>
        </w:rPr>
        <w:t>Союзе (например, действующими назнач</w:t>
      </w:r>
      <w:r w:rsidR="005F693C" w:rsidRPr="00552ED8">
        <w:rPr>
          <w:lang w:val="ru-RU"/>
        </w:rPr>
        <w:t>аем</w:t>
      </w:r>
      <w:r w:rsidR="003A224A" w:rsidRPr="00552ED8">
        <w:rPr>
          <w:lang w:val="ru-RU"/>
        </w:rPr>
        <w:t xml:space="preserve">ыми </w:t>
      </w:r>
      <w:r w:rsidR="007B1CA2" w:rsidRPr="00552ED8">
        <w:rPr>
          <w:lang w:val="ru-RU"/>
        </w:rPr>
        <w:t xml:space="preserve">сотрудниками </w:t>
      </w:r>
      <w:r w:rsidR="003A224A" w:rsidRPr="00552ED8">
        <w:rPr>
          <w:lang w:val="ru-RU"/>
        </w:rPr>
        <w:t xml:space="preserve">или </w:t>
      </w:r>
      <w:r w:rsidR="005F693C" w:rsidRPr="00552ED8">
        <w:rPr>
          <w:lang w:val="ru-RU"/>
        </w:rPr>
        <w:t>избираемыми</w:t>
      </w:r>
      <w:r w:rsidR="007B1CA2" w:rsidRPr="00552ED8">
        <w:rPr>
          <w:lang w:val="ru-RU"/>
        </w:rPr>
        <w:t xml:space="preserve"> должностными лицами</w:t>
      </w:r>
      <w:r w:rsidR="003A224A" w:rsidRPr="00552ED8">
        <w:rPr>
          <w:lang w:val="ru-RU"/>
        </w:rPr>
        <w:t>), охватывает три аспекта: использование ресурсов Союза, предвыборн</w:t>
      </w:r>
      <w:r w:rsidR="00E96AA4" w:rsidRPr="00552ED8">
        <w:rPr>
          <w:lang w:val="ru-RU"/>
        </w:rPr>
        <w:t>ые</w:t>
      </w:r>
      <w:r w:rsidR="003A224A" w:rsidRPr="00552ED8">
        <w:rPr>
          <w:lang w:val="ru-RU"/>
        </w:rPr>
        <w:t xml:space="preserve"> </w:t>
      </w:r>
      <w:r w:rsidR="00E96AA4" w:rsidRPr="00552ED8">
        <w:rPr>
          <w:lang w:val="ru-RU"/>
        </w:rPr>
        <w:t>мероприятия, приуроченные к м</w:t>
      </w:r>
      <w:r w:rsidR="003A224A" w:rsidRPr="00552ED8">
        <w:rPr>
          <w:lang w:val="ru-RU"/>
        </w:rPr>
        <w:t>ероприяти</w:t>
      </w:r>
      <w:r w:rsidR="00E96AA4" w:rsidRPr="00552ED8">
        <w:rPr>
          <w:lang w:val="ru-RU"/>
        </w:rPr>
        <w:t>ям</w:t>
      </w:r>
      <w:r w:rsidR="003A224A" w:rsidRPr="00552ED8">
        <w:rPr>
          <w:lang w:val="ru-RU"/>
        </w:rPr>
        <w:t xml:space="preserve"> Союза</w:t>
      </w:r>
      <w:r w:rsidR="007B1CA2" w:rsidRPr="00552ED8">
        <w:rPr>
          <w:lang w:val="ru-RU"/>
        </w:rPr>
        <w:t>,</w:t>
      </w:r>
      <w:r w:rsidR="003A224A" w:rsidRPr="00552ED8">
        <w:rPr>
          <w:lang w:val="ru-RU"/>
        </w:rPr>
        <w:t xml:space="preserve"> и взаимодействие с Государствами-Членами</w:t>
      </w:r>
      <w:r w:rsidRPr="00552ED8">
        <w:rPr>
          <w:lang w:val="ru-RU"/>
        </w:rPr>
        <w:t>.</w:t>
      </w:r>
    </w:p>
    <w:p w:rsidR="007C4261" w:rsidRPr="00552ED8" w:rsidRDefault="007C4261" w:rsidP="005F693C">
      <w:pPr>
        <w:rPr>
          <w:lang w:val="ru-RU"/>
        </w:rPr>
      </w:pPr>
      <w:r w:rsidRPr="00552ED8">
        <w:rPr>
          <w:lang w:val="ru-RU"/>
        </w:rPr>
        <w:t>1.2</w:t>
      </w:r>
      <w:r w:rsidRPr="00552ED8">
        <w:rPr>
          <w:lang w:val="ru-RU"/>
        </w:rPr>
        <w:tab/>
      </w:r>
      <w:r w:rsidR="00E96AA4" w:rsidRPr="00552ED8">
        <w:rPr>
          <w:lang w:val="ru-RU"/>
        </w:rPr>
        <w:t>Советник от Бразилии представляет</w:t>
      </w:r>
      <w:r w:rsidR="00052E96" w:rsidRPr="00552ED8">
        <w:rPr>
          <w:lang w:val="ru-RU"/>
        </w:rPr>
        <w:t xml:space="preserve"> Документ </w:t>
      </w:r>
      <w:r w:rsidR="00052E96" w:rsidRPr="00552ED8">
        <w:rPr>
          <w:rFonts w:asciiTheme="minorHAnsi" w:hAnsiTheme="minorHAnsi"/>
          <w:szCs w:val="24"/>
          <w:lang w:val="ru-RU"/>
        </w:rPr>
        <w:t xml:space="preserve">C18/95, в котором предлагается внести поправки в </w:t>
      </w:r>
      <w:r w:rsidR="00052E96" w:rsidRPr="00552ED8">
        <w:rPr>
          <w:rFonts w:asciiTheme="minorHAnsi" w:hAnsiTheme="minorHAnsi"/>
          <w:lang w:val="ru-RU"/>
        </w:rPr>
        <w:t>Общий регламент конференций, ассамблей и собраний Союза</w:t>
      </w:r>
      <w:r w:rsidR="00052E96" w:rsidRPr="00552ED8">
        <w:rPr>
          <w:rFonts w:asciiTheme="minorHAnsi" w:hAnsiTheme="minorHAnsi" w:cstheme="minorHAnsi"/>
          <w:lang w:val="ru-RU"/>
        </w:rPr>
        <w:t>, с тем чтобы внедрить практику проведения слушаний для кандидатов на</w:t>
      </w:r>
      <w:r w:rsidR="007B1CA2" w:rsidRPr="00552ED8">
        <w:rPr>
          <w:rFonts w:asciiTheme="minorHAnsi" w:hAnsiTheme="minorHAnsi" w:cstheme="minorHAnsi"/>
          <w:lang w:val="ru-RU"/>
        </w:rPr>
        <w:t xml:space="preserve"> официальные выборные должности</w:t>
      </w:r>
      <w:r w:rsidRPr="00552ED8">
        <w:rPr>
          <w:lang w:val="ru-RU"/>
        </w:rPr>
        <w:t>.</w:t>
      </w:r>
      <w:r w:rsidR="00052E96" w:rsidRPr="00552ED8">
        <w:rPr>
          <w:lang w:val="ru-RU"/>
        </w:rPr>
        <w:t xml:space="preserve"> Многие другие международные организации весьма успешно используют слушания, последний </w:t>
      </w:r>
      <w:r w:rsidR="007B1CA2" w:rsidRPr="00552ED8">
        <w:rPr>
          <w:lang w:val="ru-RU"/>
        </w:rPr>
        <w:t xml:space="preserve">такой </w:t>
      </w:r>
      <w:r w:rsidR="00052E96" w:rsidRPr="00552ED8">
        <w:rPr>
          <w:lang w:val="ru-RU"/>
        </w:rPr>
        <w:t xml:space="preserve">пример относится к самому высокому уровню </w:t>
      </w:r>
      <w:r w:rsidR="00052E96" w:rsidRPr="00552ED8">
        <w:rPr>
          <w:lang w:val="ru-RU"/>
        </w:rPr>
        <w:sym w:font="Symbol" w:char="F02D"/>
      </w:r>
      <w:r w:rsidR="00052E96" w:rsidRPr="00552ED8">
        <w:rPr>
          <w:lang w:val="ru-RU"/>
        </w:rPr>
        <w:t xml:space="preserve"> слушания накануне выборов Генерального секретаря Организации Объединенных Наций. Членам было бы полезно проводить встречи с кандидатами на выборные должности, с тем чтобы получить полное представление об их концепции деятельности МСЭ и оценить их умение выступать публично, в особенности на английском языке. Слушания повысят прозрачность, законность и открытость избирательных процессов для всех; очевидно, что они должны проводиться до полномочной конференции. Необходимо также учитывать </w:t>
      </w:r>
      <w:r w:rsidR="005F693C" w:rsidRPr="00552ED8">
        <w:rPr>
          <w:lang w:val="ru-RU"/>
        </w:rPr>
        <w:t>положение </w:t>
      </w:r>
      <w:r w:rsidR="00052E96" w:rsidRPr="00552ED8">
        <w:rPr>
          <w:lang w:val="ru-RU"/>
        </w:rPr>
        <w:t>12.2 Положений о персонале МСЭ, касающе</w:t>
      </w:r>
      <w:r w:rsidR="005F693C" w:rsidRPr="00552ED8">
        <w:rPr>
          <w:lang w:val="ru-RU"/>
        </w:rPr>
        <w:t>е</w:t>
      </w:r>
      <w:r w:rsidR="00052E96" w:rsidRPr="00552ED8">
        <w:rPr>
          <w:lang w:val="ru-RU"/>
        </w:rPr>
        <w:t>ся назнач</w:t>
      </w:r>
      <w:r w:rsidR="005F693C" w:rsidRPr="00552ED8">
        <w:rPr>
          <w:lang w:val="ru-RU"/>
        </w:rPr>
        <w:t>аемы</w:t>
      </w:r>
      <w:r w:rsidR="00052E96" w:rsidRPr="00552ED8">
        <w:rPr>
          <w:lang w:val="ru-RU"/>
        </w:rPr>
        <w:t xml:space="preserve">х сотрудников, баллотирующихся на одну из выборных </w:t>
      </w:r>
      <w:r w:rsidR="00052E96" w:rsidRPr="00552ED8">
        <w:rPr>
          <w:spacing w:val="-2"/>
          <w:lang w:val="ru-RU"/>
        </w:rPr>
        <w:t>официальных</w:t>
      </w:r>
      <w:r w:rsidR="00052E96" w:rsidRPr="00552ED8">
        <w:rPr>
          <w:lang w:val="ru-RU"/>
        </w:rPr>
        <w:t xml:space="preserve"> должностей.</w:t>
      </w:r>
    </w:p>
    <w:p w:rsidR="007C4261" w:rsidRPr="00552ED8" w:rsidRDefault="007C4261" w:rsidP="005F693C">
      <w:pPr>
        <w:rPr>
          <w:lang w:val="ru-RU" w:bidi="ar-EG"/>
        </w:rPr>
      </w:pPr>
      <w:r w:rsidRPr="00552ED8">
        <w:rPr>
          <w:lang w:val="ru-RU"/>
        </w:rPr>
        <w:t>1.3</w:t>
      </w:r>
      <w:r w:rsidRPr="00552ED8">
        <w:rPr>
          <w:lang w:val="ru-RU"/>
        </w:rPr>
        <w:tab/>
      </w:r>
      <w:r w:rsidR="00052E96" w:rsidRPr="00552ED8">
        <w:rPr>
          <w:lang w:val="ru-RU"/>
        </w:rPr>
        <w:t xml:space="preserve">В ходе последовавшего обсуждения </w:t>
      </w:r>
      <w:r w:rsidR="00D74854" w:rsidRPr="00552ED8">
        <w:rPr>
          <w:lang w:val="ru-RU"/>
        </w:rPr>
        <w:t>выражает</w:t>
      </w:r>
      <w:r w:rsidR="005F693C" w:rsidRPr="00552ED8">
        <w:rPr>
          <w:lang w:val="ru-RU"/>
        </w:rPr>
        <w:t>ся широкая</w:t>
      </w:r>
      <w:r w:rsidR="00D74854" w:rsidRPr="00552ED8">
        <w:rPr>
          <w:lang w:val="ru-RU"/>
        </w:rPr>
        <w:t xml:space="preserve"> поддержк</w:t>
      </w:r>
      <w:r w:rsidR="005F693C" w:rsidRPr="00552ED8">
        <w:rPr>
          <w:lang w:val="ru-RU"/>
        </w:rPr>
        <w:t>а</w:t>
      </w:r>
      <w:r w:rsidR="00D74854" w:rsidRPr="00552ED8">
        <w:rPr>
          <w:lang w:val="ru-RU"/>
        </w:rPr>
        <w:t xml:space="preserve"> руководящим указаниям, содержащимся в Документе </w:t>
      </w:r>
      <w:r w:rsidR="00D74854" w:rsidRPr="00552ED8">
        <w:rPr>
          <w:rFonts w:asciiTheme="minorHAnsi" w:hAnsiTheme="minorHAnsi"/>
          <w:szCs w:val="24"/>
          <w:lang w:val="ru-RU"/>
        </w:rPr>
        <w:t xml:space="preserve">C18/5. Хотя многие </w:t>
      </w:r>
      <w:r w:rsidR="00552ED8" w:rsidRPr="00552ED8">
        <w:rPr>
          <w:rFonts w:asciiTheme="minorHAnsi" w:hAnsiTheme="minorHAnsi"/>
          <w:szCs w:val="24"/>
          <w:lang w:val="ru-RU"/>
        </w:rPr>
        <w:t xml:space="preserve">советники </w:t>
      </w:r>
      <w:r w:rsidR="00D74854" w:rsidRPr="00552ED8">
        <w:rPr>
          <w:rFonts w:asciiTheme="minorHAnsi" w:hAnsiTheme="minorHAnsi"/>
          <w:szCs w:val="24"/>
          <w:lang w:val="ru-RU"/>
        </w:rPr>
        <w:t>приветствуют предложение Бразилии, которое будет способствовать укреплению прозрачности и подотчетности Союза и приведению его процедур в соответствие с другими учреждениями системы Организации Объединенных Наций, параметры таких слушаний, в частности сроки представления кандидатур и график проведения слушаний, следует рассмотреть более подробно</w:t>
      </w:r>
      <w:r w:rsidRPr="00552ED8">
        <w:rPr>
          <w:lang w:val="ru-RU"/>
        </w:rPr>
        <w:t>.</w:t>
      </w:r>
      <w:r w:rsidR="00D74854" w:rsidRPr="00552ED8">
        <w:rPr>
          <w:lang w:val="ru-RU"/>
        </w:rPr>
        <w:t xml:space="preserve"> Предложение об организации слушаний за шесть месяцев до открытия полномочной конференции следует рассмотреть с учетом правил официального представления кандидатур, срок которого истекает за 28 дней до начала конференции; сотрудники отправляются в специальный отпуск сразу после официального представления их кандидатуры. В связи с этим</w:t>
      </w:r>
      <w:r w:rsidR="00AF2BCA" w:rsidRPr="00552ED8">
        <w:rPr>
          <w:lang w:val="ru-RU"/>
        </w:rPr>
        <w:t>,</w:t>
      </w:r>
      <w:r w:rsidR="00D74854" w:rsidRPr="00552ED8">
        <w:rPr>
          <w:lang w:val="ru-RU"/>
        </w:rPr>
        <w:t xml:space="preserve"> возможно, придется также пересмотреть Правила о персонале. Ряд </w:t>
      </w:r>
      <w:r w:rsidR="00552ED8" w:rsidRPr="00552ED8">
        <w:rPr>
          <w:lang w:val="ru-RU"/>
        </w:rPr>
        <w:t xml:space="preserve">советников </w:t>
      </w:r>
      <w:r w:rsidR="00D74854" w:rsidRPr="00552ED8">
        <w:rPr>
          <w:lang w:val="ru-RU"/>
        </w:rPr>
        <w:t xml:space="preserve">возражают против </w:t>
      </w:r>
      <w:r w:rsidR="00D21BED" w:rsidRPr="00552ED8">
        <w:rPr>
          <w:lang w:val="ru-RU"/>
        </w:rPr>
        <w:t xml:space="preserve">акцента на </w:t>
      </w:r>
      <w:r w:rsidR="00D74854" w:rsidRPr="00552ED8">
        <w:rPr>
          <w:lang w:val="ru-RU"/>
        </w:rPr>
        <w:t xml:space="preserve">способности </w:t>
      </w:r>
      <w:r w:rsidR="00B01CA1" w:rsidRPr="00552ED8">
        <w:rPr>
          <w:lang w:val="ru-RU"/>
        </w:rPr>
        <w:t xml:space="preserve">кандидатов </w:t>
      </w:r>
      <w:r w:rsidR="00AF2BCA" w:rsidRPr="00552ED8">
        <w:rPr>
          <w:lang w:val="ru-RU"/>
        </w:rPr>
        <w:t>использовать в работе</w:t>
      </w:r>
      <w:r w:rsidR="00B01CA1" w:rsidRPr="00552ED8">
        <w:rPr>
          <w:lang w:val="ru-RU"/>
        </w:rPr>
        <w:t xml:space="preserve"> </w:t>
      </w:r>
      <w:r w:rsidR="00AF2BCA" w:rsidRPr="00552ED8">
        <w:rPr>
          <w:lang w:val="ru-RU"/>
        </w:rPr>
        <w:t>английский</w:t>
      </w:r>
      <w:r w:rsidR="00B01CA1" w:rsidRPr="00552ED8">
        <w:rPr>
          <w:lang w:val="ru-RU"/>
        </w:rPr>
        <w:t xml:space="preserve"> язык, поскольку статус шести языков Союза всегда был и должен оставаться равным. </w:t>
      </w:r>
      <w:r w:rsidR="00D21BED" w:rsidRPr="00552ED8">
        <w:rPr>
          <w:lang w:val="ru-RU"/>
        </w:rPr>
        <w:t xml:space="preserve">Многие </w:t>
      </w:r>
      <w:r w:rsidR="00552ED8" w:rsidRPr="00552ED8">
        <w:rPr>
          <w:lang w:val="ru-RU"/>
        </w:rPr>
        <w:t xml:space="preserve">советники </w:t>
      </w:r>
      <w:r w:rsidR="00B01CA1" w:rsidRPr="00552ED8">
        <w:rPr>
          <w:lang w:val="ru-RU"/>
        </w:rPr>
        <w:t xml:space="preserve">просят разъяснений относительно </w:t>
      </w:r>
      <w:r w:rsidR="004D1F02" w:rsidRPr="00552ED8">
        <w:rPr>
          <w:lang w:val="ru-RU"/>
        </w:rPr>
        <w:t xml:space="preserve">финансовых последствий таких слушаний для МСЭ: покроет ли бюджет МСЭ любые связанные с ними затраты? Некоторые </w:t>
      </w:r>
      <w:r w:rsidR="00552ED8" w:rsidRPr="00552ED8">
        <w:rPr>
          <w:lang w:val="ru-RU"/>
        </w:rPr>
        <w:t xml:space="preserve">советники </w:t>
      </w:r>
      <w:r w:rsidR="004D1F02" w:rsidRPr="00552ED8">
        <w:rPr>
          <w:lang w:val="ru-RU"/>
        </w:rPr>
        <w:t xml:space="preserve">считают, что кандидаты должны сами </w:t>
      </w:r>
      <w:r w:rsidR="005D3F8A" w:rsidRPr="00552ED8">
        <w:rPr>
          <w:lang w:val="ru-RU"/>
        </w:rPr>
        <w:t>нести бремя расходов на предвыборную деятельность.</w:t>
      </w:r>
      <w:r w:rsidR="009130C6" w:rsidRPr="00552ED8">
        <w:rPr>
          <w:lang w:val="ru-RU"/>
        </w:rPr>
        <w:t xml:space="preserve"> </w:t>
      </w:r>
    </w:p>
    <w:p w:rsidR="007C4261" w:rsidRPr="00552ED8" w:rsidRDefault="007C4261" w:rsidP="005F693C">
      <w:pPr>
        <w:rPr>
          <w:lang w:val="ru-RU"/>
        </w:rPr>
      </w:pPr>
      <w:r w:rsidRPr="00552ED8">
        <w:rPr>
          <w:lang w:val="ru-RU"/>
        </w:rPr>
        <w:t>1.4</w:t>
      </w:r>
      <w:r w:rsidRPr="00552ED8">
        <w:rPr>
          <w:lang w:val="ru-RU"/>
        </w:rPr>
        <w:tab/>
      </w:r>
      <w:r w:rsidR="00660BAB" w:rsidRPr="00552ED8">
        <w:rPr>
          <w:lang w:val="ru-RU"/>
        </w:rPr>
        <w:t>Совет</w:t>
      </w:r>
      <w:r w:rsidR="00F23461" w:rsidRPr="00552ED8">
        <w:rPr>
          <w:lang w:val="ru-RU"/>
        </w:rPr>
        <w:t xml:space="preserve">ник от Бразилии благодарит всех ораторов за их поддержку и интерес и соглашается с тем, что необходима дальнейшая доработка предложений его страны с должным учетом Правил о персонале. Предполагается, что слушания будут проводиться в дополнение к личной предвыборной деятельности, которую будут вести кандидаты. В отношении языкового вопроса, все шесть языков действительно </w:t>
      </w:r>
      <w:r w:rsidR="00D21BED" w:rsidRPr="00552ED8">
        <w:rPr>
          <w:lang w:val="ru-RU"/>
        </w:rPr>
        <w:t xml:space="preserve">де-юре </w:t>
      </w:r>
      <w:r w:rsidR="00F23461" w:rsidRPr="00552ED8">
        <w:rPr>
          <w:lang w:val="ru-RU"/>
        </w:rPr>
        <w:t xml:space="preserve">используются на равной основе, однако де-факто английский язык является доминирующим в работе МСЭ, в связи с чем владение им должно быть </w:t>
      </w:r>
      <w:r w:rsidR="00D21BED" w:rsidRPr="00552ED8">
        <w:rPr>
          <w:lang w:val="ru-RU"/>
        </w:rPr>
        <w:t xml:space="preserve">необходимым </w:t>
      </w:r>
      <w:r w:rsidR="00F23461" w:rsidRPr="00552ED8">
        <w:rPr>
          <w:lang w:val="ru-RU"/>
        </w:rPr>
        <w:t>предварительным критерием оценки компетентности кандидата на официальные должности высокого уровня. Более подробный документ, учитывающий высказанные вопросы, будет подготовлен для рассмотрения на ПК-18</w:t>
      </w:r>
      <w:r w:rsidRPr="00552ED8">
        <w:rPr>
          <w:lang w:val="ru-RU"/>
        </w:rPr>
        <w:t>.</w:t>
      </w:r>
    </w:p>
    <w:p w:rsidR="007C4261" w:rsidRPr="00552ED8" w:rsidRDefault="007C4261" w:rsidP="00FF74F3">
      <w:pPr>
        <w:rPr>
          <w:lang w:val="ru-RU"/>
        </w:rPr>
      </w:pPr>
      <w:r w:rsidRPr="00552ED8">
        <w:rPr>
          <w:lang w:val="ru-RU"/>
        </w:rPr>
        <w:t>1.5</w:t>
      </w:r>
      <w:r w:rsidRPr="00552ED8">
        <w:rPr>
          <w:lang w:val="ru-RU"/>
        </w:rPr>
        <w:tab/>
      </w:r>
      <w:r w:rsidR="00B00220" w:rsidRPr="00552ED8">
        <w:rPr>
          <w:lang w:val="ru-RU"/>
        </w:rPr>
        <w:t xml:space="preserve">Председатель предлагает Совету принять содержащиеся в Документе </w:t>
      </w:r>
      <w:r w:rsidR="00B00220" w:rsidRPr="00552ED8">
        <w:rPr>
          <w:rFonts w:asciiTheme="minorHAnsi" w:hAnsiTheme="minorHAnsi"/>
          <w:szCs w:val="24"/>
          <w:lang w:val="ru-RU"/>
        </w:rPr>
        <w:t xml:space="preserve">C18/5 </w:t>
      </w:r>
      <w:r w:rsidR="00B00220" w:rsidRPr="00552ED8">
        <w:rPr>
          <w:lang w:val="ru-RU"/>
        </w:rPr>
        <w:t xml:space="preserve">руководящие указания по </w:t>
      </w:r>
      <w:r w:rsidR="00B00220" w:rsidRPr="00552ED8">
        <w:rPr>
          <w:color w:val="000000"/>
          <w:lang w:val="ru-RU"/>
        </w:rPr>
        <w:t>этическим аспектам определенных предвыборных мероприятий, проводимых перед</w:t>
      </w:r>
      <w:r w:rsidR="00552ED8" w:rsidRPr="00552ED8">
        <w:rPr>
          <w:color w:val="000000"/>
          <w:lang w:val="ru-RU"/>
        </w:rPr>
        <w:t xml:space="preserve"> ПК</w:t>
      </w:r>
      <w:r w:rsidR="00552ED8" w:rsidRPr="00552ED8">
        <w:rPr>
          <w:color w:val="000000"/>
          <w:lang w:val="ru-RU"/>
        </w:rPr>
        <w:noBreakHyphen/>
      </w:r>
      <w:r w:rsidR="00FF74F3" w:rsidRPr="00552ED8">
        <w:rPr>
          <w:color w:val="000000"/>
          <w:lang w:val="ru-RU"/>
        </w:rPr>
        <w:t>18</w:t>
      </w:r>
      <w:r w:rsidR="00B00220" w:rsidRPr="00552ED8">
        <w:rPr>
          <w:color w:val="000000"/>
          <w:lang w:val="ru-RU"/>
        </w:rPr>
        <w:t xml:space="preserve">, и препроводить данный документ, а также представленные Бразилией в Документе </w:t>
      </w:r>
      <w:r w:rsidR="00B00220" w:rsidRPr="00552ED8">
        <w:rPr>
          <w:rFonts w:asciiTheme="minorHAnsi" w:hAnsiTheme="minorHAnsi"/>
          <w:szCs w:val="24"/>
          <w:lang w:val="ru-RU"/>
        </w:rPr>
        <w:t xml:space="preserve">C18/95 </w:t>
      </w:r>
      <w:r w:rsidR="00B00220" w:rsidRPr="00552ED8">
        <w:rPr>
          <w:color w:val="000000"/>
          <w:lang w:val="ru-RU"/>
        </w:rPr>
        <w:t>предложения ПК-18</w:t>
      </w:r>
      <w:r w:rsidRPr="00552ED8">
        <w:rPr>
          <w:lang w:val="ru-RU"/>
        </w:rPr>
        <w:t>.</w:t>
      </w:r>
    </w:p>
    <w:p w:rsidR="007C4261" w:rsidRPr="00552ED8" w:rsidRDefault="007C4261" w:rsidP="00B00220">
      <w:pPr>
        <w:rPr>
          <w:lang w:val="ru-RU"/>
        </w:rPr>
      </w:pPr>
      <w:r w:rsidRPr="00552ED8">
        <w:rPr>
          <w:lang w:val="ru-RU"/>
        </w:rPr>
        <w:t>1.6</w:t>
      </w:r>
      <w:r w:rsidRPr="00552ED8">
        <w:rPr>
          <w:lang w:val="ru-RU"/>
        </w:rPr>
        <w:tab/>
      </w:r>
      <w:r w:rsidR="00B00220" w:rsidRPr="00552ED8">
        <w:rPr>
          <w:lang w:val="ru-RU"/>
        </w:rPr>
        <w:t xml:space="preserve">Предложение </w:t>
      </w:r>
      <w:r w:rsidR="00B00220" w:rsidRPr="00552ED8">
        <w:rPr>
          <w:b/>
          <w:bCs/>
          <w:lang w:val="ru-RU"/>
        </w:rPr>
        <w:t>принимается</w:t>
      </w:r>
      <w:r w:rsidRPr="00552ED8">
        <w:rPr>
          <w:lang w:val="ru-RU"/>
        </w:rPr>
        <w:t xml:space="preserve">. </w:t>
      </w:r>
    </w:p>
    <w:p w:rsidR="007C4261" w:rsidRPr="00552ED8" w:rsidRDefault="007C4261" w:rsidP="005F693C">
      <w:pPr>
        <w:pStyle w:val="Heading1"/>
        <w:rPr>
          <w:szCs w:val="26"/>
          <w:lang w:val="ru-RU"/>
        </w:rPr>
      </w:pPr>
      <w:r w:rsidRPr="00552ED8">
        <w:rPr>
          <w:szCs w:val="26"/>
          <w:lang w:val="ru-RU"/>
        </w:rPr>
        <w:t>2</w:t>
      </w:r>
      <w:r w:rsidRPr="00552ED8">
        <w:rPr>
          <w:szCs w:val="26"/>
          <w:lang w:val="ru-RU"/>
        </w:rPr>
        <w:tab/>
      </w:r>
      <w:r w:rsidR="008E1DCF" w:rsidRPr="00552ED8">
        <w:rPr>
          <w:szCs w:val="26"/>
          <w:lang w:val="ru-RU"/>
        </w:rPr>
        <w:t xml:space="preserve">Деятельность </w:t>
      </w:r>
      <w:r w:rsidR="00812713" w:rsidRPr="00552ED8">
        <w:rPr>
          <w:szCs w:val="26"/>
          <w:lang w:val="ru-RU"/>
        </w:rPr>
        <w:t>в области гендерного равенства</w:t>
      </w:r>
      <w:r w:rsidRPr="00552ED8">
        <w:rPr>
          <w:szCs w:val="26"/>
          <w:lang w:val="ru-RU"/>
        </w:rPr>
        <w:t xml:space="preserve"> (</w:t>
      </w:r>
      <w:r w:rsidR="008E1DCF" w:rsidRPr="00552ED8">
        <w:rPr>
          <w:szCs w:val="26"/>
          <w:lang w:val="ru-RU"/>
        </w:rPr>
        <w:t>Документ</w:t>
      </w:r>
      <w:r w:rsidR="00812713" w:rsidRPr="00552ED8">
        <w:rPr>
          <w:szCs w:val="26"/>
          <w:lang w:val="ru-RU"/>
        </w:rPr>
        <w:t>ы</w:t>
      </w:r>
      <w:r w:rsidRPr="00552ED8">
        <w:rPr>
          <w:szCs w:val="26"/>
          <w:lang w:val="ru-RU"/>
        </w:rPr>
        <w:t xml:space="preserve"> </w:t>
      </w:r>
      <w:hyperlink r:id="rId21" w:history="1">
        <w:r w:rsidR="00812713" w:rsidRPr="00552ED8">
          <w:rPr>
            <w:rStyle w:val="Hyperlink"/>
            <w:rFonts w:asciiTheme="minorHAnsi" w:hAnsiTheme="minorHAnsi"/>
            <w:szCs w:val="26"/>
            <w:lang w:val="ru-RU"/>
          </w:rPr>
          <w:t>C18/6</w:t>
        </w:r>
      </w:hyperlink>
      <w:r w:rsidR="00812713" w:rsidRPr="00552ED8">
        <w:rPr>
          <w:rFonts w:asciiTheme="minorHAnsi" w:hAnsiTheme="minorHAnsi"/>
          <w:szCs w:val="26"/>
          <w:lang w:val="ru-RU"/>
        </w:rPr>
        <w:t xml:space="preserve">, </w:t>
      </w:r>
      <w:hyperlink r:id="rId22" w:history="1">
        <w:r w:rsidR="00812713" w:rsidRPr="00552ED8">
          <w:rPr>
            <w:rStyle w:val="Hyperlink"/>
            <w:rFonts w:asciiTheme="minorHAnsi" w:hAnsiTheme="minorHAnsi"/>
            <w:szCs w:val="26"/>
            <w:lang w:val="ru-RU"/>
          </w:rPr>
          <w:t>C18/13</w:t>
        </w:r>
      </w:hyperlink>
      <w:r w:rsidR="00812713" w:rsidRPr="00552ED8">
        <w:rPr>
          <w:rFonts w:asciiTheme="minorHAnsi" w:hAnsiTheme="minorHAnsi"/>
          <w:szCs w:val="26"/>
          <w:lang w:val="ru-RU"/>
        </w:rPr>
        <w:t xml:space="preserve"> и </w:t>
      </w:r>
      <w:hyperlink r:id="rId23" w:history="1">
        <w:r w:rsidR="00812713" w:rsidRPr="00552ED8">
          <w:rPr>
            <w:rStyle w:val="Hyperlink"/>
            <w:rFonts w:asciiTheme="minorHAnsi" w:hAnsiTheme="minorHAnsi"/>
            <w:szCs w:val="26"/>
            <w:lang w:val="ru-RU"/>
          </w:rPr>
          <w:t>C18/63</w:t>
        </w:r>
      </w:hyperlink>
      <w:r w:rsidRPr="00552ED8">
        <w:rPr>
          <w:szCs w:val="26"/>
          <w:lang w:val="ru-RU"/>
        </w:rPr>
        <w:t>)</w:t>
      </w:r>
    </w:p>
    <w:p w:rsidR="007C4261" w:rsidRPr="00552ED8" w:rsidRDefault="007C4261" w:rsidP="00DA7095">
      <w:pPr>
        <w:rPr>
          <w:lang w:val="ru-RU"/>
        </w:rPr>
      </w:pPr>
      <w:r w:rsidRPr="00552ED8">
        <w:rPr>
          <w:lang w:val="ru-RU"/>
        </w:rPr>
        <w:t>2.1</w:t>
      </w:r>
      <w:r w:rsidRPr="00552ED8">
        <w:rPr>
          <w:lang w:val="ru-RU"/>
        </w:rPr>
        <w:tab/>
      </w:r>
      <w:r w:rsidR="00812713" w:rsidRPr="00552ED8">
        <w:rPr>
          <w:color w:val="000000"/>
          <w:lang w:val="ru-RU"/>
        </w:rPr>
        <w:t xml:space="preserve">Руководитель Департамента по стратегическому планированию и связям с членами </w:t>
      </w:r>
      <w:r w:rsidR="00812713" w:rsidRPr="00552ED8">
        <w:rPr>
          <w:rFonts w:asciiTheme="minorHAnsi" w:hAnsiTheme="minorHAnsi"/>
          <w:szCs w:val="24"/>
          <w:lang w:val="ru-RU"/>
        </w:rPr>
        <w:t xml:space="preserve">(SPM) представляет отчет о деятельности МСЭ в связи с Резолюцией 70 (Пересм. Пусан, 2014 г.), содержащийся в Документе C18/6, и отчет о предлагаемом плане </w:t>
      </w:r>
      <w:r w:rsidR="00DA7095" w:rsidRPr="00552ED8">
        <w:rPr>
          <w:rFonts w:asciiTheme="minorHAnsi" w:hAnsiTheme="minorHAnsi"/>
          <w:szCs w:val="24"/>
          <w:lang w:val="ru-RU"/>
        </w:rPr>
        <w:t xml:space="preserve">реализации </w:t>
      </w:r>
      <w:r w:rsidR="00812713" w:rsidRPr="00552ED8">
        <w:rPr>
          <w:rFonts w:asciiTheme="minorHAnsi" w:hAnsiTheme="minorHAnsi"/>
          <w:szCs w:val="24"/>
          <w:lang w:val="ru-RU"/>
        </w:rPr>
        <w:t>политики МСЭ в области гендерного равенства и учета гендерных аспектов (GEM)</w:t>
      </w:r>
      <w:r w:rsidR="00F50D96" w:rsidRPr="00552ED8">
        <w:rPr>
          <w:rFonts w:asciiTheme="minorHAnsi" w:hAnsiTheme="minorHAnsi"/>
          <w:szCs w:val="24"/>
          <w:lang w:val="ru-RU"/>
        </w:rPr>
        <w:t xml:space="preserve"> на 2018 год</w:t>
      </w:r>
      <w:r w:rsidR="00812713" w:rsidRPr="00552ED8">
        <w:rPr>
          <w:rFonts w:asciiTheme="minorHAnsi" w:hAnsiTheme="minorHAnsi"/>
          <w:szCs w:val="24"/>
          <w:lang w:val="ru-RU"/>
        </w:rPr>
        <w:t>, содержащийся в Документе C18/13</w:t>
      </w:r>
      <w:r w:rsidR="00DA7095" w:rsidRPr="00552ED8">
        <w:rPr>
          <w:rFonts w:asciiTheme="minorHAnsi" w:hAnsiTheme="minorHAnsi"/>
          <w:szCs w:val="24"/>
          <w:lang w:val="ru-RU"/>
        </w:rPr>
        <w:t xml:space="preserve">. Как и ранее, план реализации был подготовлен в соответствии с показателями деятельности </w:t>
      </w:r>
      <w:r w:rsidR="00DA7095" w:rsidRPr="00552ED8">
        <w:rPr>
          <w:rFonts w:asciiTheme="minorHAnsi" w:hAnsiTheme="minorHAnsi" w:cstheme="minorHAnsi"/>
          <w:szCs w:val="22"/>
          <w:lang w:val="ru-RU"/>
        </w:rPr>
        <w:t>Общесистемного плана действий Организации Объединенных Наций по вопросам гендерного равенства и расширения прав и возможностей женщин (UN-SWAP)</w:t>
      </w:r>
      <w:r w:rsidRPr="00552ED8">
        <w:rPr>
          <w:lang w:val="ru-RU"/>
        </w:rPr>
        <w:t>.</w:t>
      </w:r>
    </w:p>
    <w:p w:rsidR="007C4261" w:rsidRPr="00552ED8" w:rsidRDefault="007C4261" w:rsidP="005F693C">
      <w:pPr>
        <w:rPr>
          <w:lang w:val="ru-RU"/>
        </w:rPr>
      </w:pPr>
      <w:r w:rsidRPr="00552ED8">
        <w:rPr>
          <w:lang w:val="ru-RU"/>
        </w:rPr>
        <w:t>2.2</w:t>
      </w:r>
      <w:r w:rsidRPr="00552ED8">
        <w:rPr>
          <w:lang w:val="ru-RU"/>
        </w:rPr>
        <w:tab/>
      </w:r>
      <w:r w:rsidR="00DA7095" w:rsidRPr="00552ED8">
        <w:rPr>
          <w:lang w:val="ru-RU"/>
        </w:rPr>
        <w:t xml:space="preserve">Советники высоко оценивают оба отчета, которые посвящены </w:t>
      </w:r>
      <w:r w:rsidR="00F50D96" w:rsidRPr="00552ED8">
        <w:rPr>
          <w:lang w:val="ru-RU"/>
        </w:rPr>
        <w:t xml:space="preserve">крайне </w:t>
      </w:r>
      <w:r w:rsidR="00DA7095" w:rsidRPr="00552ED8">
        <w:rPr>
          <w:lang w:val="ru-RU"/>
        </w:rPr>
        <w:t>важной теме. Гендерное равенство и преодоление гендерного</w:t>
      </w:r>
      <w:r w:rsidR="005F693C" w:rsidRPr="00552ED8">
        <w:rPr>
          <w:lang w:val="ru-RU"/>
        </w:rPr>
        <w:t xml:space="preserve"> цифрового</w:t>
      </w:r>
      <w:r w:rsidR="00DA7095" w:rsidRPr="00552ED8">
        <w:rPr>
          <w:lang w:val="ru-RU"/>
        </w:rPr>
        <w:t xml:space="preserve"> разрыва имеют решающее значение; уровень представленности женщин в секторе ИКТ остается низким. МСЭ следует продолжать свои усилия, направленные на восстановление гендерной сбалансированности, в том числе при назначении должностных лиц высокого уровня</w:t>
      </w:r>
      <w:r w:rsidRPr="00552ED8">
        <w:rPr>
          <w:lang w:val="ru-RU"/>
        </w:rPr>
        <w:t xml:space="preserve">. </w:t>
      </w:r>
      <w:r w:rsidR="00DA7095" w:rsidRPr="00552ED8">
        <w:rPr>
          <w:lang w:val="ru-RU"/>
        </w:rPr>
        <w:t xml:space="preserve">В отношении </w:t>
      </w:r>
      <w:r w:rsidR="00DA7095" w:rsidRPr="00552ED8">
        <w:rPr>
          <w:rFonts w:asciiTheme="minorHAnsi" w:hAnsiTheme="minorHAnsi"/>
          <w:szCs w:val="24"/>
          <w:lang w:val="ru-RU"/>
        </w:rPr>
        <w:t xml:space="preserve">GEM МСЭ следует обеспечить выделение надлежащих бюджетных средств для содействия ее полномерной реализации. Для расширения участия женщин в работе МСЭ Государствам-Членам необходимо включать больше женщин в свои делегации и представлять их кандидатуры на руководящие должности, а также для избрания в качестве должностных лиц. Ряд </w:t>
      </w:r>
      <w:r w:rsidR="005F693C" w:rsidRPr="00552ED8">
        <w:rPr>
          <w:rFonts w:asciiTheme="minorHAnsi" w:hAnsiTheme="minorHAnsi"/>
          <w:szCs w:val="24"/>
          <w:lang w:val="ru-RU"/>
        </w:rPr>
        <w:t xml:space="preserve">советников </w:t>
      </w:r>
      <w:r w:rsidR="00DA7095" w:rsidRPr="00552ED8">
        <w:rPr>
          <w:rFonts w:asciiTheme="minorHAnsi" w:hAnsiTheme="minorHAnsi"/>
          <w:szCs w:val="24"/>
          <w:lang w:val="ru-RU"/>
        </w:rPr>
        <w:t>представляют примеры своей деятельности, в частности в рамках празднования Международного дня "Девушки в ИКТ", а также успехи в области преодоления гендерного цифрового разрыва и содействия участию женщин в секторе ИКТ на национальном уровне. Один</w:t>
      </w:r>
      <w:r w:rsidR="005F693C" w:rsidRPr="00552ED8">
        <w:rPr>
          <w:rFonts w:asciiTheme="minorHAnsi" w:hAnsiTheme="minorHAnsi"/>
          <w:szCs w:val="24"/>
          <w:lang w:val="ru-RU"/>
        </w:rPr>
        <w:t xml:space="preserve"> из </w:t>
      </w:r>
      <w:r w:rsidR="00DA7095" w:rsidRPr="00552ED8">
        <w:rPr>
          <w:rFonts w:asciiTheme="minorHAnsi" w:hAnsiTheme="minorHAnsi"/>
          <w:szCs w:val="24"/>
          <w:lang w:val="ru-RU"/>
        </w:rPr>
        <w:t>советник</w:t>
      </w:r>
      <w:r w:rsidR="005F693C" w:rsidRPr="00552ED8">
        <w:rPr>
          <w:rFonts w:asciiTheme="minorHAnsi" w:hAnsiTheme="minorHAnsi"/>
          <w:szCs w:val="24"/>
          <w:lang w:val="ru-RU"/>
        </w:rPr>
        <w:t>ов</w:t>
      </w:r>
      <w:r w:rsidR="00DA7095" w:rsidRPr="00552ED8">
        <w:rPr>
          <w:rFonts w:asciiTheme="minorHAnsi" w:hAnsiTheme="minorHAnsi"/>
          <w:szCs w:val="24"/>
          <w:lang w:val="ru-RU"/>
        </w:rPr>
        <w:t xml:space="preserve"> отмечает, что предлагаемый план реализации GEM</w:t>
      </w:r>
      <w:r w:rsidR="004B2FBA" w:rsidRPr="00552ED8">
        <w:rPr>
          <w:rFonts w:asciiTheme="minorHAnsi" w:hAnsiTheme="minorHAnsi"/>
          <w:szCs w:val="24"/>
          <w:lang w:val="ru-RU"/>
        </w:rPr>
        <w:t xml:space="preserve"> на 2018 год связан с проектом Стратегии МСЭ в области гендерного паритета, содержащейся в Документе C18/63, поэтому эти два документа следует рассматривать вместе, особенно с учетом соответствующих сроков.</w:t>
      </w:r>
    </w:p>
    <w:p w:rsidR="007C4261" w:rsidRPr="00552ED8" w:rsidRDefault="007C4261" w:rsidP="005F693C">
      <w:pPr>
        <w:rPr>
          <w:lang w:val="ru-RU"/>
        </w:rPr>
      </w:pPr>
      <w:r w:rsidRPr="00552ED8">
        <w:rPr>
          <w:lang w:val="ru-RU"/>
        </w:rPr>
        <w:t>2.3</w:t>
      </w:r>
      <w:r w:rsidRPr="00552ED8">
        <w:rPr>
          <w:lang w:val="ru-RU"/>
        </w:rPr>
        <w:tab/>
      </w:r>
      <w:r w:rsidR="004B2FBA" w:rsidRPr="00552ED8">
        <w:rPr>
          <w:lang w:val="ru-RU"/>
        </w:rPr>
        <w:t xml:space="preserve">Директор БРЭ говорит, что в соответствии с Резолюцией 70 (Пересм. Пусан, 2014 г.) Международный день "Девушки в ИКТ" будет отмечаться 26 апреля 2018 года. </w:t>
      </w:r>
      <w:r w:rsidR="006D73DC" w:rsidRPr="00552ED8">
        <w:rPr>
          <w:lang w:val="ru-RU"/>
        </w:rPr>
        <w:t>Усилия, направленные на популяризацию этого мероприятия и расширение участия в нем, приносят результаты</w:t>
      </w:r>
      <w:r w:rsidR="005F693C" w:rsidRPr="00552ED8">
        <w:rPr>
          <w:lang w:val="ru-RU"/>
        </w:rPr>
        <w:t>;</w:t>
      </w:r>
      <w:r w:rsidR="006D73DC" w:rsidRPr="00552ED8">
        <w:rPr>
          <w:lang w:val="ru-RU"/>
        </w:rPr>
        <w:t xml:space="preserve"> </w:t>
      </w:r>
      <w:r w:rsidR="002C44BE" w:rsidRPr="00552ED8">
        <w:rPr>
          <w:lang w:val="ru-RU"/>
        </w:rPr>
        <w:t>ожидается</w:t>
      </w:r>
      <w:r w:rsidR="006D73DC" w:rsidRPr="00552ED8">
        <w:rPr>
          <w:lang w:val="ru-RU"/>
        </w:rPr>
        <w:t xml:space="preserve">, что одна из участниц </w:t>
      </w:r>
      <w:r w:rsidR="00F50D96" w:rsidRPr="00552ED8">
        <w:rPr>
          <w:lang w:val="ru-RU"/>
        </w:rPr>
        <w:t xml:space="preserve">проводимого в этом году </w:t>
      </w:r>
      <w:r w:rsidR="006D73DC" w:rsidRPr="00552ED8">
        <w:rPr>
          <w:lang w:val="ru-RU"/>
        </w:rPr>
        <w:t xml:space="preserve">мероприятия выступит перед Советом. Следующая задача состоит в </w:t>
      </w:r>
      <w:r w:rsidR="00F50D96" w:rsidRPr="00552ED8">
        <w:rPr>
          <w:lang w:val="ru-RU"/>
        </w:rPr>
        <w:t xml:space="preserve">обеспечении того, чтобы этому вопросу уделялось </w:t>
      </w:r>
      <w:r w:rsidR="006D73DC" w:rsidRPr="00552ED8">
        <w:rPr>
          <w:lang w:val="ru-RU"/>
        </w:rPr>
        <w:t xml:space="preserve">должное внимание на протяжении всего года, а не только в один </w:t>
      </w:r>
      <w:r w:rsidR="00F50D96" w:rsidRPr="00552ED8">
        <w:rPr>
          <w:lang w:val="ru-RU"/>
        </w:rPr>
        <w:t xml:space="preserve">этот </w:t>
      </w:r>
      <w:r w:rsidR="006D73DC" w:rsidRPr="00552ED8">
        <w:rPr>
          <w:lang w:val="ru-RU"/>
        </w:rPr>
        <w:t>день</w:t>
      </w:r>
      <w:r w:rsidRPr="00552ED8">
        <w:rPr>
          <w:lang w:val="ru-RU"/>
        </w:rPr>
        <w:t xml:space="preserve">. </w:t>
      </w:r>
    </w:p>
    <w:p w:rsidR="007C4261" w:rsidRPr="00552ED8" w:rsidRDefault="007C4261" w:rsidP="00402FF0">
      <w:pPr>
        <w:rPr>
          <w:lang w:val="ru-RU"/>
        </w:rPr>
      </w:pPr>
      <w:r w:rsidRPr="00552ED8">
        <w:rPr>
          <w:lang w:val="ru-RU"/>
        </w:rPr>
        <w:t>2.4</w:t>
      </w:r>
      <w:r w:rsidRPr="00552ED8">
        <w:rPr>
          <w:lang w:val="ru-RU"/>
        </w:rPr>
        <w:tab/>
      </w:r>
      <w:r w:rsidR="006D73DC" w:rsidRPr="00552ED8">
        <w:rPr>
          <w:lang w:val="ru-RU"/>
        </w:rPr>
        <w:t>Председатель говорит, что широкое участие в обсуждении свидетельствует о важном значении гендерного равенства и участия женщин</w:t>
      </w:r>
      <w:r w:rsidRPr="00552ED8">
        <w:rPr>
          <w:lang w:val="ru-RU"/>
        </w:rPr>
        <w:t>.</w:t>
      </w:r>
      <w:r w:rsidR="00141083" w:rsidRPr="00552ED8">
        <w:rPr>
          <w:lang w:val="ru-RU"/>
        </w:rPr>
        <w:t xml:space="preserve"> Он предлагает Совету принять к сведению Документ </w:t>
      </w:r>
      <w:r w:rsidR="00141083" w:rsidRPr="00552ED8">
        <w:rPr>
          <w:rFonts w:asciiTheme="minorHAnsi" w:hAnsiTheme="minorHAnsi"/>
          <w:szCs w:val="24"/>
          <w:lang w:val="ru-RU"/>
        </w:rPr>
        <w:t>C18/6 и обозначить свою позицию по содержащемуся в Документе C18/13 предлагаемому плану реализации GEM с учетом рассмотрения проекта Стратегии в области гендерного паритета, представленно</w:t>
      </w:r>
      <w:r w:rsidR="00402FF0" w:rsidRPr="00552ED8">
        <w:rPr>
          <w:rFonts w:asciiTheme="minorHAnsi" w:hAnsiTheme="minorHAnsi"/>
          <w:szCs w:val="24"/>
          <w:lang w:val="ru-RU"/>
        </w:rPr>
        <w:t>го</w:t>
      </w:r>
      <w:r w:rsidR="00141083" w:rsidRPr="00552ED8">
        <w:rPr>
          <w:rFonts w:asciiTheme="minorHAnsi" w:hAnsiTheme="minorHAnsi"/>
          <w:szCs w:val="24"/>
          <w:lang w:val="ru-RU"/>
        </w:rPr>
        <w:t xml:space="preserve"> в Документе C18/63.</w:t>
      </w:r>
    </w:p>
    <w:p w:rsidR="007C4261" w:rsidRPr="00552ED8" w:rsidRDefault="007C4261" w:rsidP="00141083">
      <w:pPr>
        <w:rPr>
          <w:lang w:val="ru-RU"/>
        </w:rPr>
      </w:pPr>
      <w:r w:rsidRPr="00552ED8">
        <w:rPr>
          <w:lang w:val="ru-RU"/>
        </w:rPr>
        <w:t>2.5</w:t>
      </w:r>
      <w:r w:rsidRPr="00552ED8">
        <w:rPr>
          <w:lang w:val="ru-RU"/>
        </w:rPr>
        <w:tab/>
      </w:r>
      <w:r w:rsidR="00141083" w:rsidRPr="00552ED8">
        <w:rPr>
          <w:lang w:val="ru-RU"/>
        </w:rPr>
        <w:t xml:space="preserve">Предложение </w:t>
      </w:r>
      <w:r w:rsidR="00141083" w:rsidRPr="00552ED8">
        <w:rPr>
          <w:b/>
          <w:bCs/>
          <w:lang w:val="ru-RU"/>
        </w:rPr>
        <w:t>принимается</w:t>
      </w:r>
      <w:r w:rsidRPr="00552ED8">
        <w:rPr>
          <w:lang w:val="ru-RU"/>
        </w:rPr>
        <w:t>.</w:t>
      </w:r>
    </w:p>
    <w:p w:rsidR="007C4261" w:rsidRPr="00552ED8" w:rsidRDefault="007C4261" w:rsidP="00552ED8">
      <w:pPr>
        <w:rPr>
          <w:lang w:val="ru-RU"/>
        </w:rPr>
      </w:pPr>
      <w:r w:rsidRPr="00552ED8">
        <w:rPr>
          <w:lang w:val="ru-RU"/>
        </w:rPr>
        <w:t>2.6</w:t>
      </w:r>
      <w:r w:rsidRPr="00552ED8">
        <w:rPr>
          <w:lang w:val="ru-RU"/>
        </w:rPr>
        <w:tab/>
      </w:r>
      <w:r w:rsidR="00141083" w:rsidRPr="00552ED8">
        <w:rPr>
          <w:lang w:val="ru-RU"/>
        </w:rPr>
        <w:t xml:space="preserve">Руководитель </w:t>
      </w:r>
      <w:r w:rsidR="00141083" w:rsidRPr="00552ED8">
        <w:rPr>
          <w:rFonts w:asciiTheme="minorHAnsi" w:hAnsiTheme="minorHAnsi"/>
          <w:szCs w:val="24"/>
          <w:lang w:val="ru-RU"/>
        </w:rPr>
        <w:t>SPM, представляя Документ C18/63, посвященный Стратегии МСЭ в области гендерного паритета, обращает также внимание на Документ C18/INF/3, содержащий сопроводительную записку Генерального секретаря к письму UN-SWAP</w:t>
      </w:r>
      <w:r w:rsidR="00552ED8" w:rsidRPr="00552ED8">
        <w:rPr>
          <w:rFonts w:asciiTheme="minorHAnsi" w:hAnsiTheme="minorHAnsi"/>
          <w:szCs w:val="24"/>
          <w:lang w:val="ru-RU"/>
        </w:rPr>
        <w:t>, а также на Документ </w:t>
      </w:r>
      <w:r w:rsidR="00141083" w:rsidRPr="00552ED8">
        <w:rPr>
          <w:rFonts w:asciiTheme="minorHAnsi" w:hAnsiTheme="minorHAnsi"/>
          <w:szCs w:val="24"/>
          <w:lang w:val="ru-RU"/>
        </w:rPr>
        <w:t>C18/INF/5</w:t>
      </w:r>
      <w:r w:rsidR="00E376A6" w:rsidRPr="00552ED8">
        <w:rPr>
          <w:rFonts w:asciiTheme="minorHAnsi" w:hAnsiTheme="minorHAnsi"/>
          <w:szCs w:val="24"/>
          <w:lang w:val="ru-RU"/>
        </w:rPr>
        <w:t xml:space="preserve"> о представлении</w:t>
      </w:r>
      <w:r w:rsidR="00141083" w:rsidRPr="00552ED8">
        <w:rPr>
          <w:rFonts w:asciiTheme="minorHAnsi" w:hAnsiTheme="minorHAnsi"/>
          <w:szCs w:val="24"/>
          <w:lang w:val="ru-RU"/>
        </w:rPr>
        <w:t xml:space="preserve"> отчетности </w:t>
      </w:r>
      <w:r w:rsidR="00E376A6" w:rsidRPr="00552ED8">
        <w:rPr>
          <w:rFonts w:asciiTheme="minorHAnsi" w:hAnsiTheme="minorHAnsi"/>
          <w:szCs w:val="24"/>
          <w:lang w:val="ru-RU"/>
        </w:rPr>
        <w:t>и статистических данных</w:t>
      </w:r>
      <w:r w:rsidR="00141083" w:rsidRPr="00552ED8">
        <w:rPr>
          <w:rFonts w:asciiTheme="minorHAnsi" w:hAnsiTheme="minorHAnsi"/>
          <w:szCs w:val="24"/>
          <w:lang w:val="ru-RU"/>
        </w:rPr>
        <w:t xml:space="preserve"> по людским ресурсам для Союза. Ссылаясь на п. 3 Документа C18/63</w:t>
      </w:r>
      <w:r w:rsidR="00160E84" w:rsidRPr="00552ED8">
        <w:rPr>
          <w:rFonts w:asciiTheme="minorHAnsi" w:hAnsiTheme="minorHAnsi"/>
          <w:szCs w:val="24"/>
          <w:lang w:val="ru-RU"/>
        </w:rPr>
        <w:t>,</w:t>
      </w:r>
      <w:r w:rsidR="00141083" w:rsidRPr="00552ED8">
        <w:rPr>
          <w:rFonts w:asciiTheme="minorHAnsi" w:hAnsiTheme="minorHAnsi"/>
          <w:szCs w:val="24"/>
          <w:lang w:val="ru-RU"/>
        </w:rPr>
        <w:t xml:space="preserve"> она поясняет, что возможные сроки достижения гендерного паритета среди сотрудников категорий специалистов и старших советников были рассчитаны на основе предположения о том, что должности будут заполняться только по мере их освобождения в связи с выходом сотрудников на пенсию</w:t>
      </w:r>
      <w:r w:rsidRPr="00552ED8">
        <w:rPr>
          <w:lang w:val="ru-RU"/>
        </w:rPr>
        <w:t>.</w:t>
      </w:r>
      <w:r w:rsidR="00141083" w:rsidRPr="00552ED8">
        <w:rPr>
          <w:lang w:val="ru-RU"/>
        </w:rPr>
        <w:t xml:space="preserve"> Она также поясняет, что Совету предлагается </w:t>
      </w:r>
      <w:r w:rsidR="00E376A6" w:rsidRPr="00552ED8">
        <w:rPr>
          <w:lang w:val="ru-RU"/>
        </w:rPr>
        <w:t>одобрить конкретные рекомендации, содержащиеся в пп. 4</w:t>
      </w:r>
      <w:r w:rsidR="00552ED8" w:rsidRPr="00552ED8">
        <w:rPr>
          <w:lang w:val="ru-RU"/>
        </w:rPr>
        <w:t>−</w:t>
      </w:r>
      <w:r w:rsidR="00E376A6" w:rsidRPr="00552ED8">
        <w:rPr>
          <w:lang w:val="ru-RU"/>
        </w:rPr>
        <w:t>6 данного документа, а не всю стратегию в области гендерного паритета в целом.</w:t>
      </w:r>
    </w:p>
    <w:p w:rsidR="007C4261" w:rsidRPr="00552ED8" w:rsidRDefault="007C4261" w:rsidP="005F693C">
      <w:pPr>
        <w:rPr>
          <w:lang w:val="ru-RU"/>
        </w:rPr>
      </w:pPr>
      <w:r w:rsidRPr="00552ED8">
        <w:rPr>
          <w:lang w:val="ru-RU"/>
        </w:rPr>
        <w:t>2.7</w:t>
      </w:r>
      <w:r w:rsidRPr="00552ED8">
        <w:rPr>
          <w:lang w:val="ru-RU"/>
        </w:rPr>
        <w:tab/>
      </w:r>
      <w:r w:rsidR="00E376A6" w:rsidRPr="00552ED8">
        <w:rPr>
          <w:lang w:val="ru-RU"/>
        </w:rPr>
        <w:t xml:space="preserve">В целом одобряя усилия Союза и секретариата, направленные на поощрение гендерного равенства в ИКТ и достижение гендерного паритета среди сотрудников Союза, </w:t>
      </w:r>
      <w:r w:rsidR="00552ED8" w:rsidRPr="00552ED8">
        <w:rPr>
          <w:lang w:val="ru-RU"/>
        </w:rPr>
        <w:t xml:space="preserve">советники </w:t>
      </w:r>
      <w:r w:rsidR="00E376A6" w:rsidRPr="00552ED8">
        <w:rPr>
          <w:lang w:val="ru-RU"/>
        </w:rPr>
        <w:t>отмечают, что</w:t>
      </w:r>
      <w:r w:rsidR="00160E84" w:rsidRPr="00552ED8">
        <w:rPr>
          <w:lang w:val="ru-RU"/>
        </w:rPr>
        <w:t xml:space="preserve"> требуются дополнительные усилия</w:t>
      </w:r>
      <w:r w:rsidR="00E376A6" w:rsidRPr="00552ED8">
        <w:rPr>
          <w:lang w:val="ru-RU"/>
        </w:rPr>
        <w:t xml:space="preserve">. Вне зависимости от того, можно ли обосновать нарушение равновесия в пользу женщин среди сотрудников категории общего обслуживания и в пользу мужчин среди сотрудников категории специалистов внешними факторами, положение дел следует исправлять. Достижение гендерного паритета должно рассматриваться в качестве приоритетной задачи, решение которой не должно блокироваться процедурными средствами. Многие Государства-Члены взяли на себя правовые обязательства по принятию мер в этом отношении в соответствии с Конвенцией Организации Объединенных Наций о ликвидации всех форм дискриминации в отношении женщин и другими международно-правовыми документами. Содержащиеся в Документе </w:t>
      </w:r>
      <w:r w:rsidR="00E376A6" w:rsidRPr="00552ED8">
        <w:rPr>
          <w:rFonts w:asciiTheme="minorHAnsi" w:hAnsiTheme="minorHAnsi"/>
          <w:szCs w:val="24"/>
          <w:lang w:val="ru-RU"/>
        </w:rPr>
        <w:t xml:space="preserve">C18/63 рекомендации получают широкую поддержку, </w:t>
      </w:r>
      <w:r w:rsidR="00CC0141" w:rsidRPr="00552ED8">
        <w:rPr>
          <w:rFonts w:asciiTheme="minorHAnsi" w:hAnsiTheme="minorHAnsi"/>
          <w:szCs w:val="24"/>
          <w:lang w:val="ru-RU"/>
        </w:rPr>
        <w:t xml:space="preserve">однако ряд </w:t>
      </w:r>
      <w:r w:rsidR="00552ED8" w:rsidRPr="00552ED8">
        <w:rPr>
          <w:rFonts w:asciiTheme="minorHAnsi" w:hAnsiTheme="minorHAnsi"/>
          <w:szCs w:val="24"/>
          <w:lang w:val="ru-RU"/>
        </w:rPr>
        <w:t xml:space="preserve">советников </w:t>
      </w:r>
      <w:r w:rsidR="00CC0141" w:rsidRPr="00552ED8">
        <w:rPr>
          <w:rFonts w:asciiTheme="minorHAnsi" w:hAnsiTheme="minorHAnsi"/>
          <w:szCs w:val="24"/>
          <w:lang w:val="ru-RU"/>
        </w:rPr>
        <w:t xml:space="preserve">полагают, что </w:t>
      </w:r>
      <w:r w:rsidR="00160E84" w:rsidRPr="00552ED8">
        <w:rPr>
          <w:rFonts w:asciiTheme="minorHAnsi" w:hAnsiTheme="minorHAnsi"/>
          <w:szCs w:val="24"/>
          <w:lang w:val="ru-RU"/>
        </w:rPr>
        <w:t xml:space="preserve">перед одобрением их </w:t>
      </w:r>
      <w:r w:rsidR="00CC0141" w:rsidRPr="00552ED8">
        <w:rPr>
          <w:rFonts w:asciiTheme="minorHAnsi" w:hAnsiTheme="minorHAnsi"/>
          <w:szCs w:val="24"/>
          <w:lang w:val="ru-RU"/>
        </w:rPr>
        <w:t xml:space="preserve">следует доработать. Один из </w:t>
      </w:r>
      <w:r w:rsidR="00552ED8" w:rsidRPr="00552ED8">
        <w:rPr>
          <w:rFonts w:asciiTheme="minorHAnsi" w:hAnsiTheme="minorHAnsi"/>
          <w:szCs w:val="24"/>
          <w:lang w:val="ru-RU"/>
        </w:rPr>
        <w:t xml:space="preserve">советников </w:t>
      </w:r>
      <w:r w:rsidR="00CC0141" w:rsidRPr="00552ED8">
        <w:rPr>
          <w:rFonts w:asciiTheme="minorHAnsi" w:hAnsiTheme="minorHAnsi"/>
          <w:szCs w:val="24"/>
          <w:lang w:val="ru-RU"/>
        </w:rPr>
        <w:t xml:space="preserve">просит представить разъяснения по некоторым данным, приведенным в документе; другие </w:t>
      </w:r>
      <w:r w:rsidR="00552ED8" w:rsidRPr="00552ED8">
        <w:rPr>
          <w:rFonts w:asciiTheme="minorHAnsi" w:hAnsiTheme="minorHAnsi"/>
          <w:szCs w:val="24"/>
          <w:lang w:val="ru-RU"/>
        </w:rPr>
        <w:t xml:space="preserve">советники </w:t>
      </w:r>
      <w:r w:rsidR="00CC0141" w:rsidRPr="00552ED8">
        <w:rPr>
          <w:rFonts w:asciiTheme="minorHAnsi" w:hAnsiTheme="minorHAnsi"/>
          <w:szCs w:val="24"/>
          <w:lang w:val="ru-RU"/>
        </w:rPr>
        <w:t xml:space="preserve">выражают обеспокоенность относительно </w:t>
      </w:r>
      <w:r w:rsidR="00160E84" w:rsidRPr="00552ED8">
        <w:rPr>
          <w:rFonts w:asciiTheme="minorHAnsi" w:hAnsiTheme="minorHAnsi"/>
          <w:szCs w:val="24"/>
          <w:lang w:val="ru-RU"/>
        </w:rPr>
        <w:t xml:space="preserve">того, что </w:t>
      </w:r>
      <w:r w:rsidR="00CC0141" w:rsidRPr="00552ED8">
        <w:rPr>
          <w:rFonts w:asciiTheme="minorHAnsi" w:hAnsiTheme="minorHAnsi"/>
          <w:szCs w:val="24"/>
          <w:lang w:val="ru-RU"/>
        </w:rPr>
        <w:t xml:space="preserve">в Приложении 3 к данному документу </w:t>
      </w:r>
      <w:r w:rsidR="00160E84" w:rsidRPr="00552ED8">
        <w:rPr>
          <w:rFonts w:asciiTheme="minorHAnsi" w:hAnsiTheme="minorHAnsi"/>
          <w:szCs w:val="24"/>
          <w:lang w:val="ru-RU"/>
        </w:rPr>
        <w:t xml:space="preserve">очевидно предлагается внести </w:t>
      </w:r>
      <w:r w:rsidR="00CC0141" w:rsidRPr="00552ED8">
        <w:rPr>
          <w:rFonts w:asciiTheme="minorHAnsi" w:hAnsiTheme="minorHAnsi"/>
          <w:szCs w:val="24"/>
          <w:lang w:val="ru-RU"/>
        </w:rPr>
        <w:t>поправ</w:t>
      </w:r>
      <w:r w:rsidR="00160E84" w:rsidRPr="00552ED8">
        <w:rPr>
          <w:rFonts w:asciiTheme="minorHAnsi" w:hAnsiTheme="minorHAnsi"/>
          <w:szCs w:val="24"/>
          <w:lang w:val="ru-RU"/>
        </w:rPr>
        <w:t>ки в</w:t>
      </w:r>
      <w:r w:rsidR="00CC0141" w:rsidRPr="00552ED8">
        <w:rPr>
          <w:rFonts w:asciiTheme="minorHAnsi" w:hAnsiTheme="minorHAnsi"/>
          <w:szCs w:val="24"/>
          <w:lang w:val="ru-RU"/>
        </w:rPr>
        <w:t xml:space="preserve"> Приложени</w:t>
      </w:r>
      <w:r w:rsidR="00160E84" w:rsidRPr="00552ED8">
        <w:rPr>
          <w:rFonts w:asciiTheme="minorHAnsi" w:hAnsiTheme="minorHAnsi"/>
          <w:szCs w:val="24"/>
          <w:lang w:val="ru-RU"/>
        </w:rPr>
        <w:t>е</w:t>
      </w:r>
      <w:r w:rsidR="00CC0141" w:rsidRPr="00552ED8">
        <w:rPr>
          <w:rFonts w:asciiTheme="minorHAnsi" w:hAnsiTheme="minorHAnsi"/>
          <w:szCs w:val="24"/>
          <w:lang w:val="ru-RU"/>
        </w:rPr>
        <w:t xml:space="preserve"> 2 к Резолюции 48 (Пересм. Пусан, 2014 г.), </w:t>
      </w:r>
      <w:r w:rsidR="00105215" w:rsidRPr="00552ED8">
        <w:rPr>
          <w:rFonts w:asciiTheme="minorHAnsi" w:hAnsiTheme="minorHAnsi"/>
          <w:szCs w:val="24"/>
          <w:lang w:val="ru-RU"/>
        </w:rPr>
        <w:t xml:space="preserve">тогда как </w:t>
      </w:r>
      <w:r w:rsidR="00CC0141" w:rsidRPr="00552ED8">
        <w:rPr>
          <w:rFonts w:asciiTheme="minorHAnsi" w:hAnsiTheme="minorHAnsi"/>
          <w:szCs w:val="24"/>
          <w:lang w:val="ru-RU"/>
        </w:rPr>
        <w:t>пересмотр таких резолюций является прерогативой полномочной конференции</w:t>
      </w:r>
      <w:r w:rsidRPr="00552ED8">
        <w:rPr>
          <w:lang w:val="ru-RU"/>
        </w:rPr>
        <w:t>.</w:t>
      </w:r>
      <w:r w:rsidR="00CC0141" w:rsidRPr="00552ED8">
        <w:rPr>
          <w:lang w:val="ru-RU"/>
        </w:rPr>
        <w:t xml:space="preserve"> Один из </w:t>
      </w:r>
      <w:r w:rsidR="00552ED8" w:rsidRPr="00552ED8">
        <w:rPr>
          <w:lang w:val="ru-RU"/>
        </w:rPr>
        <w:t xml:space="preserve">советников </w:t>
      </w:r>
      <w:r w:rsidR="00CC0141" w:rsidRPr="00552ED8">
        <w:rPr>
          <w:lang w:val="ru-RU"/>
        </w:rPr>
        <w:t xml:space="preserve">подчеркивает, что </w:t>
      </w:r>
      <w:r w:rsidR="005F693C" w:rsidRPr="00552ED8">
        <w:rPr>
          <w:lang w:val="ru-RU"/>
        </w:rPr>
        <w:t xml:space="preserve">главным критерием при назначении сотрудников должны оставаться </w:t>
      </w:r>
      <w:r w:rsidR="00CC0141" w:rsidRPr="00552ED8">
        <w:rPr>
          <w:lang w:val="ru-RU"/>
        </w:rPr>
        <w:t xml:space="preserve">необходимые для той или иной должности навыки и квалификация, с должным учетом справедливого географического распределения и других факторов. Еще один </w:t>
      </w:r>
      <w:r w:rsidR="00552ED8" w:rsidRPr="00552ED8">
        <w:rPr>
          <w:lang w:val="ru-RU"/>
        </w:rPr>
        <w:t xml:space="preserve">советник </w:t>
      </w:r>
      <w:r w:rsidR="00CC0141" w:rsidRPr="00552ED8">
        <w:rPr>
          <w:lang w:val="ru-RU"/>
        </w:rPr>
        <w:t xml:space="preserve">обращает внимание на необходимость гибкой организации рабочего времени и </w:t>
      </w:r>
      <w:r w:rsidR="00341695" w:rsidRPr="00552ED8">
        <w:rPr>
          <w:lang w:val="ru-RU"/>
        </w:rPr>
        <w:t xml:space="preserve">создание рабочей среды, в которой отсутствуют </w:t>
      </w:r>
      <w:r w:rsidR="00CC0141" w:rsidRPr="00552ED8">
        <w:rPr>
          <w:lang w:val="ru-RU"/>
        </w:rPr>
        <w:t>сексуальны</w:t>
      </w:r>
      <w:r w:rsidR="00341695" w:rsidRPr="00552ED8">
        <w:rPr>
          <w:lang w:val="ru-RU"/>
        </w:rPr>
        <w:t>е</w:t>
      </w:r>
      <w:r w:rsidR="00CC0141" w:rsidRPr="00552ED8">
        <w:rPr>
          <w:lang w:val="ru-RU"/>
        </w:rPr>
        <w:t xml:space="preserve"> домогательств</w:t>
      </w:r>
      <w:r w:rsidR="00341695" w:rsidRPr="00552ED8">
        <w:rPr>
          <w:lang w:val="ru-RU"/>
        </w:rPr>
        <w:t>а,</w:t>
      </w:r>
      <w:r w:rsidR="00CC0141" w:rsidRPr="00552ED8">
        <w:rPr>
          <w:lang w:val="ru-RU"/>
        </w:rPr>
        <w:t xml:space="preserve"> </w:t>
      </w:r>
      <w:r w:rsidR="00341695" w:rsidRPr="00552ED8">
        <w:rPr>
          <w:lang w:val="ru-RU"/>
        </w:rPr>
        <w:t>с тем</w:t>
      </w:r>
      <w:r w:rsidR="00CC0141" w:rsidRPr="00552ED8">
        <w:rPr>
          <w:lang w:val="ru-RU"/>
        </w:rPr>
        <w:t xml:space="preserve"> чтобы </w:t>
      </w:r>
      <w:r w:rsidR="00CC0141" w:rsidRPr="00552ED8">
        <w:rPr>
          <w:color w:val="000000"/>
          <w:lang w:val="ru-RU"/>
        </w:rPr>
        <w:t>стимулировать подачу заявлений о приеме на работу от квалифицированных женщин.</w:t>
      </w:r>
    </w:p>
    <w:p w:rsidR="007C4261" w:rsidRPr="00552ED8" w:rsidRDefault="007C4261" w:rsidP="00341695">
      <w:pPr>
        <w:rPr>
          <w:lang w:val="ru-RU"/>
        </w:rPr>
      </w:pPr>
      <w:r w:rsidRPr="00552ED8">
        <w:rPr>
          <w:lang w:val="ru-RU"/>
        </w:rPr>
        <w:t>2.8</w:t>
      </w:r>
      <w:r w:rsidRPr="00552ED8">
        <w:rPr>
          <w:lang w:val="ru-RU"/>
        </w:rPr>
        <w:tab/>
      </w:r>
      <w:r w:rsidR="00341695" w:rsidRPr="00552ED8">
        <w:rPr>
          <w:lang w:val="ru-RU"/>
        </w:rPr>
        <w:t xml:space="preserve">Председатель отмечает, что Документы </w:t>
      </w:r>
      <w:r w:rsidR="00341695" w:rsidRPr="00552ED8">
        <w:rPr>
          <w:rFonts w:asciiTheme="minorHAnsi" w:hAnsiTheme="minorHAnsi"/>
          <w:szCs w:val="24"/>
          <w:lang w:val="ru-RU"/>
        </w:rPr>
        <w:t>C18/13 и C18/63 были представлены Совету для одобрения. Вместе с тем по первому из них были предложены поправки по некоторым срокам, а по второму были выдвинуты возражения</w:t>
      </w:r>
      <w:r w:rsidR="00486402" w:rsidRPr="00552ED8">
        <w:rPr>
          <w:lang w:val="ru-RU"/>
        </w:rPr>
        <w:t>.</w:t>
      </w:r>
      <w:r w:rsidR="00341695" w:rsidRPr="00552ED8">
        <w:rPr>
          <w:lang w:val="ru-RU"/>
        </w:rPr>
        <w:t xml:space="preserve"> В связи с этим он предлагает просто принять к сведению эти документы и рекомендовать администрациям учитывать их, наряду с замечаниями, сделанными в ходе настоящего собрания, при обсуждении Резолюций 70 и 48 на ПК-18.</w:t>
      </w:r>
    </w:p>
    <w:p w:rsidR="00341695" w:rsidRPr="00552ED8" w:rsidRDefault="00341695" w:rsidP="00341695">
      <w:pPr>
        <w:rPr>
          <w:lang w:val="ru-RU"/>
        </w:rPr>
      </w:pPr>
      <w:r w:rsidRPr="00552ED8">
        <w:rPr>
          <w:lang w:val="ru-RU"/>
        </w:rPr>
        <w:t>2.9</w:t>
      </w:r>
      <w:r w:rsidRPr="00552ED8">
        <w:rPr>
          <w:lang w:val="ru-RU"/>
        </w:rPr>
        <w:tab/>
        <w:t xml:space="preserve">Предложение </w:t>
      </w:r>
      <w:r w:rsidRPr="00552ED8">
        <w:rPr>
          <w:b/>
          <w:bCs/>
          <w:lang w:val="ru-RU"/>
        </w:rPr>
        <w:t>принимается</w:t>
      </w:r>
      <w:r w:rsidRPr="00552ED8">
        <w:rPr>
          <w:lang w:val="ru-RU"/>
        </w:rPr>
        <w:t>.</w:t>
      </w:r>
    </w:p>
    <w:p w:rsidR="007C4261" w:rsidRPr="00552ED8" w:rsidRDefault="007C4261" w:rsidP="005F693C">
      <w:pPr>
        <w:pStyle w:val="Heading1"/>
        <w:rPr>
          <w:szCs w:val="26"/>
          <w:lang w:val="ru-RU"/>
        </w:rPr>
      </w:pPr>
      <w:r w:rsidRPr="00552ED8">
        <w:rPr>
          <w:bCs/>
          <w:szCs w:val="26"/>
          <w:lang w:val="ru-RU"/>
        </w:rPr>
        <w:t>3</w:t>
      </w:r>
      <w:r w:rsidRPr="00552ED8">
        <w:rPr>
          <w:bCs/>
          <w:szCs w:val="26"/>
          <w:lang w:val="ru-RU"/>
        </w:rPr>
        <w:tab/>
      </w:r>
      <w:r w:rsidR="005F693C" w:rsidRPr="00552ED8">
        <w:rPr>
          <w:szCs w:val="26"/>
          <w:lang w:val="ru-RU"/>
        </w:rPr>
        <w:t>Консолидация</w:t>
      </w:r>
      <w:r w:rsidR="00395489" w:rsidRPr="00552ED8">
        <w:rPr>
          <w:szCs w:val="26"/>
          <w:lang w:val="ru-RU"/>
        </w:rPr>
        <w:t xml:space="preserve"> мероприятий МСЭ высокого уровня, имеющих глобальный характер</w:t>
      </w:r>
      <w:r w:rsidR="00415FF1" w:rsidRPr="00552ED8">
        <w:rPr>
          <w:bCs/>
          <w:szCs w:val="26"/>
          <w:lang w:val="ru-RU"/>
        </w:rPr>
        <w:t xml:space="preserve"> </w:t>
      </w:r>
      <w:r w:rsidRPr="00552ED8">
        <w:rPr>
          <w:bCs/>
          <w:szCs w:val="26"/>
          <w:lang w:val="ru-RU"/>
        </w:rPr>
        <w:t>(</w:t>
      </w:r>
      <w:r w:rsidR="00415FF1" w:rsidRPr="00552ED8">
        <w:rPr>
          <w:bCs/>
          <w:szCs w:val="26"/>
          <w:lang w:val="ru-RU"/>
        </w:rPr>
        <w:t>Документ</w:t>
      </w:r>
      <w:r w:rsidRPr="00552ED8">
        <w:rPr>
          <w:bCs/>
          <w:szCs w:val="26"/>
          <w:lang w:val="ru-RU"/>
        </w:rPr>
        <w:t xml:space="preserve"> </w:t>
      </w:r>
      <w:hyperlink r:id="rId24" w:history="1">
        <w:r w:rsidR="00395489" w:rsidRPr="00552ED8">
          <w:rPr>
            <w:rStyle w:val="Hyperlink"/>
            <w:rFonts w:asciiTheme="minorHAnsi" w:hAnsiTheme="minorHAnsi"/>
            <w:bCs/>
            <w:szCs w:val="26"/>
            <w:lang w:val="ru-RU"/>
          </w:rPr>
          <w:t>C18/55</w:t>
        </w:r>
      </w:hyperlink>
      <w:r w:rsidRPr="00552ED8">
        <w:rPr>
          <w:bCs/>
          <w:szCs w:val="26"/>
          <w:lang w:val="ru-RU"/>
        </w:rPr>
        <w:t>)</w:t>
      </w:r>
    </w:p>
    <w:p w:rsidR="007C4261" w:rsidRPr="00552ED8" w:rsidRDefault="007C4261" w:rsidP="00395489">
      <w:pPr>
        <w:rPr>
          <w:lang w:val="ru-RU"/>
        </w:rPr>
      </w:pPr>
      <w:r w:rsidRPr="00552ED8">
        <w:rPr>
          <w:lang w:val="ru-RU"/>
        </w:rPr>
        <w:t>3.1</w:t>
      </w:r>
      <w:r w:rsidRPr="00552ED8">
        <w:rPr>
          <w:lang w:val="ru-RU"/>
        </w:rPr>
        <w:tab/>
      </w:r>
      <w:r w:rsidR="00395489" w:rsidRPr="00552ED8">
        <w:rPr>
          <w:lang w:val="ru-RU"/>
        </w:rPr>
        <w:t xml:space="preserve">Сотрудник секретариата </w:t>
      </w:r>
      <w:r w:rsidR="004E1FBA" w:rsidRPr="00552ED8">
        <w:rPr>
          <w:lang w:val="ru-RU"/>
        </w:rPr>
        <w:t>представляет Документ C</w:t>
      </w:r>
      <w:r w:rsidR="00395489" w:rsidRPr="00552ED8">
        <w:rPr>
          <w:lang w:val="ru-RU"/>
        </w:rPr>
        <w:t>18/5</w:t>
      </w:r>
      <w:r w:rsidR="004E1FBA" w:rsidRPr="00552ED8">
        <w:rPr>
          <w:lang w:val="ru-RU"/>
        </w:rPr>
        <w:t>5, в кот</w:t>
      </w:r>
      <w:r w:rsidR="00395489" w:rsidRPr="00552ED8">
        <w:rPr>
          <w:lang w:val="ru-RU"/>
        </w:rPr>
        <w:t>ором содержа</w:t>
      </w:r>
      <w:r w:rsidR="004E1FBA" w:rsidRPr="00552ED8">
        <w:rPr>
          <w:lang w:val="ru-RU"/>
        </w:rPr>
        <w:t>тся</w:t>
      </w:r>
      <w:r w:rsidR="00395489" w:rsidRPr="00552ED8">
        <w:rPr>
          <w:lang w:val="ru-RU"/>
        </w:rPr>
        <w:t xml:space="preserve"> два варианта оптимизации мероприятий МСЭ высокого уровня, имеющих глобальный характер, к 2020 году</w:t>
      </w:r>
      <w:r w:rsidRPr="00552ED8">
        <w:rPr>
          <w:lang w:val="ru-RU"/>
        </w:rPr>
        <w:t>.</w:t>
      </w:r>
    </w:p>
    <w:p w:rsidR="007C4261" w:rsidRPr="00552ED8" w:rsidRDefault="007C4261" w:rsidP="00B8189D">
      <w:pPr>
        <w:rPr>
          <w:lang w:val="ru-RU"/>
        </w:rPr>
      </w:pPr>
      <w:r w:rsidRPr="00552ED8">
        <w:rPr>
          <w:lang w:val="ru-RU"/>
        </w:rPr>
        <w:t>3.2</w:t>
      </w:r>
      <w:r w:rsidRPr="00552ED8">
        <w:rPr>
          <w:lang w:val="ru-RU"/>
        </w:rPr>
        <w:tab/>
      </w:r>
      <w:r w:rsidR="00395489" w:rsidRPr="00552ED8">
        <w:rPr>
          <w:lang w:val="ru-RU"/>
        </w:rPr>
        <w:t xml:space="preserve">Хотя </w:t>
      </w:r>
      <w:r w:rsidR="00552ED8" w:rsidRPr="00552ED8">
        <w:rPr>
          <w:lang w:val="ru-RU"/>
        </w:rPr>
        <w:t xml:space="preserve">советники </w:t>
      </w:r>
      <w:r w:rsidR="00395489" w:rsidRPr="00552ED8">
        <w:rPr>
          <w:lang w:val="ru-RU"/>
        </w:rPr>
        <w:t>высоко оцен</w:t>
      </w:r>
      <w:r w:rsidR="00884554">
        <w:rPr>
          <w:lang w:val="ru-RU"/>
        </w:rPr>
        <w:t>ивают два</w:t>
      </w:r>
      <w:r w:rsidR="001640C7">
        <w:rPr>
          <w:lang w:val="ru-RU"/>
        </w:rPr>
        <w:t xml:space="preserve"> предлагаемых</w:t>
      </w:r>
      <w:r w:rsidR="00884554">
        <w:rPr>
          <w:lang w:val="ru-RU"/>
        </w:rPr>
        <w:t xml:space="preserve"> варианта</w:t>
      </w:r>
      <w:r w:rsidR="00884554" w:rsidRPr="00884554">
        <w:rPr>
          <w:lang w:val="ru-RU"/>
        </w:rPr>
        <w:t>,</w:t>
      </w:r>
      <w:r w:rsidR="00395489" w:rsidRPr="00552ED8">
        <w:rPr>
          <w:lang w:val="ru-RU"/>
        </w:rPr>
        <w:t xml:space="preserve"> </w:t>
      </w:r>
      <w:r w:rsidR="00105215" w:rsidRPr="00552ED8">
        <w:rPr>
          <w:lang w:val="ru-RU"/>
        </w:rPr>
        <w:t>по общему мнению,</w:t>
      </w:r>
      <w:r w:rsidR="00395489" w:rsidRPr="00552ED8">
        <w:rPr>
          <w:lang w:val="ru-RU"/>
        </w:rPr>
        <w:t xml:space="preserve"> необходимо продолжать обсуждение в целях разработки реализуемого на практике подхода, в котором полностью учитывались бы все вопросы</w:t>
      </w:r>
      <w:r w:rsidR="00105215" w:rsidRPr="00552ED8">
        <w:rPr>
          <w:lang w:val="ru-RU"/>
        </w:rPr>
        <w:t>, вызывающие обеспокоенность</w:t>
      </w:r>
      <w:r w:rsidR="00395489" w:rsidRPr="00552ED8">
        <w:rPr>
          <w:lang w:val="ru-RU"/>
        </w:rPr>
        <w:t xml:space="preserve">. </w:t>
      </w:r>
      <w:r w:rsidR="00884554">
        <w:rPr>
          <w:lang w:val="ru-RU"/>
        </w:rPr>
        <w:t>Некоторые делегации подчерк</w:t>
      </w:r>
      <w:r w:rsidR="00B8189D">
        <w:rPr>
          <w:lang w:val="ru-RU"/>
        </w:rPr>
        <w:t>ивают</w:t>
      </w:r>
      <w:r w:rsidR="00395D22">
        <w:rPr>
          <w:lang w:val="ru-RU"/>
        </w:rPr>
        <w:t>, что</w:t>
      </w:r>
      <w:r w:rsidR="00395489" w:rsidRPr="00552ED8">
        <w:rPr>
          <w:lang w:val="ru-RU"/>
        </w:rPr>
        <w:t xml:space="preserve"> </w:t>
      </w:r>
      <w:r w:rsidR="00395D22">
        <w:rPr>
          <w:lang w:val="ru-RU"/>
        </w:rPr>
        <w:t>необходимо</w:t>
      </w:r>
      <w:r w:rsidR="00395489" w:rsidRPr="00552ED8">
        <w:rPr>
          <w:lang w:val="ru-RU"/>
        </w:rPr>
        <w:t xml:space="preserve"> </w:t>
      </w:r>
      <w:r w:rsidR="00395D22">
        <w:rPr>
          <w:lang w:val="ru-RU"/>
        </w:rPr>
        <w:t>сохранять приоритетный характер</w:t>
      </w:r>
      <w:r w:rsidR="005E5A0B" w:rsidRPr="00552ED8">
        <w:rPr>
          <w:lang w:val="ru-RU"/>
        </w:rPr>
        <w:t xml:space="preserve"> основных уставных </w:t>
      </w:r>
      <w:r w:rsidR="005A40F1">
        <w:rPr>
          <w:lang w:val="ru-RU"/>
        </w:rPr>
        <w:t>мероприятий</w:t>
      </w:r>
      <w:r w:rsidR="0023722B">
        <w:rPr>
          <w:lang w:val="ru-RU"/>
        </w:rPr>
        <w:t xml:space="preserve"> </w:t>
      </w:r>
      <w:r w:rsidR="0023722B" w:rsidRPr="00552ED8">
        <w:rPr>
          <w:lang w:val="ru-RU"/>
        </w:rPr>
        <w:t>Союза</w:t>
      </w:r>
      <w:r w:rsidR="0023722B">
        <w:rPr>
          <w:lang w:val="ru-RU"/>
        </w:rPr>
        <w:t xml:space="preserve"> (в особенности всемирных конференций и ассамблей)</w:t>
      </w:r>
      <w:r w:rsidR="00395D22">
        <w:rPr>
          <w:lang w:val="ru-RU"/>
        </w:rPr>
        <w:t xml:space="preserve"> и </w:t>
      </w:r>
      <w:r w:rsidR="005E5A0B" w:rsidRPr="00552ED8">
        <w:rPr>
          <w:lang w:val="ru-RU"/>
        </w:rPr>
        <w:t xml:space="preserve">что </w:t>
      </w:r>
      <w:r w:rsidR="0023722B">
        <w:rPr>
          <w:lang w:val="ru-RU"/>
        </w:rPr>
        <w:t>их</w:t>
      </w:r>
      <w:r w:rsidR="005E5A0B" w:rsidRPr="00552ED8">
        <w:rPr>
          <w:lang w:val="ru-RU"/>
        </w:rPr>
        <w:t xml:space="preserve"> следует планировать </w:t>
      </w:r>
      <w:r w:rsidR="006C2E47" w:rsidRPr="00552ED8">
        <w:rPr>
          <w:lang w:val="ru-RU"/>
        </w:rPr>
        <w:t xml:space="preserve">отдельно от других мероприятий высокого уровня. Выражается обеспокоенность резким увеличением числа таких мероприятий высокого уровня: следует проанализировать </w:t>
      </w:r>
      <w:r w:rsidR="0023722B">
        <w:rPr>
          <w:lang w:val="ru-RU"/>
        </w:rPr>
        <w:t xml:space="preserve">получаемую от них </w:t>
      </w:r>
      <w:r w:rsidR="00681E8D">
        <w:rPr>
          <w:lang w:val="ru-RU"/>
        </w:rPr>
        <w:t>Союзом</w:t>
      </w:r>
      <w:r w:rsidR="00681E8D" w:rsidRPr="00552ED8">
        <w:rPr>
          <w:lang w:val="ru-RU"/>
        </w:rPr>
        <w:t xml:space="preserve"> </w:t>
      </w:r>
      <w:r w:rsidR="00395D22">
        <w:rPr>
          <w:lang w:val="ru-RU"/>
        </w:rPr>
        <w:t>пользу</w:t>
      </w:r>
      <w:r w:rsidR="006C2E47" w:rsidRPr="00552ED8">
        <w:rPr>
          <w:lang w:val="ru-RU"/>
        </w:rPr>
        <w:t xml:space="preserve"> и рассмотреть возможность об</w:t>
      </w:r>
      <w:r w:rsidR="00AF2BCA" w:rsidRPr="00552ED8">
        <w:rPr>
          <w:lang w:val="ru-RU"/>
        </w:rPr>
        <w:t>ъединения схожих мероприятий по одной тематике.</w:t>
      </w:r>
      <w:r w:rsidR="006C2E47" w:rsidRPr="00552ED8">
        <w:rPr>
          <w:lang w:val="ru-RU"/>
        </w:rPr>
        <w:t xml:space="preserve"> </w:t>
      </w:r>
    </w:p>
    <w:p w:rsidR="007C4261" w:rsidRPr="00552ED8" w:rsidRDefault="007C4261" w:rsidP="006C2E47">
      <w:pPr>
        <w:rPr>
          <w:lang w:val="ru-RU"/>
        </w:rPr>
      </w:pPr>
      <w:r w:rsidRPr="00552ED8">
        <w:rPr>
          <w:lang w:val="ru-RU"/>
        </w:rPr>
        <w:t>3.3</w:t>
      </w:r>
      <w:r w:rsidRPr="00552ED8">
        <w:rPr>
          <w:lang w:val="ru-RU"/>
        </w:rPr>
        <w:tab/>
      </w:r>
      <w:r w:rsidR="006C2E47" w:rsidRPr="00552ED8">
        <w:rPr>
          <w:lang w:val="ru-RU"/>
        </w:rPr>
        <w:t xml:space="preserve">Совет </w:t>
      </w:r>
      <w:r w:rsidR="006C2E47" w:rsidRPr="00552ED8">
        <w:rPr>
          <w:b/>
          <w:bCs/>
          <w:lang w:val="ru-RU"/>
        </w:rPr>
        <w:t>принимает к сведению</w:t>
      </w:r>
      <w:r w:rsidR="006C2E47" w:rsidRPr="00552ED8">
        <w:rPr>
          <w:lang w:val="ru-RU"/>
        </w:rPr>
        <w:t xml:space="preserve"> Документ </w:t>
      </w:r>
      <w:r w:rsidR="006C2E47" w:rsidRPr="00552ED8">
        <w:rPr>
          <w:rFonts w:asciiTheme="minorHAnsi" w:hAnsiTheme="minorHAnsi"/>
          <w:szCs w:val="24"/>
          <w:lang w:val="ru-RU"/>
        </w:rPr>
        <w:t xml:space="preserve">C18/55 и </w:t>
      </w:r>
      <w:r w:rsidR="006C2E47" w:rsidRPr="00552ED8">
        <w:rPr>
          <w:rFonts w:asciiTheme="minorHAnsi" w:hAnsiTheme="minorHAnsi"/>
          <w:b/>
          <w:bCs/>
          <w:szCs w:val="24"/>
          <w:lang w:val="ru-RU"/>
        </w:rPr>
        <w:t>просит</w:t>
      </w:r>
      <w:r w:rsidR="006C2E47" w:rsidRPr="00552ED8">
        <w:rPr>
          <w:rFonts w:asciiTheme="minorHAnsi" w:hAnsiTheme="minorHAnsi"/>
          <w:szCs w:val="24"/>
          <w:lang w:val="ru-RU"/>
        </w:rPr>
        <w:t xml:space="preserve"> секретариат продолжить изучение правовых последствий с учетом Резолюции 77 (Пересм. Пусан, 2014 г.) и представить отчет ПК-18, наряду с кратким отчетом об обсуждении этого вопроса на Совете-18</w:t>
      </w:r>
      <w:r w:rsidR="00825BC8" w:rsidRPr="00552ED8">
        <w:rPr>
          <w:lang w:val="ru-RU"/>
        </w:rPr>
        <w:t>.</w:t>
      </w:r>
    </w:p>
    <w:p w:rsidR="007C4261" w:rsidRPr="00552ED8" w:rsidRDefault="007C4261" w:rsidP="005F693C">
      <w:pPr>
        <w:pStyle w:val="Heading1"/>
        <w:rPr>
          <w:szCs w:val="26"/>
          <w:lang w:val="ru-RU"/>
        </w:rPr>
      </w:pPr>
      <w:r w:rsidRPr="00552ED8">
        <w:rPr>
          <w:szCs w:val="26"/>
          <w:lang w:val="ru-RU"/>
        </w:rPr>
        <w:t>4</w:t>
      </w:r>
      <w:r w:rsidRPr="00552ED8">
        <w:rPr>
          <w:szCs w:val="26"/>
          <w:lang w:val="ru-RU"/>
        </w:rPr>
        <w:tab/>
      </w:r>
      <w:r w:rsidR="00280CC0" w:rsidRPr="00552ED8">
        <w:rPr>
          <w:szCs w:val="26"/>
          <w:lang w:val="ru-RU"/>
        </w:rPr>
        <w:t>Отчет Группы экспертов по Регламенту</w:t>
      </w:r>
      <w:r w:rsidR="005F693C" w:rsidRPr="00552ED8">
        <w:rPr>
          <w:szCs w:val="26"/>
          <w:lang w:val="ru-RU"/>
        </w:rPr>
        <w:t xml:space="preserve"> международной электросвязи (ГЭ</w:t>
      </w:r>
      <w:r w:rsidR="005F693C" w:rsidRPr="00552ED8">
        <w:rPr>
          <w:szCs w:val="26"/>
          <w:lang w:val="ru-RU"/>
        </w:rPr>
        <w:noBreakHyphen/>
      </w:r>
      <w:r w:rsidR="00280CC0" w:rsidRPr="00552ED8">
        <w:rPr>
          <w:szCs w:val="26"/>
          <w:lang w:val="ru-RU"/>
        </w:rPr>
        <w:t xml:space="preserve">РМЭ) (продолжение) (Документы </w:t>
      </w:r>
      <w:hyperlink r:id="rId25" w:history="1">
        <w:r w:rsidR="00280CC0" w:rsidRPr="00552ED8">
          <w:rPr>
            <w:rStyle w:val="Hyperlink"/>
            <w:rFonts w:asciiTheme="minorHAnsi" w:hAnsiTheme="minorHAnsi"/>
            <w:bCs/>
            <w:szCs w:val="26"/>
            <w:lang w:val="ru-RU"/>
          </w:rPr>
          <w:t>C18/26</w:t>
        </w:r>
      </w:hyperlink>
      <w:r w:rsidR="00280CC0" w:rsidRPr="00552ED8">
        <w:rPr>
          <w:rFonts w:asciiTheme="minorHAnsi" w:hAnsiTheme="minorHAnsi"/>
          <w:bCs/>
          <w:szCs w:val="26"/>
          <w:lang w:val="ru-RU"/>
        </w:rPr>
        <w:t xml:space="preserve">, </w:t>
      </w:r>
      <w:hyperlink r:id="rId26" w:history="1">
        <w:r w:rsidR="00280CC0" w:rsidRPr="00552ED8">
          <w:rPr>
            <w:rStyle w:val="Hyperlink"/>
            <w:rFonts w:asciiTheme="minorHAnsi" w:hAnsiTheme="minorHAnsi"/>
            <w:bCs/>
            <w:szCs w:val="26"/>
            <w:lang w:val="ru-RU"/>
          </w:rPr>
          <w:t>C18/79</w:t>
        </w:r>
      </w:hyperlink>
      <w:r w:rsidR="00280CC0" w:rsidRPr="00552ED8">
        <w:rPr>
          <w:rFonts w:asciiTheme="minorHAnsi" w:hAnsiTheme="minorHAnsi"/>
          <w:bCs/>
          <w:szCs w:val="26"/>
          <w:lang w:val="ru-RU"/>
        </w:rPr>
        <w:t xml:space="preserve">, </w:t>
      </w:r>
      <w:hyperlink r:id="rId27" w:history="1">
        <w:r w:rsidR="00280CC0" w:rsidRPr="00552ED8">
          <w:rPr>
            <w:rStyle w:val="Hyperlink"/>
            <w:rFonts w:asciiTheme="minorHAnsi" w:hAnsiTheme="minorHAnsi"/>
            <w:bCs/>
            <w:szCs w:val="26"/>
            <w:lang w:val="ru-RU"/>
          </w:rPr>
          <w:t>C18/91</w:t>
        </w:r>
      </w:hyperlink>
      <w:r w:rsidR="00280CC0" w:rsidRPr="00552ED8">
        <w:rPr>
          <w:rFonts w:asciiTheme="minorHAnsi" w:hAnsiTheme="minorHAnsi"/>
          <w:bCs/>
          <w:szCs w:val="26"/>
          <w:lang w:val="ru-RU"/>
        </w:rPr>
        <w:t xml:space="preserve">, </w:t>
      </w:r>
      <w:hyperlink r:id="rId28" w:history="1">
        <w:r w:rsidR="00280CC0" w:rsidRPr="00552ED8">
          <w:rPr>
            <w:rStyle w:val="Hyperlink"/>
            <w:rFonts w:asciiTheme="minorHAnsi" w:hAnsiTheme="minorHAnsi"/>
            <w:bCs/>
            <w:szCs w:val="26"/>
            <w:lang w:val="ru-RU"/>
          </w:rPr>
          <w:t>C18/92</w:t>
        </w:r>
      </w:hyperlink>
      <w:r w:rsidR="00280CC0" w:rsidRPr="00552ED8">
        <w:rPr>
          <w:rFonts w:asciiTheme="minorHAnsi" w:hAnsiTheme="minorHAnsi"/>
          <w:bCs/>
          <w:szCs w:val="26"/>
          <w:lang w:val="ru-RU"/>
        </w:rPr>
        <w:t xml:space="preserve"> и </w:t>
      </w:r>
      <w:hyperlink r:id="rId29" w:history="1">
        <w:r w:rsidR="00280CC0" w:rsidRPr="00552ED8">
          <w:rPr>
            <w:rStyle w:val="Hyperlink"/>
            <w:rFonts w:asciiTheme="minorHAnsi" w:hAnsiTheme="minorHAnsi"/>
            <w:bCs/>
            <w:szCs w:val="26"/>
            <w:lang w:val="ru-RU"/>
          </w:rPr>
          <w:t>C18/DT/6</w:t>
        </w:r>
      </w:hyperlink>
      <w:r w:rsidR="00280CC0" w:rsidRPr="00552ED8">
        <w:rPr>
          <w:rFonts w:asciiTheme="minorHAnsi" w:hAnsiTheme="minorHAnsi"/>
          <w:bCs/>
          <w:szCs w:val="26"/>
          <w:lang w:val="ru-RU"/>
        </w:rPr>
        <w:t>)</w:t>
      </w:r>
    </w:p>
    <w:p w:rsidR="007C4261" w:rsidRPr="00552ED8" w:rsidRDefault="007C4261" w:rsidP="00AF2BCA">
      <w:pPr>
        <w:rPr>
          <w:lang w:val="ru-RU"/>
        </w:rPr>
      </w:pPr>
      <w:r w:rsidRPr="00552ED8">
        <w:rPr>
          <w:lang w:val="ru-RU"/>
        </w:rPr>
        <w:t>4.1</w:t>
      </w:r>
      <w:r w:rsidRPr="00552ED8">
        <w:rPr>
          <w:lang w:val="ru-RU"/>
        </w:rPr>
        <w:tab/>
      </w:r>
      <w:r w:rsidR="00280CC0" w:rsidRPr="00552ED8">
        <w:rPr>
          <w:lang w:val="ru-RU"/>
        </w:rPr>
        <w:t>Председатель предлагает Совету утвердить передачу ПК-18 пакета документов, включающ</w:t>
      </w:r>
      <w:r w:rsidR="00AF2BCA" w:rsidRPr="00552ED8">
        <w:rPr>
          <w:lang w:val="ru-RU"/>
        </w:rPr>
        <w:t>его</w:t>
      </w:r>
      <w:r w:rsidR="00280CC0" w:rsidRPr="00552ED8">
        <w:rPr>
          <w:lang w:val="ru-RU"/>
        </w:rPr>
        <w:t xml:space="preserve"> отчет ГЭ-РМЭ Совету-18 (Документ </w:t>
      </w:r>
      <w:r w:rsidR="00280CC0" w:rsidRPr="00552ED8">
        <w:rPr>
          <w:rFonts w:asciiTheme="minorHAnsi" w:hAnsiTheme="minorHAnsi"/>
          <w:szCs w:val="24"/>
          <w:lang w:val="ru-RU"/>
        </w:rPr>
        <w:t>C18/26) и официальный краткий отчет о соответствующих замечаниях, прилагаемый к Документу C18/DT/6</w:t>
      </w:r>
      <w:r w:rsidRPr="00552ED8">
        <w:rPr>
          <w:spacing w:val="-2"/>
          <w:lang w:val="ru-RU"/>
        </w:rPr>
        <w:t>.</w:t>
      </w:r>
      <w:r w:rsidRPr="00552ED8">
        <w:rPr>
          <w:lang w:val="ru-RU"/>
        </w:rPr>
        <w:t xml:space="preserve"> </w:t>
      </w:r>
    </w:p>
    <w:p w:rsidR="00280CC0" w:rsidRPr="00552ED8" w:rsidRDefault="00280CC0" w:rsidP="00280CC0">
      <w:pPr>
        <w:rPr>
          <w:lang w:val="ru-RU"/>
        </w:rPr>
      </w:pPr>
      <w:r w:rsidRPr="00552ED8">
        <w:rPr>
          <w:lang w:val="ru-RU"/>
        </w:rPr>
        <w:t>4.2</w:t>
      </w:r>
      <w:r w:rsidRPr="00552ED8">
        <w:rPr>
          <w:lang w:val="ru-RU"/>
        </w:rPr>
        <w:tab/>
        <w:t xml:space="preserve">Предложение </w:t>
      </w:r>
      <w:r w:rsidRPr="00552ED8">
        <w:rPr>
          <w:b/>
          <w:bCs/>
          <w:lang w:val="ru-RU"/>
        </w:rPr>
        <w:t>принимается</w:t>
      </w:r>
      <w:r w:rsidRPr="00552ED8">
        <w:rPr>
          <w:lang w:val="ru-RU"/>
        </w:rPr>
        <w:t>.</w:t>
      </w:r>
    </w:p>
    <w:p w:rsidR="007C4261" w:rsidRPr="00552ED8" w:rsidRDefault="007C4261" w:rsidP="00280CC0">
      <w:pPr>
        <w:pStyle w:val="Heading1"/>
        <w:rPr>
          <w:lang w:val="ru-RU"/>
        </w:rPr>
      </w:pPr>
      <w:r w:rsidRPr="00552ED8">
        <w:rPr>
          <w:lang w:val="ru-RU"/>
        </w:rPr>
        <w:t>5</w:t>
      </w:r>
      <w:r w:rsidRPr="00552ED8">
        <w:rPr>
          <w:lang w:val="ru-RU"/>
        </w:rPr>
        <w:tab/>
      </w:r>
      <w:r w:rsidR="005F693C" w:rsidRPr="00552ED8">
        <w:rPr>
          <w:lang w:val="ru-RU"/>
        </w:rPr>
        <w:t xml:space="preserve">Объявления </w:t>
      </w:r>
      <w:r w:rsidR="00552ED8" w:rsidRPr="00552ED8">
        <w:rPr>
          <w:lang w:val="ru-RU"/>
        </w:rPr>
        <w:t>советников</w:t>
      </w:r>
    </w:p>
    <w:p w:rsidR="007C4261" w:rsidRPr="00552ED8" w:rsidRDefault="007C4261" w:rsidP="00280CC0">
      <w:pPr>
        <w:rPr>
          <w:szCs w:val="24"/>
          <w:lang w:val="ru-RU"/>
        </w:rPr>
      </w:pPr>
      <w:r w:rsidRPr="00552ED8">
        <w:rPr>
          <w:szCs w:val="24"/>
          <w:lang w:val="ru-RU"/>
        </w:rPr>
        <w:t>5.1</w:t>
      </w:r>
      <w:r w:rsidRPr="00552ED8">
        <w:rPr>
          <w:szCs w:val="24"/>
          <w:lang w:val="ru-RU"/>
        </w:rPr>
        <w:tab/>
      </w:r>
      <w:r w:rsidR="00C12CBF" w:rsidRPr="00552ED8">
        <w:rPr>
          <w:lang w:val="ru-RU"/>
        </w:rPr>
        <w:t xml:space="preserve">Подчеркивая приверженность своих стран работе МСЭ и его видам деятельности, </w:t>
      </w:r>
      <w:r w:rsidR="00552ED8" w:rsidRPr="00552ED8">
        <w:rPr>
          <w:lang w:val="ru-RU"/>
        </w:rPr>
        <w:t xml:space="preserve">советники </w:t>
      </w:r>
      <w:r w:rsidR="00C12CBF" w:rsidRPr="00552ED8">
        <w:rPr>
          <w:lang w:val="ru-RU"/>
        </w:rPr>
        <w:t xml:space="preserve">от Турции и Туниса объявляют, что их страны выдвинут свои кандидатуры для переизбрания в Совет на ПК-18, а </w:t>
      </w:r>
      <w:r w:rsidR="00552ED8" w:rsidRPr="00552ED8">
        <w:rPr>
          <w:lang w:val="ru-RU"/>
        </w:rPr>
        <w:t xml:space="preserve">советник </w:t>
      </w:r>
      <w:r w:rsidR="00C12CBF" w:rsidRPr="00552ED8">
        <w:rPr>
          <w:lang w:val="ru-RU"/>
        </w:rPr>
        <w:t>из Уругвая объявляет, что его страна собирается предложить кандидатуру на пост Директора БР</w:t>
      </w:r>
      <w:r w:rsidR="00552ED8" w:rsidRPr="00552ED8">
        <w:rPr>
          <w:szCs w:val="24"/>
          <w:lang w:val="ru-RU"/>
        </w:rPr>
        <w:t>.</w:t>
      </w:r>
    </w:p>
    <w:p w:rsidR="00501146" w:rsidRPr="00552ED8" w:rsidRDefault="00501146" w:rsidP="005F693C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napToGrid w:val="0"/>
        <w:spacing w:before="1080"/>
        <w:rPr>
          <w:color w:val="000000"/>
          <w:lang w:val="ru-RU"/>
        </w:rPr>
      </w:pPr>
      <w:bookmarkStart w:id="3" w:name="lt_pId172"/>
      <w:r w:rsidRPr="00552ED8">
        <w:rPr>
          <w:szCs w:val="24"/>
          <w:lang w:val="ru-RU"/>
        </w:rPr>
        <w:t>Генеральный секретарь:</w:t>
      </w:r>
      <w:bookmarkEnd w:id="3"/>
      <w:r w:rsidRPr="00552ED8">
        <w:rPr>
          <w:szCs w:val="24"/>
          <w:lang w:val="ru-RU"/>
        </w:rPr>
        <w:tab/>
      </w:r>
      <w:bookmarkStart w:id="4" w:name="lt_pId173"/>
      <w:r w:rsidRPr="00552ED8">
        <w:rPr>
          <w:szCs w:val="24"/>
          <w:lang w:val="ru-RU"/>
        </w:rPr>
        <w:t>Председатель:</w:t>
      </w:r>
      <w:bookmarkEnd w:id="4"/>
      <w:r w:rsidRPr="00552ED8">
        <w:rPr>
          <w:szCs w:val="24"/>
          <w:lang w:val="ru-RU"/>
        </w:rPr>
        <w:br/>
      </w:r>
      <w:r w:rsidRPr="00552ED8">
        <w:rPr>
          <w:color w:val="000000"/>
          <w:lang w:val="ru-RU"/>
        </w:rPr>
        <w:t>Х. ЧЖАО</w:t>
      </w:r>
      <w:r w:rsidRPr="00552ED8">
        <w:rPr>
          <w:color w:val="000000"/>
          <w:lang w:val="ru-RU"/>
        </w:rPr>
        <w:tab/>
        <w:t>Р. ИСМАИЛОВ</w:t>
      </w:r>
    </w:p>
    <w:sectPr w:rsidR="00501146" w:rsidRPr="00552ED8" w:rsidSect="0050114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C0" w:rsidRDefault="00280CC0">
      <w:r>
        <w:separator/>
      </w:r>
    </w:p>
  </w:endnote>
  <w:endnote w:type="continuationSeparator" w:id="0">
    <w:p w:rsidR="00280CC0" w:rsidRDefault="0028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25" w:rsidRDefault="00D67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C0" w:rsidRPr="009D3583" w:rsidRDefault="00280CC0" w:rsidP="005F693C">
    <w:pPr>
      <w:pStyle w:val="Footer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C0" w:rsidRDefault="00280CC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80CC0" w:rsidRPr="001B2F3F" w:rsidRDefault="00280CC0" w:rsidP="005F6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C0" w:rsidRDefault="00280CC0">
      <w:r>
        <w:t>____________________</w:t>
      </w:r>
    </w:p>
  </w:footnote>
  <w:footnote w:type="continuationSeparator" w:id="0">
    <w:p w:rsidR="00280CC0" w:rsidRDefault="0028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25" w:rsidRDefault="00D67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C0" w:rsidRDefault="00280CC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67625">
      <w:rPr>
        <w:noProof/>
      </w:rPr>
      <w:t>3</w:t>
    </w:r>
    <w:r>
      <w:rPr>
        <w:noProof/>
      </w:rPr>
      <w:fldChar w:fldCharType="end"/>
    </w:r>
  </w:p>
  <w:p w:rsidR="00280CC0" w:rsidRDefault="00280CC0" w:rsidP="00501146">
    <w:pPr>
      <w:pStyle w:val="Header"/>
    </w:pPr>
    <w:r>
      <w:t>C18/</w:t>
    </w:r>
    <w:r>
      <w:rPr>
        <w:lang w:val="ru-RU"/>
      </w:rPr>
      <w:t>10</w:t>
    </w:r>
    <w:r w:rsidR="005F693C">
      <w:rPr>
        <w:lang w:val="fr-CH"/>
      </w:rPr>
      <w:t>9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25" w:rsidRDefault="00D67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0248A"/>
    <w:rsid w:val="00004DF5"/>
    <w:rsid w:val="0002183E"/>
    <w:rsid w:val="0002289A"/>
    <w:rsid w:val="00034607"/>
    <w:rsid w:val="00052E96"/>
    <w:rsid w:val="000569B4"/>
    <w:rsid w:val="00075753"/>
    <w:rsid w:val="00075E1F"/>
    <w:rsid w:val="00080E82"/>
    <w:rsid w:val="000B790D"/>
    <w:rsid w:val="000D40D4"/>
    <w:rsid w:val="000D7D1E"/>
    <w:rsid w:val="000E19C3"/>
    <w:rsid w:val="000E568E"/>
    <w:rsid w:val="00105215"/>
    <w:rsid w:val="00122265"/>
    <w:rsid w:val="00141083"/>
    <w:rsid w:val="00145705"/>
    <w:rsid w:val="0014734F"/>
    <w:rsid w:val="00153E6C"/>
    <w:rsid w:val="00156D5C"/>
    <w:rsid w:val="0015710D"/>
    <w:rsid w:val="00160E84"/>
    <w:rsid w:val="00163A32"/>
    <w:rsid w:val="001640C7"/>
    <w:rsid w:val="00175E1E"/>
    <w:rsid w:val="00184722"/>
    <w:rsid w:val="00192B41"/>
    <w:rsid w:val="001B2F3F"/>
    <w:rsid w:val="001B5B72"/>
    <w:rsid w:val="001B7B09"/>
    <w:rsid w:val="001D332B"/>
    <w:rsid w:val="001E6719"/>
    <w:rsid w:val="001F0F1B"/>
    <w:rsid w:val="001F2B40"/>
    <w:rsid w:val="00202707"/>
    <w:rsid w:val="00225368"/>
    <w:rsid w:val="00227FF0"/>
    <w:rsid w:val="002363EB"/>
    <w:rsid w:val="0023722B"/>
    <w:rsid w:val="00241694"/>
    <w:rsid w:val="00241AB4"/>
    <w:rsid w:val="00243F4C"/>
    <w:rsid w:val="00280CC0"/>
    <w:rsid w:val="00290843"/>
    <w:rsid w:val="00291EB6"/>
    <w:rsid w:val="002B388C"/>
    <w:rsid w:val="002B6874"/>
    <w:rsid w:val="002C44BE"/>
    <w:rsid w:val="002D296D"/>
    <w:rsid w:val="002D2F57"/>
    <w:rsid w:val="002D48C5"/>
    <w:rsid w:val="002E0951"/>
    <w:rsid w:val="002E1135"/>
    <w:rsid w:val="003034C4"/>
    <w:rsid w:val="0032200E"/>
    <w:rsid w:val="00341695"/>
    <w:rsid w:val="00345FA8"/>
    <w:rsid w:val="003530C1"/>
    <w:rsid w:val="0037331F"/>
    <w:rsid w:val="00383D91"/>
    <w:rsid w:val="00395489"/>
    <w:rsid w:val="00395D22"/>
    <w:rsid w:val="003A224A"/>
    <w:rsid w:val="003B5DD9"/>
    <w:rsid w:val="003D31E1"/>
    <w:rsid w:val="003E0401"/>
    <w:rsid w:val="003F08D9"/>
    <w:rsid w:val="003F099E"/>
    <w:rsid w:val="003F235E"/>
    <w:rsid w:val="004023E0"/>
    <w:rsid w:val="00402FF0"/>
    <w:rsid w:val="00403DD8"/>
    <w:rsid w:val="00411408"/>
    <w:rsid w:val="00415FF1"/>
    <w:rsid w:val="00424D93"/>
    <w:rsid w:val="00434EFF"/>
    <w:rsid w:val="00437323"/>
    <w:rsid w:val="0045686C"/>
    <w:rsid w:val="004659FA"/>
    <w:rsid w:val="00486402"/>
    <w:rsid w:val="00490C8C"/>
    <w:rsid w:val="004918C4"/>
    <w:rsid w:val="00496676"/>
    <w:rsid w:val="00497703"/>
    <w:rsid w:val="004A0374"/>
    <w:rsid w:val="004A45B5"/>
    <w:rsid w:val="004A5F5B"/>
    <w:rsid w:val="004B2FBA"/>
    <w:rsid w:val="004B44D7"/>
    <w:rsid w:val="004C6EC0"/>
    <w:rsid w:val="004D0129"/>
    <w:rsid w:val="004D1F02"/>
    <w:rsid w:val="004E1FBA"/>
    <w:rsid w:val="00501146"/>
    <w:rsid w:val="00534321"/>
    <w:rsid w:val="00552ED8"/>
    <w:rsid w:val="0056727A"/>
    <w:rsid w:val="0059244A"/>
    <w:rsid w:val="00595EFE"/>
    <w:rsid w:val="005A40F1"/>
    <w:rsid w:val="005A64D5"/>
    <w:rsid w:val="005B1C72"/>
    <w:rsid w:val="005D3F8A"/>
    <w:rsid w:val="005E5A0B"/>
    <w:rsid w:val="005F3F55"/>
    <w:rsid w:val="005F500F"/>
    <w:rsid w:val="005F5664"/>
    <w:rsid w:val="005F693C"/>
    <w:rsid w:val="00601994"/>
    <w:rsid w:val="00607611"/>
    <w:rsid w:val="006077CA"/>
    <w:rsid w:val="006100F2"/>
    <w:rsid w:val="00635335"/>
    <w:rsid w:val="00660BAB"/>
    <w:rsid w:val="0066760F"/>
    <w:rsid w:val="00667C32"/>
    <w:rsid w:val="00681E8D"/>
    <w:rsid w:val="00690845"/>
    <w:rsid w:val="006A5122"/>
    <w:rsid w:val="006A5A31"/>
    <w:rsid w:val="006B0F6D"/>
    <w:rsid w:val="006B484B"/>
    <w:rsid w:val="006C2E47"/>
    <w:rsid w:val="006D73DC"/>
    <w:rsid w:val="006E2D42"/>
    <w:rsid w:val="006E71CB"/>
    <w:rsid w:val="00703676"/>
    <w:rsid w:val="00707304"/>
    <w:rsid w:val="00732269"/>
    <w:rsid w:val="00735971"/>
    <w:rsid w:val="00747918"/>
    <w:rsid w:val="0076463A"/>
    <w:rsid w:val="00780676"/>
    <w:rsid w:val="00782202"/>
    <w:rsid w:val="00785ABD"/>
    <w:rsid w:val="00795494"/>
    <w:rsid w:val="007A2DD4"/>
    <w:rsid w:val="007A3973"/>
    <w:rsid w:val="007A46E5"/>
    <w:rsid w:val="007B0DEB"/>
    <w:rsid w:val="007B0E55"/>
    <w:rsid w:val="007B1CA2"/>
    <w:rsid w:val="007B2B4B"/>
    <w:rsid w:val="007B6FD2"/>
    <w:rsid w:val="007C4261"/>
    <w:rsid w:val="007C76B8"/>
    <w:rsid w:val="007D38B5"/>
    <w:rsid w:val="007D7925"/>
    <w:rsid w:val="007D7F0B"/>
    <w:rsid w:val="007E5B38"/>
    <w:rsid w:val="007E75C7"/>
    <w:rsid w:val="007E7EA0"/>
    <w:rsid w:val="007F049D"/>
    <w:rsid w:val="008018C4"/>
    <w:rsid w:val="00807255"/>
    <w:rsid w:val="0081023E"/>
    <w:rsid w:val="00812713"/>
    <w:rsid w:val="008173AA"/>
    <w:rsid w:val="00825BC8"/>
    <w:rsid w:val="00840A14"/>
    <w:rsid w:val="0085070A"/>
    <w:rsid w:val="00866FF5"/>
    <w:rsid w:val="008753D2"/>
    <w:rsid w:val="008770BB"/>
    <w:rsid w:val="00881EEC"/>
    <w:rsid w:val="00882F8D"/>
    <w:rsid w:val="00884554"/>
    <w:rsid w:val="008B081A"/>
    <w:rsid w:val="008B62B4"/>
    <w:rsid w:val="008C3FC9"/>
    <w:rsid w:val="008D2D7B"/>
    <w:rsid w:val="008E0737"/>
    <w:rsid w:val="008E1DCF"/>
    <w:rsid w:val="008E22F8"/>
    <w:rsid w:val="008F7C2C"/>
    <w:rsid w:val="009130C6"/>
    <w:rsid w:val="00915AA0"/>
    <w:rsid w:val="009300BC"/>
    <w:rsid w:val="009311AF"/>
    <w:rsid w:val="00934F46"/>
    <w:rsid w:val="00940E96"/>
    <w:rsid w:val="0095575A"/>
    <w:rsid w:val="00960B90"/>
    <w:rsid w:val="00995E35"/>
    <w:rsid w:val="009B0BAE"/>
    <w:rsid w:val="009C1C89"/>
    <w:rsid w:val="009C2FA1"/>
    <w:rsid w:val="009D17EF"/>
    <w:rsid w:val="009D3583"/>
    <w:rsid w:val="009D38C0"/>
    <w:rsid w:val="009E5D0C"/>
    <w:rsid w:val="009F30DA"/>
    <w:rsid w:val="009F3448"/>
    <w:rsid w:val="009F7B59"/>
    <w:rsid w:val="00A01CF9"/>
    <w:rsid w:val="00A12EBC"/>
    <w:rsid w:val="00A15252"/>
    <w:rsid w:val="00A25239"/>
    <w:rsid w:val="00A3195F"/>
    <w:rsid w:val="00A355E9"/>
    <w:rsid w:val="00A415BB"/>
    <w:rsid w:val="00A4740B"/>
    <w:rsid w:val="00A659C4"/>
    <w:rsid w:val="00A71773"/>
    <w:rsid w:val="00A773D2"/>
    <w:rsid w:val="00A863CE"/>
    <w:rsid w:val="00A96037"/>
    <w:rsid w:val="00AB6517"/>
    <w:rsid w:val="00AC4BE6"/>
    <w:rsid w:val="00AD0483"/>
    <w:rsid w:val="00AE2C85"/>
    <w:rsid w:val="00AF0E6B"/>
    <w:rsid w:val="00AF2BCA"/>
    <w:rsid w:val="00B00220"/>
    <w:rsid w:val="00B01CA1"/>
    <w:rsid w:val="00B12A37"/>
    <w:rsid w:val="00B4296B"/>
    <w:rsid w:val="00B467DB"/>
    <w:rsid w:val="00B63EF2"/>
    <w:rsid w:val="00B803EA"/>
    <w:rsid w:val="00B8189D"/>
    <w:rsid w:val="00B84922"/>
    <w:rsid w:val="00BA2174"/>
    <w:rsid w:val="00BA7D89"/>
    <w:rsid w:val="00BC0D39"/>
    <w:rsid w:val="00BC7BC0"/>
    <w:rsid w:val="00BD57B7"/>
    <w:rsid w:val="00BE63E2"/>
    <w:rsid w:val="00C10B30"/>
    <w:rsid w:val="00C12CBF"/>
    <w:rsid w:val="00C2124E"/>
    <w:rsid w:val="00C218F3"/>
    <w:rsid w:val="00C34754"/>
    <w:rsid w:val="00C362EA"/>
    <w:rsid w:val="00C5627E"/>
    <w:rsid w:val="00C60521"/>
    <w:rsid w:val="00C950DF"/>
    <w:rsid w:val="00CB34DF"/>
    <w:rsid w:val="00CC0141"/>
    <w:rsid w:val="00CD2009"/>
    <w:rsid w:val="00CE6B3C"/>
    <w:rsid w:val="00CF629C"/>
    <w:rsid w:val="00D04A20"/>
    <w:rsid w:val="00D12005"/>
    <w:rsid w:val="00D21BED"/>
    <w:rsid w:val="00D22B90"/>
    <w:rsid w:val="00D2374E"/>
    <w:rsid w:val="00D534A2"/>
    <w:rsid w:val="00D646DB"/>
    <w:rsid w:val="00D67625"/>
    <w:rsid w:val="00D74854"/>
    <w:rsid w:val="00D76333"/>
    <w:rsid w:val="00D918EE"/>
    <w:rsid w:val="00D92EEA"/>
    <w:rsid w:val="00D93333"/>
    <w:rsid w:val="00DA5D4E"/>
    <w:rsid w:val="00DA7095"/>
    <w:rsid w:val="00DB20ED"/>
    <w:rsid w:val="00DE10B6"/>
    <w:rsid w:val="00E05A60"/>
    <w:rsid w:val="00E15FA2"/>
    <w:rsid w:val="00E176BA"/>
    <w:rsid w:val="00E35252"/>
    <w:rsid w:val="00E376A6"/>
    <w:rsid w:val="00E423EC"/>
    <w:rsid w:val="00E4330B"/>
    <w:rsid w:val="00E43CB5"/>
    <w:rsid w:val="00E53FCA"/>
    <w:rsid w:val="00E55121"/>
    <w:rsid w:val="00E70AB1"/>
    <w:rsid w:val="00E7636F"/>
    <w:rsid w:val="00E77A37"/>
    <w:rsid w:val="00E96AA4"/>
    <w:rsid w:val="00EA333B"/>
    <w:rsid w:val="00EA687D"/>
    <w:rsid w:val="00EB4FCB"/>
    <w:rsid w:val="00EC6BC5"/>
    <w:rsid w:val="00ED7609"/>
    <w:rsid w:val="00F11248"/>
    <w:rsid w:val="00F23461"/>
    <w:rsid w:val="00F35898"/>
    <w:rsid w:val="00F35A9E"/>
    <w:rsid w:val="00F50D96"/>
    <w:rsid w:val="00F5225B"/>
    <w:rsid w:val="00F54661"/>
    <w:rsid w:val="00F65682"/>
    <w:rsid w:val="00F72394"/>
    <w:rsid w:val="00FA3092"/>
    <w:rsid w:val="00FA3AA4"/>
    <w:rsid w:val="00FB3835"/>
    <w:rsid w:val="00FE17F9"/>
    <w:rsid w:val="00FE5701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semiHidden/>
    <w:unhideWhenUsed/>
    <w:rsid w:val="001640C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40C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05/en" TargetMode="External"/><Relationship Id="rId13" Type="http://schemas.openxmlformats.org/officeDocument/2006/relationships/hyperlink" Target="https://www.itu.int/md/S18-CL-C-0055/en" TargetMode="External"/><Relationship Id="rId18" Type="http://schemas.openxmlformats.org/officeDocument/2006/relationships/hyperlink" Target="https://www.itu.int/md/S18-CL-180417-TD-GEN-0006/en" TargetMode="External"/><Relationship Id="rId26" Type="http://schemas.openxmlformats.org/officeDocument/2006/relationships/hyperlink" Target="https://www.itu.int/md/S18-CL-C-0079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-C-0006/en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63/en" TargetMode="External"/><Relationship Id="rId17" Type="http://schemas.openxmlformats.org/officeDocument/2006/relationships/hyperlink" Target="https://www.itu.int/md/S18-CL-C-0092/en" TargetMode="External"/><Relationship Id="rId25" Type="http://schemas.openxmlformats.org/officeDocument/2006/relationships/hyperlink" Target="https://www.itu.int/md/S18-CL-C-0026/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91/en" TargetMode="External"/><Relationship Id="rId20" Type="http://schemas.openxmlformats.org/officeDocument/2006/relationships/hyperlink" Target="https://www.itu.int/md/S18-CL-C-0095/en" TargetMode="External"/><Relationship Id="rId29" Type="http://schemas.openxmlformats.org/officeDocument/2006/relationships/hyperlink" Target="https://www.itu.int/md/S18-CL-180417-TD-GEN-000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013/en" TargetMode="External"/><Relationship Id="rId24" Type="http://schemas.openxmlformats.org/officeDocument/2006/relationships/hyperlink" Target="https://www.itu.int/md/S18-CL-C-0055/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079/en" TargetMode="External"/><Relationship Id="rId23" Type="http://schemas.openxmlformats.org/officeDocument/2006/relationships/hyperlink" Target="https://www.itu.int/md/S18-CL-C-0063/en" TargetMode="External"/><Relationship Id="rId28" Type="http://schemas.openxmlformats.org/officeDocument/2006/relationships/hyperlink" Target="https://www.itu.int/md/S18-CL-C-0092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18-CL-C-0006/en" TargetMode="External"/><Relationship Id="rId19" Type="http://schemas.openxmlformats.org/officeDocument/2006/relationships/hyperlink" Target="https://www.itu.int/md/S18-CL-C-0005/en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95/en" TargetMode="External"/><Relationship Id="rId14" Type="http://schemas.openxmlformats.org/officeDocument/2006/relationships/hyperlink" Target="https://www.itu.int/md/S18-CL-C-0026/en" TargetMode="External"/><Relationship Id="rId22" Type="http://schemas.openxmlformats.org/officeDocument/2006/relationships/hyperlink" Target="https://www.itu.int/md/S18-CL-C-0013/en" TargetMode="External"/><Relationship Id="rId27" Type="http://schemas.openxmlformats.org/officeDocument/2006/relationships/hyperlink" Target="https://www.itu.int/md/S18-CL-C-0091/e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5</Pages>
  <Words>1691</Words>
  <Characters>12760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14423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fifth Plenary Meeting</dc:title>
  <dc:subject>Council 2018</dc:subject>
  <dc:creator>Fedosova, Elena</dc:creator>
  <cp:keywords>C2018, C18</cp:keywords>
  <dc:description/>
  <cp:lastModifiedBy>Janin</cp:lastModifiedBy>
  <cp:revision>3</cp:revision>
  <cp:lastPrinted>2018-06-04T13:01:00Z</cp:lastPrinted>
  <dcterms:created xsi:type="dcterms:W3CDTF">2018-06-05T14:13:00Z</dcterms:created>
  <dcterms:modified xsi:type="dcterms:W3CDTF">2018-06-05T14:14:00Z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