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CD10C4" w:rsidTr="00464B6C">
        <w:trPr>
          <w:cantSplit/>
        </w:trPr>
        <w:tc>
          <w:tcPr>
            <w:tcW w:w="6911" w:type="dxa"/>
          </w:tcPr>
          <w:p w:rsidR="002A2188" w:rsidRPr="00CD10C4" w:rsidRDefault="002A2188" w:rsidP="00623AE3">
            <w:pPr>
              <w:spacing w:before="360" w:after="48" w:line="240" w:lineRule="atLeast"/>
              <w:rPr>
                <w:rFonts w:asciiTheme="minorHAnsi" w:hAnsiTheme="minorHAnsi"/>
                <w:position w:val="6"/>
              </w:rPr>
            </w:pPr>
            <w:r w:rsidRPr="00CD10C4">
              <w:rPr>
                <w:rFonts w:asciiTheme="minorHAnsi" w:hAnsiTheme="minorHAnsi"/>
                <w:b/>
                <w:bCs/>
                <w:position w:val="6"/>
                <w:sz w:val="30"/>
                <w:szCs w:val="30"/>
                <w:lang w:val="fr-CH"/>
              </w:rPr>
              <w:t>Council 201</w:t>
            </w:r>
            <w:r w:rsidR="00623AE3" w:rsidRPr="00CD10C4">
              <w:rPr>
                <w:rFonts w:asciiTheme="minorHAnsi" w:hAnsiTheme="minorHAnsi"/>
                <w:b/>
                <w:bCs/>
                <w:position w:val="6"/>
                <w:sz w:val="30"/>
                <w:szCs w:val="30"/>
                <w:lang w:val="fr-CH"/>
              </w:rPr>
              <w:t>8</w:t>
            </w:r>
            <w:r w:rsidRPr="00CD10C4">
              <w:rPr>
                <w:rFonts w:asciiTheme="minorHAnsi" w:hAnsiTheme="minorHAnsi" w:cs="Times"/>
                <w:b/>
                <w:position w:val="6"/>
                <w:sz w:val="26"/>
                <w:szCs w:val="26"/>
                <w:lang w:val="en-US"/>
              </w:rPr>
              <w:br/>
            </w:r>
            <w:r w:rsidRPr="00CD10C4">
              <w:rPr>
                <w:rFonts w:asciiTheme="minorHAnsi" w:hAnsiTheme="minorHAnsi"/>
                <w:b/>
                <w:bCs/>
                <w:position w:val="6"/>
                <w:szCs w:val="24"/>
                <w:lang w:val="fr-CH"/>
              </w:rPr>
              <w:t>Geneva, 1</w:t>
            </w:r>
            <w:r w:rsidR="00623AE3" w:rsidRPr="00CD10C4">
              <w:rPr>
                <w:rFonts w:asciiTheme="minorHAnsi" w:hAnsiTheme="minorHAnsi"/>
                <w:b/>
                <w:bCs/>
                <w:position w:val="6"/>
                <w:szCs w:val="24"/>
                <w:lang w:val="fr-CH"/>
              </w:rPr>
              <w:t>7</w:t>
            </w:r>
            <w:r w:rsidRPr="00CD10C4">
              <w:rPr>
                <w:rFonts w:asciiTheme="minorHAnsi" w:hAnsiTheme="minorHAnsi"/>
                <w:b/>
                <w:bCs/>
                <w:position w:val="6"/>
                <w:szCs w:val="24"/>
                <w:lang w:val="fr-CH"/>
              </w:rPr>
              <w:t>-2</w:t>
            </w:r>
            <w:r w:rsidR="00623AE3" w:rsidRPr="00CD10C4">
              <w:rPr>
                <w:rFonts w:asciiTheme="minorHAnsi" w:hAnsiTheme="minorHAnsi"/>
                <w:b/>
                <w:bCs/>
                <w:position w:val="6"/>
                <w:szCs w:val="24"/>
                <w:lang w:val="fr-CH"/>
              </w:rPr>
              <w:t>7</w:t>
            </w:r>
            <w:r w:rsidRPr="00CD10C4">
              <w:rPr>
                <w:rFonts w:asciiTheme="minorHAnsi" w:hAnsiTheme="minorHAnsi"/>
                <w:b/>
                <w:bCs/>
                <w:position w:val="6"/>
                <w:szCs w:val="24"/>
                <w:lang w:val="fr-CH"/>
              </w:rPr>
              <w:t xml:space="preserve"> </w:t>
            </w:r>
            <w:r w:rsidR="00623AE3" w:rsidRPr="00CD10C4">
              <w:rPr>
                <w:rFonts w:asciiTheme="minorHAnsi" w:hAnsiTheme="minorHAnsi"/>
                <w:b/>
                <w:bCs/>
                <w:position w:val="6"/>
                <w:szCs w:val="24"/>
                <w:lang w:val="fr-CH"/>
              </w:rPr>
              <w:t>April</w:t>
            </w:r>
            <w:r w:rsidRPr="00CD10C4">
              <w:rPr>
                <w:rFonts w:asciiTheme="minorHAnsi" w:hAnsiTheme="minorHAnsi"/>
                <w:b/>
                <w:bCs/>
                <w:position w:val="6"/>
                <w:szCs w:val="24"/>
                <w:lang w:val="fr-CH"/>
              </w:rPr>
              <w:t xml:space="preserve"> 201</w:t>
            </w:r>
            <w:r w:rsidR="00623AE3" w:rsidRPr="00CD10C4">
              <w:rPr>
                <w:rFonts w:asciiTheme="minorHAnsi" w:hAnsiTheme="minorHAnsi"/>
                <w:b/>
                <w:bCs/>
                <w:position w:val="6"/>
                <w:szCs w:val="24"/>
                <w:lang w:val="fr-CH"/>
              </w:rPr>
              <w:t>8</w:t>
            </w:r>
          </w:p>
        </w:tc>
        <w:tc>
          <w:tcPr>
            <w:tcW w:w="3120" w:type="dxa"/>
          </w:tcPr>
          <w:p w:rsidR="002A2188" w:rsidRPr="00CD10C4" w:rsidRDefault="002A2188" w:rsidP="00464B6C">
            <w:pPr>
              <w:spacing w:before="0" w:line="240" w:lineRule="atLeast"/>
              <w:jc w:val="right"/>
              <w:rPr>
                <w:rFonts w:asciiTheme="minorHAnsi" w:hAnsiTheme="minorHAnsi"/>
              </w:rPr>
            </w:pPr>
            <w:bookmarkStart w:id="0" w:name="ditulogo"/>
            <w:bookmarkEnd w:id="0"/>
            <w:r w:rsidRPr="00CD10C4">
              <w:rPr>
                <w:rFonts w:asciiTheme="minorHAnsi" w:hAnsiTheme="minorHAnsi"/>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CD10C4" w:rsidTr="00464B6C">
        <w:trPr>
          <w:cantSplit/>
        </w:trPr>
        <w:tc>
          <w:tcPr>
            <w:tcW w:w="6911" w:type="dxa"/>
            <w:tcBorders>
              <w:bottom w:val="single" w:sz="12" w:space="0" w:color="auto"/>
            </w:tcBorders>
          </w:tcPr>
          <w:p w:rsidR="002A2188" w:rsidRPr="00CD10C4" w:rsidRDefault="002A2188" w:rsidP="00464B6C">
            <w:pPr>
              <w:spacing w:before="0" w:after="48" w:line="240" w:lineRule="atLeast"/>
              <w:rPr>
                <w:rFonts w:asciiTheme="minorHAnsi" w:hAnsiTheme="minorHAnsi"/>
                <w:b/>
                <w:smallCaps/>
                <w:szCs w:val="24"/>
              </w:rPr>
            </w:pPr>
          </w:p>
        </w:tc>
        <w:tc>
          <w:tcPr>
            <w:tcW w:w="3120" w:type="dxa"/>
            <w:tcBorders>
              <w:bottom w:val="single" w:sz="12" w:space="0" w:color="auto"/>
            </w:tcBorders>
          </w:tcPr>
          <w:p w:rsidR="002A2188" w:rsidRPr="00CD10C4" w:rsidRDefault="002A2188" w:rsidP="00464B6C">
            <w:pPr>
              <w:spacing w:before="0" w:line="240" w:lineRule="atLeast"/>
              <w:rPr>
                <w:rFonts w:asciiTheme="minorHAnsi" w:hAnsiTheme="minorHAnsi"/>
                <w:szCs w:val="24"/>
              </w:rPr>
            </w:pPr>
          </w:p>
        </w:tc>
      </w:tr>
      <w:tr w:rsidR="002A2188" w:rsidRPr="00CD10C4" w:rsidTr="00464B6C">
        <w:trPr>
          <w:cantSplit/>
        </w:trPr>
        <w:tc>
          <w:tcPr>
            <w:tcW w:w="6911" w:type="dxa"/>
            <w:tcBorders>
              <w:top w:val="single" w:sz="12" w:space="0" w:color="auto"/>
            </w:tcBorders>
          </w:tcPr>
          <w:p w:rsidR="002A2188" w:rsidRPr="00CD10C4" w:rsidRDefault="002A2188" w:rsidP="00464B6C">
            <w:pPr>
              <w:spacing w:before="0" w:after="48" w:line="240" w:lineRule="atLeast"/>
              <w:rPr>
                <w:rFonts w:asciiTheme="minorHAnsi" w:hAnsiTheme="minorHAnsi"/>
                <w:b/>
                <w:smallCaps/>
                <w:szCs w:val="24"/>
              </w:rPr>
            </w:pPr>
          </w:p>
        </w:tc>
        <w:tc>
          <w:tcPr>
            <w:tcW w:w="3120" w:type="dxa"/>
            <w:tcBorders>
              <w:top w:val="single" w:sz="12" w:space="0" w:color="auto"/>
            </w:tcBorders>
          </w:tcPr>
          <w:p w:rsidR="002A2188" w:rsidRPr="00CD10C4" w:rsidRDefault="002A2188" w:rsidP="00464B6C">
            <w:pPr>
              <w:spacing w:before="0" w:line="240" w:lineRule="atLeast"/>
              <w:rPr>
                <w:rFonts w:asciiTheme="minorHAnsi" w:hAnsiTheme="minorHAnsi"/>
                <w:szCs w:val="24"/>
              </w:rPr>
            </w:pPr>
          </w:p>
        </w:tc>
      </w:tr>
      <w:tr w:rsidR="002A2188" w:rsidRPr="00CD10C4" w:rsidTr="00464B6C">
        <w:trPr>
          <w:cantSplit/>
          <w:trHeight w:val="23"/>
        </w:trPr>
        <w:tc>
          <w:tcPr>
            <w:tcW w:w="6911" w:type="dxa"/>
            <w:vMerge w:val="restart"/>
          </w:tcPr>
          <w:p w:rsidR="002A2188" w:rsidRPr="00CD10C4" w:rsidRDefault="002A2188" w:rsidP="00D04E39">
            <w:pPr>
              <w:tabs>
                <w:tab w:val="left" w:pos="851"/>
              </w:tabs>
              <w:spacing w:before="0" w:line="240" w:lineRule="atLeast"/>
              <w:rPr>
                <w:rFonts w:asciiTheme="minorHAnsi" w:hAnsiTheme="minorHAnsi"/>
                <w:b/>
              </w:rPr>
            </w:pPr>
            <w:bookmarkStart w:id="1" w:name="dmeeting" w:colFirst="0" w:colLast="0"/>
            <w:bookmarkStart w:id="2" w:name="dnum" w:colFirst="1" w:colLast="1"/>
          </w:p>
        </w:tc>
        <w:tc>
          <w:tcPr>
            <w:tcW w:w="3120" w:type="dxa"/>
          </w:tcPr>
          <w:p w:rsidR="002A2188" w:rsidRPr="00CD10C4" w:rsidRDefault="002A2188" w:rsidP="00401D85">
            <w:pPr>
              <w:tabs>
                <w:tab w:val="left" w:pos="851"/>
              </w:tabs>
              <w:spacing w:before="0" w:line="240" w:lineRule="atLeast"/>
              <w:rPr>
                <w:rFonts w:asciiTheme="minorHAnsi" w:hAnsiTheme="minorHAnsi"/>
                <w:b/>
              </w:rPr>
            </w:pPr>
            <w:r w:rsidRPr="00CD10C4">
              <w:rPr>
                <w:rFonts w:asciiTheme="minorHAnsi" w:hAnsiTheme="minorHAnsi"/>
                <w:b/>
              </w:rPr>
              <w:t>Document C1</w:t>
            </w:r>
            <w:r w:rsidR="00623AE3" w:rsidRPr="00CD10C4">
              <w:rPr>
                <w:rFonts w:asciiTheme="minorHAnsi" w:hAnsiTheme="minorHAnsi"/>
                <w:b/>
              </w:rPr>
              <w:t>8</w:t>
            </w:r>
            <w:r w:rsidRPr="00CD10C4">
              <w:rPr>
                <w:rFonts w:asciiTheme="minorHAnsi" w:hAnsiTheme="minorHAnsi"/>
                <w:b/>
              </w:rPr>
              <w:t>/</w:t>
            </w:r>
            <w:r w:rsidR="00CD10C4" w:rsidRPr="00CD10C4">
              <w:rPr>
                <w:rFonts w:asciiTheme="minorHAnsi" w:hAnsiTheme="minorHAnsi"/>
                <w:b/>
              </w:rPr>
              <w:t>109</w:t>
            </w:r>
            <w:r w:rsidRPr="00CD10C4">
              <w:rPr>
                <w:rFonts w:asciiTheme="minorHAnsi" w:hAnsiTheme="minorHAnsi"/>
                <w:b/>
              </w:rPr>
              <w:t>-E</w:t>
            </w:r>
          </w:p>
        </w:tc>
      </w:tr>
      <w:tr w:rsidR="002A2188" w:rsidRPr="00CD10C4" w:rsidTr="00464B6C">
        <w:trPr>
          <w:cantSplit/>
          <w:trHeight w:val="23"/>
        </w:trPr>
        <w:tc>
          <w:tcPr>
            <w:tcW w:w="6911" w:type="dxa"/>
            <w:vMerge/>
          </w:tcPr>
          <w:p w:rsidR="002A2188" w:rsidRPr="00CD10C4" w:rsidRDefault="002A2188" w:rsidP="00464B6C">
            <w:pPr>
              <w:tabs>
                <w:tab w:val="left" w:pos="851"/>
              </w:tabs>
              <w:spacing w:line="240" w:lineRule="atLeast"/>
              <w:rPr>
                <w:rFonts w:asciiTheme="minorHAnsi" w:hAnsiTheme="minorHAnsi"/>
                <w:b/>
              </w:rPr>
            </w:pPr>
            <w:bookmarkStart w:id="3" w:name="ddate" w:colFirst="1" w:colLast="1"/>
            <w:bookmarkEnd w:id="1"/>
            <w:bookmarkEnd w:id="2"/>
          </w:p>
        </w:tc>
        <w:tc>
          <w:tcPr>
            <w:tcW w:w="3120" w:type="dxa"/>
          </w:tcPr>
          <w:p w:rsidR="002A2188" w:rsidRPr="00CD10C4" w:rsidRDefault="00814251" w:rsidP="00623AE3">
            <w:pPr>
              <w:tabs>
                <w:tab w:val="left" w:pos="993"/>
              </w:tabs>
              <w:spacing w:before="0"/>
              <w:rPr>
                <w:rFonts w:asciiTheme="minorHAnsi" w:hAnsiTheme="minorHAnsi"/>
                <w:b/>
              </w:rPr>
            </w:pPr>
            <w:r>
              <w:rPr>
                <w:rFonts w:asciiTheme="minorHAnsi" w:hAnsiTheme="minorHAnsi"/>
                <w:b/>
              </w:rPr>
              <w:t>17 May</w:t>
            </w:r>
            <w:bookmarkStart w:id="4" w:name="_GoBack"/>
            <w:bookmarkEnd w:id="4"/>
            <w:r w:rsidR="002A2188" w:rsidRPr="00CD10C4">
              <w:rPr>
                <w:rFonts w:asciiTheme="minorHAnsi" w:hAnsiTheme="minorHAnsi"/>
                <w:b/>
              </w:rPr>
              <w:t xml:space="preserve"> 201</w:t>
            </w:r>
            <w:r w:rsidR="00623AE3" w:rsidRPr="00CD10C4">
              <w:rPr>
                <w:rFonts w:asciiTheme="minorHAnsi" w:hAnsiTheme="minorHAnsi"/>
                <w:b/>
              </w:rPr>
              <w:t>8</w:t>
            </w:r>
          </w:p>
        </w:tc>
      </w:tr>
      <w:tr w:rsidR="002A2188" w:rsidRPr="00CD10C4" w:rsidTr="00464B6C">
        <w:trPr>
          <w:cantSplit/>
          <w:trHeight w:val="23"/>
        </w:trPr>
        <w:tc>
          <w:tcPr>
            <w:tcW w:w="6911" w:type="dxa"/>
            <w:vMerge/>
          </w:tcPr>
          <w:p w:rsidR="002A2188" w:rsidRPr="00CD10C4" w:rsidRDefault="002A2188" w:rsidP="00464B6C">
            <w:pPr>
              <w:tabs>
                <w:tab w:val="left" w:pos="851"/>
              </w:tabs>
              <w:spacing w:line="240" w:lineRule="atLeast"/>
              <w:rPr>
                <w:rFonts w:asciiTheme="minorHAnsi" w:hAnsiTheme="minorHAnsi"/>
                <w:b/>
              </w:rPr>
            </w:pPr>
            <w:bookmarkStart w:id="5" w:name="dorlang" w:colFirst="1" w:colLast="1"/>
            <w:bookmarkEnd w:id="3"/>
          </w:p>
        </w:tc>
        <w:tc>
          <w:tcPr>
            <w:tcW w:w="3120" w:type="dxa"/>
          </w:tcPr>
          <w:p w:rsidR="002A2188" w:rsidRPr="00CD10C4" w:rsidRDefault="002A2188" w:rsidP="00464B6C">
            <w:pPr>
              <w:tabs>
                <w:tab w:val="left" w:pos="993"/>
              </w:tabs>
              <w:spacing w:before="0"/>
              <w:rPr>
                <w:rFonts w:asciiTheme="minorHAnsi" w:hAnsiTheme="minorHAnsi"/>
                <w:b/>
              </w:rPr>
            </w:pPr>
            <w:r w:rsidRPr="00CD10C4">
              <w:rPr>
                <w:rFonts w:asciiTheme="minorHAnsi" w:hAnsiTheme="minorHAnsi"/>
                <w:b/>
              </w:rPr>
              <w:t>Original: English</w:t>
            </w:r>
          </w:p>
        </w:tc>
      </w:tr>
      <w:tr w:rsidR="002A2188" w:rsidRPr="00CD10C4" w:rsidTr="00464B6C">
        <w:trPr>
          <w:cantSplit/>
        </w:trPr>
        <w:tc>
          <w:tcPr>
            <w:tcW w:w="10031" w:type="dxa"/>
            <w:gridSpan w:val="2"/>
          </w:tcPr>
          <w:p w:rsidR="002A2188" w:rsidRPr="00CD10C4" w:rsidRDefault="002A2188" w:rsidP="00464B6C">
            <w:pPr>
              <w:pStyle w:val="Source"/>
              <w:rPr>
                <w:rFonts w:asciiTheme="minorHAnsi" w:hAnsiTheme="minorHAnsi"/>
              </w:rPr>
            </w:pPr>
            <w:bookmarkStart w:id="6" w:name="dsource" w:colFirst="0" w:colLast="0"/>
            <w:bookmarkEnd w:id="5"/>
          </w:p>
        </w:tc>
      </w:tr>
      <w:tr w:rsidR="002A2188" w:rsidRPr="00CD10C4" w:rsidTr="00464B6C">
        <w:trPr>
          <w:cantSplit/>
        </w:trPr>
        <w:tc>
          <w:tcPr>
            <w:tcW w:w="10031" w:type="dxa"/>
            <w:gridSpan w:val="2"/>
          </w:tcPr>
          <w:p w:rsidR="00401D85" w:rsidRPr="00CD10C4" w:rsidRDefault="00401D85" w:rsidP="00464B6C">
            <w:pPr>
              <w:pStyle w:val="Title1"/>
              <w:rPr>
                <w:rFonts w:asciiTheme="minorHAnsi" w:hAnsiTheme="minorHAnsi"/>
              </w:rPr>
            </w:pPr>
            <w:bookmarkStart w:id="7" w:name="dtitle1" w:colFirst="0" w:colLast="0"/>
            <w:bookmarkEnd w:id="6"/>
            <w:r w:rsidRPr="00CD10C4">
              <w:rPr>
                <w:rFonts w:asciiTheme="minorHAnsi" w:hAnsiTheme="minorHAnsi"/>
              </w:rPr>
              <w:t xml:space="preserve">Summary record </w:t>
            </w:r>
          </w:p>
          <w:p w:rsidR="00401D85" w:rsidRPr="00CD10C4" w:rsidRDefault="00401D85" w:rsidP="00464B6C">
            <w:pPr>
              <w:pStyle w:val="Title1"/>
              <w:rPr>
                <w:rFonts w:asciiTheme="minorHAnsi" w:hAnsiTheme="minorHAnsi"/>
              </w:rPr>
            </w:pPr>
            <w:r w:rsidRPr="00CD10C4">
              <w:rPr>
                <w:rFonts w:asciiTheme="minorHAnsi" w:hAnsiTheme="minorHAnsi"/>
              </w:rPr>
              <w:t xml:space="preserve">of the </w:t>
            </w:r>
          </w:p>
          <w:p w:rsidR="002A2188" w:rsidRPr="00CD10C4" w:rsidRDefault="001A557A" w:rsidP="00CD10C4">
            <w:pPr>
              <w:pStyle w:val="Title1"/>
              <w:rPr>
                <w:rFonts w:asciiTheme="minorHAnsi" w:hAnsiTheme="minorHAnsi"/>
              </w:rPr>
            </w:pPr>
            <w:r w:rsidRPr="00CD10C4">
              <w:rPr>
                <w:rFonts w:asciiTheme="minorHAnsi" w:hAnsiTheme="minorHAnsi"/>
              </w:rPr>
              <w:t>f</w:t>
            </w:r>
            <w:r w:rsidR="00CD10C4">
              <w:rPr>
                <w:rFonts w:asciiTheme="minorHAnsi" w:hAnsiTheme="minorHAnsi"/>
              </w:rPr>
              <w:t>ifth</w:t>
            </w:r>
            <w:r w:rsidR="00401D85" w:rsidRPr="00CD10C4">
              <w:rPr>
                <w:rFonts w:asciiTheme="minorHAnsi" w:hAnsiTheme="minorHAnsi"/>
              </w:rPr>
              <w:t xml:space="preserve"> Plenary meeting</w:t>
            </w:r>
          </w:p>
        </w:tc>
      </w:tr>
      <w:tr w:rsidR="00401D85" w:rsidRPr="00CD10C4" w:rsidTr="00464B6C">
        <w:trPr>
          <w:cantSplit/>
        </w:trPr>
        <w:tc>
          <w:tcPr>
            <w:tcW w:w="10031" w:type="dxa"/>
            <w:gridSpan w:val="2"/>
          </w:tcPr>
          <w:p w:rsidR="00401D85" w:rsidRPr="00CD10C4" w:rsidRDefault="00CD10C4" w:rsidP="001A557A">
            <w:pPr>
              <w:pStyle w:val="Title1"/>
              <w:rPr>
                <w:rFonts w:asciiTheme="minorHAnsi" w:hAnsiTheme="minorHAnsi"/>
                <w:sz w:val="24"/>
                <w:szCs w:val="24"/>
              </w:rPr>
            </w:pPr>
            <w:r w:rsidRPr="00CD10C4">
              <w:rPr>
                <w:rFonts w:asciiTheme="minorHAnsi" w:hAnsiTheme="minorHAnsi"/>
                <w:caps w:val="0"/>
                <w:sz w:val="24"/>
                <w:szCs w:val="24"/>
              </w:rPr>
              <w:t>Tuesday, 24 April 2018, from 0935 to 1235 hours</w:t>
            </w:r>
          </w:p>
        </w:tc>
      </w:tr>
      <w:tr w:rsidR="00401D85" w:rsidRPr="00CD10C4" w:rsidTr="00464B6C">
        <w:trPr>
          <w:cantSplit/>
        </w:trPr>
        <w:tc>
          <w:tcPr>
            <w:tcW w:w="10031" w:type="dxa"/>
            <w:gridSpan w:val="2"/>
          </w:tcPr>
          <w:p w:rsidR="00401D85" w:rsidRPr="00CD10C4" w:rsidRDefault="00401D85" w:rsidP="00464B6C">
            <w:pPr>
              <w:pStyle w:val="Title1"/>
              <w:rPr>
                <w:rFonts w:asciiTheme="minorHAnsi" w:hAnsiTheme="minorHAnsi"/>
                <w:sz w:val="24"/>
                <w:szCs w:val="24"/>
              </w:rPr>
            </w:pPr>
            <w:r w:rsidRPr="00CD10C4">
              <w:rPr>
                <w:rFonts w:asciiTheme="minorHAnsi" w:hAnsiTheme="minorHAnsi"/>
                <w:b/>
                <w:bCs/>
                <w:caps w:val="0"/>
                <w:sz w:val="24"/>
                <w:szCs w:val="24"/>
              </w:rPr>
              <w:t>Chairman</w:t>
            </w:r>
            <w:r w:rsidR="006043C6" w:rsidRPr="00CD10C4">
              <w:rPr>
                <w:rFonts w:asciiTheme="minorHAnsi" w:hAnsiTheme="minorHAnsi"/>
                <w:caps w:val="0"/>
                <w:sz w:val="24"/>
                <w:szCs w:val="24"/>
              </w:rPr>
              <w:t xml:space="preserve">: </w:t>
            </w:r>
            <w:r w:rsidRPr="00CD10C4">
              <w:rPr>
                <w:rFonts w:asciiTheme="minorHAnsi" w:hAnsiTheme="minorHAnsi"/>
                <w:caps w:val="0"/>
                <w:sz w:val="24"/>
                <w:szCs w:val="24"/>
              </w:rPr>
              <w:t>Mr R. ISMAILOV (Russian Federation)</w:t>
            </w:r>
          </w:p>
        </w:tc>
      </w:tr>
      <w:bookmarkEnd w:id="7"/>
    </w:tbl>
    <w:p w:rsidR="002A2188" w:rsidRPr="00CD10C4" w:rsidRDefault="002A2188" w:rsidP="006043C6">
      <w:pPr>
        <w:spacing w:before="1080"/>
        <w:rPr>
          <w:rFonts w:asciiTheme="minorHAnsi" w:hAnsiTheme="minorHAnsi"/>
        </w:rPr>
      </w:pPr>
    </w:p>
    <w:tbl>
      <w:tblPr>
        <w:tblW w:w="5221" w:type="pct"/>
        <w:tblLook w:val="0000" w:firstRow="0" w:lastRow="0" w:firstColumn="0" w:lastColumn="0" w:noHBand="0" w:noVBand="0"/>
      </w:tblPr>
      <w:tblGrid>
        <w:gridCol w:w="505"/>
        <w:gridCol w:w="7575"/>
        <w:gridCol w:w="1985"/>
      </w:tblGrid>
      <w:tr w:rsidR="00CD10C4" w:rsidRPr="00CD10C4" w:rsidTr="00C1066A">
        <w:tc>
          <w:tcPr>
            <w:tcW w:w="251" w:type="pct"/>
          </w:tcPr>
          <w:p w:rsidR="00CD10C4" w:rsidRPr="00CD10C4" w:rsidRDefault="00CD10C4" w:rsidP="00C1066A">
            <w:pPr>
              <w:pStyle w:val="toc0"/>
              <w:spacing w:after="120"/>
              <w:rPr>
                <w:rFonts w:asciiTheme="minorHAnsi" w:hAnsiTheme="minorHAnsi"/>
              </w:rPr>
            </w:pPr>
            <w:r w:rsidRPr="00CD10C4">
              <w:rPr>
                <w:rFonts w:asciiTheme="minorHAnsi" w:hAnsiTheme="minorHAnsi"/>
                <w:b w:val="0"/>
              </w:rPr>
              <w:br w:type="page"/>
            </w:r>
            <w:r w:rsidRPr="00CD10C4">
              <w:rPr>
                <w:rFonts w:asciiTheme="minorHAnsi" w:hAnsiTheme="minorHAnsi"/>
                <w:b w:val="0"/>
              </w:rPr>
              <w:br w:type="page"/>
            </w:r>
          </w:p>
        </w:tc>
        <w:tc>
          <w:tcPr>
            <w:tcW w:w="3763" w:type="pct"/>
          </w:tcPr>
          <w:p w:rsidR="00CD10C4" w:rsidRPr="00CD10C4" w:rsidRDefault="00CD10C4" w:rsidP="00C1066A">
            <w:pPr>
              <w:pStyle w:val="toc0"/>
              <w:spacing w:after="120"/>
              <w:rPr>
                <w:rFonts w:asciiTheme="minorHAnsi" w:hAnsiTheme="minorHAnsi"/>
              </w:rPr>
            </w:pPr>
            <w:r w:rsidRPr="00CD10C4">
              <w:rPr>
                <w:rFonts w:asciiTheme="minorHAnsi" w:hAnsiTheme="minorHAnsi"/>
              </w:rPr>
              <w:t>Subjects discussed</w:t>
            </w:r>
          </w:p>
        </w:tc>
        <w:tc>
          <w:tcPr>
            <w:tcW w:w="986" w:type="pct"/>
          </w:tcPr>
          <w:p w:rsidR="00CD10C4" w:rsidRPr="00CD10C4" w:rsidRDefault="00CD10C4" w:rsidP="00C1066A">
            <w:pPr>
              <w:pStyle w:val="toc0"/>
              <w:spacing w:after="120"/>
              <w:jc w:val="center"/>
              <w:rPr>
                <w:rFonts w:asciiTheme="minorHAnsi" w:hAnsiTheme="minorHAnsi"/>
              </w:rPr>
            </w:pPr>
            <w:r w:rsidRPr="00CD10C4">
              <w:rPr>
                <w:rFonts w:asciiTheme="minorHAnsi" w:hAnsiTheme="minorHAnsi"/>
              </w:rPr>
              <w:t>Documents</w:t>
            </w:r>
          </w:p>
        </w:tc>
      </w:tr>
      <w:tr w:rsidR="00CD10C4" w:rsidRPr="00CD10C4" w:rsidTr="00C1066A">
        <w:tc>
          <w:tcPr>
            <w:tcW w:w="251" w:type="pct"/>
          </w:tcPr>
          <w:p w:rsidR="00CD10C4" w:rsidRPr="00CD10C4" w:rsidRDefault="00CD10C4" w:rsidP="00CD10C4">
            <w:pPr>
              <w:spacing w:before="160"/>
              <w:rPr>
                <w:rFonts w:asciiTheme="minorHAnsi" w:hAnsiTheme="minorHAnsi"/>
              </w:rPr>
            </w:pPr>
            <w:r w:rsidRPr="00CD10C4">
              <w:rPr>
                <w:rFonts w:asciiTheme="minorHAnsi" w:hAnsiTheme="minorHAnsi"/>
              </w:rPr>
              <w:t>1</w:t>
            </w:r>
          </w:p>
        </w:tc>
        <w:tc>
          <w:tcPr>
            <w:tcW w:w="3763" w:type="pct"/>
          </w:tcPr>
          <w:p w:rsidR="00CD10C4" w:rsidRPr="00CD10C4" w:rsidRDefault="00CD10C4" w:rsidP="00CD10C4">
            <w:pPr>
              <w:spacing w:before="160"/>
              <w:rPr>
                <w:rFonts w:asciiTheme="minorHAnsi" w:hAnsiTheme="minorHAnsi"/>
              </w:rPr>
            </w:pPr>
            <w:r w:rsidRPr="00CD10C4">
              <w:rPr>
                <w:rFonts w:asciiTheme="minorHAnsi" w:hAnsiTheme="minorHAnsi"/>
              </w:rPr>
              <w:t xml:space="preserve">Follow-up report on possible improvements to the roll-out of the plenipotentiary conference: Candidates' hearing and ethics guidelines </w:t>
            </w:r>
          </w:p>
        </w:tc>
        <w:tc>
          <w:tcPr>
            <w:tcW w:w="986" w:type="pct"/>
          </w:tcPr>
          <w:p w:rsidR="00CD10C4" w:rsidRPr="00CD10C4" w:rsidRDefault="00814251" w:rsidP="00CD10C4">
            <w:pPr>
              <w:spacing w:before="160"/>
              <w:jc w:val="center"/>
              <w:rPr>
                <w:rFonts w:asciiTheme="minorHAnsi" w:hAnsiTheme="minorHAnsi"/>
              </w:rPr>
            </w:pPr>
            <w:hyperlink r:id="rId9" w:history="1">
              <w:r w:rsidR="00CD10C4" w:rsidRPr="00595758">
                <w:rPr>
                  <w:rStyle w:val="Hyperlink"/>
                  <w:rFonts w:asciiTheme="minorHAnsi" w:hAnsiTheme="minorHAnsi"/>
                </w:rPr>
                <w:t>C18/5</w:t>
              </w:r>
            </w:hyperlink>
            <w:r w:rsidR="00CD10C4" w:rsidRPr="00CD10C4">
              <w:rPr>
                <w:rFonts w:asciiTheme="minorHAnsi" w:hAnsiTheme="minorHAnsi"/>
              </w:rPr>
              <w:t xml:space="preserve">, </w:t>
            </w:r>
            <w:hyperlink r:id="rId10" w:history="1">
              <w:r w:rsidR="00CD10C4" w:rsidRPr="00595758">
                <w:rPr>
                  <w:rStyle w:val="Hyperlink"/>
                  <w:rFonts w:asciiTheme="minorHAnsi" w:hAnsiTheme="minorHAnsi"/>
                </w:rPr>
                <w:t>C18/95</w:t>
              </w:r>
            </w:hyperlink>
          </w:p>
        </w:tc>
      </w:tr>
      <w:tr w:rsidR="00CD10C4" w:rsidRPr="00CD10C4" w:rsidTr="00C1066A">
        <w:trPr>
          <w:trHeight w:val="357"/>
        </w:trPr>
        <w:tc>
          <w:tcPr>
            <w:tcW w:w="251" w:type="pct"/>
          </w:tcPr>
          <w:p w:rsidR="00CD10C4" w:rsidRPr="00CD10C4" w:rsidRDefault="00CD10C4" w:rsidP="00CD10C4">
            <w:pPr>
              <w:spacing w:before="160"/>
              <w:rPr>
                <w:rFonts w:asciiTheme="minorHAnsi" w:hAnsiTheme="minorHAnsi"/>
              </w:rPr>
            </w:pPr>
            <w:r w:rsidRPr="00CD10C4">
              <w:rPr>
                <w:rFonts w:asciiTheme="minorHAnsi" w:hAnsiTheme="minorHAnsi"/>
              </w:rPr>
              <w:t>2</w:t>
            </w:r>
          </w:p>
        </w:tc>
        <w:tc>
          <w:tcPr>
            <w:tcW w:w="3763" w:type="pct"/>
          </w:tcPr>
          <w:p w:rsidR="00CD10C4" w:rsidRPr="00CD10C4" w:rsidRDefault="00CD10C4" w:rsidP="00CD10C4">
            <w:pPr>
              <w:spacing w:before="160"/>
              <w:rPr>
                <w:rFonts w:asciiTheme="minorHAnsi" w:hAnsiTheme="minorHAnsi"/>
              </w:rPr>
            </w:pPr>
            <w:r w:rsidRPr="00CD10C4">
              <w:rPr>
                <w:rFonts w:asciiTheme="minorHAnsi" w:hAnsiTheme="minorHAnsi"/>
              </w:rPr>
              <w:t xml:space="preserve">Activities related to gender equality </w:t>
            </w:r>
          </w:p>
        </w:tc>
        <w:tc>
          <w:tcPr>
            <w:tcW w:w="986" w:type="pct"/>
          </w:tcPr>
          <w:p w:rsidR="00CD10C4" w:rsidRPr="00CD10C4" w:rsidRDefault="00814251" w:rsidP="00CD10C4">
            <w:pPr>
              <w:spacing w:before="160"/>
              <w:jc w:val="center"/>
              <w:rPr>
                <w:rFonts w:asciiTheme="minorHAnsi" w:hAnsiTheme="minorHAnsi"/>
              </w:rPr>
            </w:pPr>
            <w:hyperlink r:id="rId11" w:history="1">
              <w:r w:rsidR="00CD10C4" w:rsidRPr="00595758">
                <w:rPr>
                  <w:rStyle w:val="Hyperlink"/>
                  <w:rFonts w:asciiTheme="minorHAnsi" w:hAnsiTheme="minorHAnsi"/>
                </w:rPr>
                <w:t>C18/6</w:t>
              </w:r>
            </w:hyperlink>
            <w:r w:rsidR="00CD10C4" w:rsidRPr="00CD10C4">
              <w:rPr>
                <w:rFonts w:asciiTheme="minorHAnsi" w:hAnsiTheme="minorHAnsi"/>
              </w:rPr>
              <w:t xml:space="preserve">, </w:t>
            </w:r>
            <w:hyperlink r:id="rId12" w:history="1">
              <w:r w:rsidR="00CD10C4" w:rsidRPr="00595758">
                <w:rPr>
                  <w:rStyle w:val="Hyperlink"/>
                  <w:rFonts w:asciiTheme="minorHAnsi" w:hAnsiTheme="minorHAnsi"/>
                </w:rPr>
                <w:t>C18/13</w:t>
              </w:r>
            </w:hyperlink>
            <w:r w:rsidR="00CD10C4" w:rsidRPr="00CD10C4">
              <w:rPr>
                <w:rFonts w:asciiTheme="minorHAnsi" w:hAnsiTheme="minorHAnsi"/>
              </w:rPr>
              <w:t xml:space="preserve">, </w:t>
            </w:r>
            <w:hyperlink r:id="rId13" w:history="1">
              <w:r w:rsidR="00CD10C4" w:rsidRPr="00595758">
                <w:rPr>
                  <w:rStyle w:val="Hyperlink"/>
                  <w:rFonts w:asciiTheme="minorHAnsi" w:hAnsiTheme="minorHAnsi"/>
                </w:rPr>
                <w:t>C18/63</w:t>
              </w:r>
            </w:hyperlink>
          </w:p>
        </w:tc>
      </w:tr>
      <w:tr w:rsidR="00CD10C4" w:rsidRPr="00CD10C4" w:rsidTr="00C1066A">
        <w:trPr>
          <w:trHeight w:val="357"/>
        </w:trPr>
        <w:tc>
          <w:tcPr>
            <w:tcW w:w="251" w:type="pct"/>
          </w:tcPr>
          <w:p w:rsidR="00CD10C4" w:rsidRPr="00CD10C4" w:rsidRDefault="00CD10C4" w:rsidP="00CD10C4">
            <w:pPr>
              <w:spacing w:before="160"/>
              <w:rPr>
                <w:rFonts w:asciiTheme="minorHAnsi" w:hAnsiTheme="minorHAnsi"/>
              </w:rPr>
            </w:pPr>
            <w:r w:rsidRPr="00CD10C4">
              <w:rPr>
                <w:rFonts w:asciiTheme="minorHAnsi" w:hAnsiTheme="minorHAnsi"/>
              </w:rPr>
              <w:t>3</w:t>
            </w:r>
          </w:p>
        </w:tc>
        <w:tc>
          <w:tcPr>
            <w:tcW w:w="3763" w:type="pct"/>
          </w:tcPr>
          <w:p w:rsidR="00CD10C4" w:rsidRPr="00CD10C4" w:rsidRDefault="00CD10C4" w:rsidP="00CD10C4">
            <w:pPr>
              <w:spacing w:before="160"/>
              <w:rPr>
                <w:rFonts w:asciiTheme="minorHAnsi" w:hAnsiTheme="minorHAnsi"/>
              </w:rPr>
            </w:pPr>
            <w:r w:rsidRPr="00CD10C4">
              <w:rPr>
                <w:rFonts w:asciiTheme="minorHAnsi" w:hAnsiTheme="minorHAnsi"/>
                <w:bCs/>
              </w:rPr>
              <w:t xml:space="preserve">Consolidation of ITU’s high-level events of a global nature </w:t>
            </w:r>
          </w:p>
        </w:tc>
        <w:tc>
          <w:tcPr>
            <w:tcW w:w="986" w:type="pct"/>
          </w:tcPr>
          <w:p w:rsidR="00CD10C4" w:rsidRPr="00CD10C4" w:rsidRDefault="00814251" w:rsidP="00CD10C4">
            <w:pPr>
              <w:spacing w:before="160"/>
              <w:jc w:val="center"/>
              <w:rPr>
                <w:rFonts w:asciiTheme="minorHAnsi" w:hAnsiTheme="minorHAnsi"/>
              </w:rPr>
            </w:pPr>
            <w:hyperlink r:id="rId14" w:history="1">
              <w:r w:rsidR="00CD10C4" w:rsidRPr="00595758">
                <w:rPr>
                  <w:rStyle w:val="Hyperlink"/>
                  <w:rFonts w:asciiTheme="minorHAnsi" w:hAnsiTheme="minorHAnsi"/>
                  <w:bCs/>
                </w:rPr>
                <w:t>C18/55</w:t>
              </w:r>
            </w:hyperlink>
          </w:p>
        </w:tc>
      </w:tr>
      <w:tr w:rsidR="00CD10C4" w:rsidRPr="00CD10C4" w:rsidTr="00C1066A">
        <w:trPr>
          <w:trHeight w:val="972"/>
        </w:trPr>
        <w:tc>
          <w:tcPr>
            <w:tcW w:w="251" w:type="pct"/>
          </w:tcPr>
          <w:p w:rsidR="00CD10C4" w:rsidRPr="00CD10C4" w:rsidRDefault="00CD10C4" w:rsidP="00CD10C4">
            <w:pPr>
              <w:spacing w:before="160"/>
              <w:rPr>
                <w:rFonts w:asciiTheme="minorHAnsi" w:hAnsiTheme="minorHAnsi"/>
              </w:rPr>
            </w:pPr>
            <w:r w:rsidRPr="00CD10C4">
              <w:rPr>
                <w:rFonts w:asciiTheme="minorHAnsi" w:hAnsiTheme="minorHAnsi"/>
              </w:rPr>
              <w:t>4</w:t>
            </w:r>
          </w:p>
        </w:tc>
        <w:tc>
          <w:tcPr>
            <w:tcW w:w="3763" w:type="pct"/>
          </w:tcPr>
          <w:p w:rsidR="00CD10C4" w:rsidRPr="00CD10C4" w:rsidRDefault="00CD10C4" w:rsidP="00CD10C4">
            <w:pPr>
              <w:spacing w:before="160"/>
              <w:rPr>
                <w:rFonts w:asciiTheme="minorHAnsi" w:hAnsiTheme="minorHAnsi"/>
                <w:bCs/>
              </w:rPr>
            </w:pPr>
            <w:r w:rsidRPr="00CD10C4">
              <w:rPr>
                <w:rFonts w:asciiTheme="minorHAnsi" w:hAnsiTheme="minorHAnsi"/>
                <w:bCs/>
              </w:rPr>
              <w:t xml:space="preserve">Report of the Expert Group on the International Telecommunication Regulations (EG-ITRs) (continued) </w:t>
            </w:r>
          </w:p>
        </w:tc>
        <w:tc>
          <w:tcPr>
            <w:tcW w:w="986" w:type="pct"/>
          </w:tcPr>
          <w:p w:rsidR="00CD10C4" w:rsidRPr="00CD10C4" w:rsidRDefault="00814251" w:rsidP="00CD10C4">
            <w:pPr>
              <w:spacing w:before="160"/>
              <w:jc w:val="center"/>
              <w:rPr>
                <w:rFonts w:asciiTheme="minorHAnsi" w:hAnsiTheme="minorHAnsi"/>
                <w:bCs/>
              </w:rPr>
            </w:pPr>
            <w:hyperlink r:id="rId15" w:history="1">
              <w:r w:rsidR="00CD10C4" w:rsidRPr="00595758">
                <w:rPr>
                  <w:rStyle w:val="Hyperlink"/>
                  <w:rFonts w:asciiTheme="minorHAnsi" w:hAnsiTheme="minorHAnsi"/>
                  <w:bCs/>
                </w:rPr>
                <w:t>C18/26</w:t>
              </w:r>
            </w:hyperlink>
            <w:r w:rsidR="00CD10C4" w:rsidRPr="00CD10C4">
              <w:rPr>
                <w:rFonts w:asciiTheme="minorHAnsi" w:hAnsiTheme="minorHAnsi"/>
                <w:bCs/>
              </w:rPr>
              <w:t xml:space="preserve">, </w:t>
            </w:r>
            <w:hyperlink r:id="rId16" w:history="1">
              <w:r w:rsidR="00CD10C4" w:rsidRPr="00595758">
                <w:rPr>
                  <w:rStyle w:val="Hyperlink"/>
                  <w:rFonts w:asciiTheme="minorHAnsi" w:hAnsiTheme="minorHAnsi"/>
                  <w:bCs/>
                </w:rPr>
                <w:t>C18/79</w:t>
              </w:r>
            </w:hyperlink>
            <w:r w:rsidR="00CD10C4" w:rsidRPr="00CD10C4">
              <w:rPr>
                <w:rFonts w:asciiTheme="minorHAnsi" w:hAnsiTheme="minorHAnsi"/>
                <w:bCs/>
              </w:rPr>
              <w:t xml:space="preserve">, </w:t>
            </w:r>
            <w:hyperlink r:id="rId17" w:history="1">
              <w:r w:rsidR="00CD10C4" w:rsidRPr="00595758">
                <w:rPr>
                  <w:rStyle w:val="Hyperlink"/>
                  <w:rFonts w:asciiTheme="minorHAnsi" w:hAnsiTheme="minorHAnsi"/>
                  <w:bCs/>
                </w:rPr>
                <w:t>C18/91</w:t>
              </w:r>
            </w:hyperlink>
            <w:r w:rsidR="00CD10C4" w:rsidRPr="00CD10C4">
              <w:rPr>
                <w:rFonts w:asciiTheme="minorHAnsi" w:hAnsiTheme="minorHAnsi"/>
                <w:bCs/>
              </w:rPr>
              <w:t xml:space="preserve">, </w:t>
            </w:r>
            <w:hyperlink r:id="rId18" w:history="1">
              <w:r w:rsidR="00CD10C4" w:rsidRPr="00595758">
                <w:rPr>
                  <w:rStyle w:val="Hyperlink"/>
                  <w:rFonts w:asciiTheme="minorHAnsi" w:hAnsiTheme="minorHAnsi"/>
                  <w:bCs/>
                </w:rPr>
                <w:t>C18/92</w:t>
              </w:r>
            </w:hyperlink>
            <w:r w:rsidR="00CD10C4" w:rsidRPr="00CD10C4">
              <w:rPr>
                <w:rFonts w:asciiTheme="minorHAnsi" w:hAnsiTheme="minorHAnsi"/>
                <w:bCs/>
              </w:rPr>
              <w:t>,</w:t>
            </w:r>
            <w:r w:rsidR="00CD10C4" w:rsidRPr="00CD10C4">
              <w:rPr>
                <w:rFonts w:asciiTheme="minorHAnsi" w:hAnsiTheme="minorHAnsi"/>
                <w:bCs/>
              </w:rPr>
              <w:br/>
            </w:r>
            <w:hyperlink r:id="rId19" w:history="1">
              <w:r w:rsidR="00CD10C4" w:rsidRPr="00595758">
                <w:rPr>
                  <w:rStyle w:val="Hyperlink"/>
                  <w:rFonts w:asciiTheme="minorHAnsi" w:hAnsiTheme="minorHAnsi"/>
                  <w:bCs/>
                </w:rPr>
                <w:t>C18/DT/6</w:t>
              </w:r>
            </w:hyperlink>
          </w:p>
        </w:tc>
      </w:tr>
      <w:tr w:rsidR="00CD10C4" w:rsidRPr="00CD10C4" w:rsidTr="00C1066A">
        <w:trPr>
          <w:trHeight w:val="972"/>
        </w:trPr>
        <w:tc>
          <w:tcPr>
            <w:tcW w:w="251" w:type="pct"/>
          </w:tcPr>
          <w:p w:rsidR="00CD10C4" w:rsidRPr="00CD10C4" w:rsidRDefault="00CD10C4" w:rsidP="00CD10C4">
            <w:pPr>
              <w:spacing w:before="160"/>
              <w:rPr>
                <w:rFonts w:asciiTheme="minorHAnsi" w:hAnsiTheme="minorHAnsi"/>
              </w:rPr>
            </w:pPr>
            <w:r w:rsidRPr="00CD10C4">
              <w:rPr>
                <w:rFonts w:asciiTheme="minorHAnsi" w:hAnsiTheme="minorHAnsi"/>
              </w:rPr>
              <w:t>5</w:t>
            </w:r>
          </w:p>
        </w:tc>
        <w:tc>
          <w:tcPr>
            <w:tcW w:w="3763" w:type="pct"/>
          </w:tcPr>
          <w:p w:rsidR="00CD10C4" w:rsidRPr="00CD10C4" w:rsidRDefault="00CD10C4" w:rsidP="00CD10C4">
            <w:pPr>
              <w:spacing w:before="160"/>
              <w:rPr>
                <w:rFonts w:asciiTheme="minorHAnsi" w:hAnsiTheme="minorHAnsi"/>
                <w:bCs/>
              </w:rPr>
            </w:pPr>
            <w:r w:rsidRPr="00CD10C4">
              <w:rPr>
                <w:rFonts w:asciiTheme="minorHAnsi" w:hAnsiTheme="minorHAnsi"/>
                <w:bCs/>
              </w:rPr>
              <w:t>Announcements by councillors</w:t>
            </w:r>
          </w:p>
        </w:tc>
        <w:tc>
          <w:tcPr>
            <w:tcW w:w="986" w:type="pct"/>
          </w:tcPr>
          <w:p w:rsidR="00CD10C4" w:rsidRPr="00CD10C4" w:rsidRDefault="00CD10C4" w:rsidP="00CD10C4">
            <w:pPr>
              <w:spacing w:before="160"/>
              <w:jc w:val="center"/>
              <w:rPr>
                <w:rFonts w:asciiTheme="minorHAnsi" w:hAnsiTheme="minorHAnsi"/>
                <w:bCs/>
              </w:rPr>
            </w:pPr>
            <w:r w:rsidRPr="00CD10C4">
              <w:rPr>
                <w:rFonts w:asciiTheme="minorHAnsi" w:hAnsiTheme="minorHAnsi"/>
                <w:bCs/>
              </w:rPr>
              <w:t>-</w:t>
            </w:r>
          </w:p>
        </w:tc>
      </w:tr>
    </w:tbl>
    <w:p w:rsidR="002A2188" w:rsidRPr="00CD10C4" w:rsidRDefault="002A2188" w:rsidP="002A218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rPr>
      </w:pPr>
      <w:bookmarkStart w:id="8" w:name="dstart"/>
      <w:bookmarkStart w:id="9" w:name="dbreak"/>
      <w:bookmarkEnd w:id="8"/>
      <w:bookmarkEnd w:id="9"/>
      <w:r w:rsidRPr="00CD10C4">
        <w:rPr>
          <w:rFonts w:asciiTheme="minorHAnsi" w:hAnsiTheme="minorHAnsi"/>
        </w:rPr>
        <w:br w:type="page"/>
      </w:r>
    </w:p>
    <w:p w:rsidR="00C969B9" w:rsidRPr="00CD10C4" w:rsidRDefault="00C969B9" w:rsidP="006043C6">
      <w:pPr>
        <w:tabs>
          <w:tab w:val="clear" w:pos="567"/>
          <w:tab w:val="clear" w:pos="1134"/>
          <w:tab w:val="clear" w:pos="1701"/>
          <w:tab w:val="clear" w:pos="2268"/>
          <w:tab w:val="clear" w:pos="2835"/>
        </w:tabs>
        <w:snapToGrid w:val="0"/>
        <w:spacing w:after="120"/>
        <w:rPr>
          <w:rFonts w:asciiTheme="minorHAnsi" w:hAnsiTheme="minorHAnsi"/>
          <w:b/>
          <w:bCs/>
          <w:sz w:val="26"/>
          <w:szCs w:val="26"/>
        </w:rPr>
        <w:sectPr w:rsidR="00C969B9" w:rsidRPr="00CD10C4" w:rsidSect="004D1851">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pPr>
    </w:p>
    <w:p w:rsidR="00CD10C4" w:rsidRPr="00CD10C4" w:rsidRDefault="00CD10C4" w:rsidP="00CD10C4">
      <w:pPr>
        <w:tabs>
          <w:tab w:val="clear" w:pos="567"/>
          <w:tab w:val="clear" w:pos="1134"/>
          <w:tab w:val="clear" w:pos="1701"/>
          <w:tab w:val="clear" w:pos="2268"/>
          <w:tab w:val="clear" w:pos="2835"/>
        </w:tabs>
        <w:snapToGrid w:val="0"/>
        <w:spacing w:after="120"/>
        <w:ind w:left="709" w:hanging="709"/>
        <w:rPr>
          <w:rFonts w:asciiTheme="minorHAnsi" w:hAnsiTheme="minorHAnsi"/>
          <w:b/>
          <w:sz w:val="26"/>
          <w:szCs w:val="26"/>
        </w:rPr>
      </w:pPr>
      <w:r w:rsidRPr="00CD10C4">
        <w:rPr>
          <w:rFonts w:asciiTheme="minorHAnsi" w:hAnsiTheme="minorHAnsi"/>
          <w:b/>
          <w:sz w:val="26"/>
          <w:szCs w:val="26"/>
        </w:rPr>
        <w:lastRenderedPageBreak/>
        <w:t>1</w:t>
      </w:r>
      <w:r w:rsidRPr="00CD10C4">
        <w:rPr>
          <w:rFonts w:asciiTheme="minorHAnsi" w:hAnsiTheme="minorHAnsi"/>
          <w:b/>
          <w:sz w:val="26"/>
          <w:szCs w:val="26"/>
        </w:rPr>
        <w:tab/>
        <w:t xml:space="preserve">Follow-up report on possible improvements to the </w:t>
      </w:r>
      <w:proofErr w:type="gramStart"/>
      <w:r w:rsidRPr="00CD10C4">
        <w:rPr>
          <w:rFonts w:asciiTheme="minorHAnsi" w:hAnsiTheme="minorHAnsi"/>
          <w:b/>
          <w:sz w:val="26"/>
          <w:szCs w:val="26"/>
        </w:rPr>
        <w:t>roll-out</w:t>
      </w:r>
      <w:proofErr w:type="gramEnd"/>
      <w:r w:rsidRPr="00CD10C4">
        <w:rPr>
          <w:rFonts w:asciiTheme="minorHAnsi" w:hAnsiTheme="minorHAnsi"/>
          <w:b/>
          <w:sz w:val="26"/>
          <w:szCs w:val="26"/>
        </w:rPr>
        <w:t xml:space="preserve"> of the plenipotentiary </w:t>
      </w:r>
      <w:r w:rsidRPr="00233BF6">
        <w:rPr>
          <w:rFonts w:asciiTheme="minorHAnsi" w:hAnsiTheme="minorHAnsi"/>
          <w:b/>
          <w:spacing w:val="-4"/>
          <w:sz w:val="26"/>
          <w:szCs w:val="26"/>
        </w:rPr>
        <w:t xml:space="preserve">conference: Candidates' hearing and ethics guidelines (Documents </w:t>
      </w:r>
      <w:hyperlink r:id="rId23" w:history="1">
        <w:r w:rsidRPr="00233BF6">
          <w:rPr>
            <w:rStyle w:val="Hyperlink"/>
            <w:rFonts w:asciiTheme="minorHAnsi" w:hAnsiTheme="minorHAnsi"/>
            <w:b/>
            <w:spacing w:val="-4"/>
            <w:sz w:val="26"/>
            <w:szCs w:val="26"/>
          </w:rPr>
          <w:t>C18/5</w:t>
        </w:r>
      </w:hyperlink>
      <w:r w:rsidRPr="00233BF6">
        <w:rPr>
          <w:rFonts w:asciiTheme="minorHAnsi" w:hAnsiTheme="minorHAnsi"/>
          <w:b/>
          <w:spacing w:val="-4"/>
          <w:sz w:val="26"/>
          <w:szCs w:val="26"/>
        </w:rPr>
        <w:t xml:space="preserve"> and </w:t>
      </w:r>
      <w:hyperlink r:id="rId24" w:history="1">
        <w:r w:rsidRPr="00233BF6">
          <w:rPr>
            <w:rStyle w:val="Hyperlink"/>
            <w:rFonts w:asciiTheme="minorHAnsi" w:hAnsiTheme="minorHAnsi"/>
            <w:b/>
            <w:spacing w:val="-4"/>
            <w:sz w:val="26"/>
            <w:szCs w:val="26"/>
          </w:rPr>
          <w:t>C18/95</w:t>
        </w:r>
      </w:hyperlink>
      <w:r w:rsidRPr="00233BF6">
        <w:rPr>
          <w:rFonts w:asciiTheme="minorHAnsi" w:hAnsiTheme="minorHAnsi"/>
          <w:b/>
          <w:spacing w:val="-4"/>
          <w:sz w:val="26"/>
          <w:szCs w:val="26"/>
        </w:rPr>
        <w:t>)</w:t>
      </w:r>
    </w:p>
    <w:p w:rsidR="00CD10C4" w:rsidRPr="00CD10C4" w:rsidRDefault="00CD10C4" w:rsidP="009C2305">
      <w:pPr>
        <w:tabs>
          <w:tab w:val="clear" w:pos="567"/>
          <w:tab w:val="clear" w:pos="1134"/>
          <w:tab w:val="clear" w:pos="1701"/>
          <w:tab w:val="clear" w:pos="2268"/>
          <w:tab w:val="clear" w:pos="2835"/>
        </w:tabs>
        <w:snapToGrid w:val="0"/>
        <w:spacing w:after="120"/>
        <w:rPr>
          <w:rFonts w:asciiTheme="minorHAnsi" w:hAnsiTheme="minorHAnsi"/>
          <w:szCs w:val="24"/>
        </w:rPr>
      </w:pPr>
      <w:r w:rsidRPr="00CD10C4">
        <w:rPr>
          <w:rFonts w:asciiTheme="minorHAnsi" w:hAnsiTheme="minorHAnsi"/>
          <w:szCs w:val="24"/>
        </w:rPr>
        <w:t>1.1</w:t>
      </w:r>
      <w:r w:rsidRPr="00CD10C4">
        <w:rPr>
          <w:rFonts w:asciiTheme="minorHAnsi" w:hAnsiTheme="minorHAnsi"/>
          <w:szCs w:val="24"/>
        </w:rPr>
        <w:tab/>
        <w:t xml:space="preserve">Representatives of the secretariat introduced the report by the Secretary-General in Document C18/5, which presented a comparative view of procedures for hearings of candidates running for elected positions at ITU and other international organizations. </w:t>
      </w:r>
      <w:r w:rsidR="009C2305">
        <w:rPr>
          <w:rFonts w:asciiTheme="minorHAnsi" w:hAnsiTheme="minorHAnsi"/>
          <w:szCs w:val="24"/>
        </w:rPr>
        <w:t>Further to a prior request from Council, a</w:t>
      </w:r>
      <w:r w:rsidR="009C2305" w:rsidRPr="00CD10C4">
        <w:rPr>
          <w:rFonts w:asciiTheme="minorHAnsi" w:hAnsiTheme="minorHAnsi"/>
          <w:szCs w:val="24"/>
        </w:rPr>
        <w:t xml:space="preserve"> </w:t>
      </w:r>
      <w:r w:rsidRPr="00CD10C4">
        <w:rPr>
          <w:rFonts w:asciiTheme="minorHAnsi" w:hAnsiTheme="minorHAnsi"/>
          <w:szCs w:val="24"/>
        </w:rPr>
        <w:t>proposed set of guidelines on the ethical aspects of campaign activities</w:t>
      </w:r>
      <w:r w:rsidR="009C2305">
        <w:rPr>
          <w:rFonts w:asciiTheme="minorHAnsi" w:hAnsiTheme="minorHAnsi"/>
          <w:szCs w:val="24"/>
        </w:rPr>
        <w:t xml:space="preserve"> by individuals with a current role in the Union</w:t>
      </w:r>
      <w:r w:rsidR="00E14336">
        <w:rPr>
          <w:rFonts w:asciiTheme="minorHAnsi" w:hAnsiTheme="minorHAnsi"/>
          <w:szCs w:val="24"/>
        </w:rPr>
        <w:t xml:space="preserve"> (i.e., existing appointed and elected staff)</w:t>
      </w:r>
      <w:r w:rsidRPr="00CD10C4">
        <w:rPr>
          <w:rFonts w:asciiTheme="minorHAnsi" w:hAnsiTheme="minorHAnsi"/>
          <w:szCs w:val="24"/>
        </w:rPr>
        <w:t>, annexed to the report, addressed three issues: the use of Union resources, campaign activities around Union events, and engagement with Member States.</w:t>
      </w:r>
    </w:p>
    <w:p w:rsidR="00CD10C4" w:rsidRPr="00CD10C4" w:rsidRDefault="00CD10C4" w:rsidP="00CD10C4">
      <w:pPr>
        <w:tabs>
          <w:tab w:val="clear" w:pos="567"/>
          <w:tab w:val="clear" w:pos="1134"/>
          <w:tab w:val="clear" w:pos="1701"/>
          <w:tab w:val="clear" w:pos="2268"/>
          <w:tab w:val="clear" w:pos="2835"/>
        </w:tabs>
        <w:snapToGrid w:val="0"/>
        <w:spacing w:after="120"/>
        <w:rPr>
          <w:rFonts w:asciiTheme="minorHAnsi" w:hAnsiTheme="minorHAnsi"/>
          <w:szCs w:val="24"/>
        </w:rPr>
      </w:pPr>
      <w:r w:rsidRPr="00CD10C4">
        <w:rPr>
          <w:rFonts w:asciiTheme="minorHAnsi" w:hAnsiTheme="minorHAnsi"/>
          <w:szCs w:val="24"/>
        </w:rPr>
        <w:t>1.2</w:t>
      </w:r>
      <w:r w:rsidRPr="00CD10C4">
        <w:rPr>
          <w:rFonts w:asciiTheme="minorHAnsi" w:hAnsiTheme="minorHAnsi"/>
          <w:szCs w:val="24"/>
        </w:rPr>
        <w:tab/>
        <w:t xml:space="preserve">The councillor from Brazil introduced Document C18/95, which proposed amendments to the General Rules of conferences, assemblies and meetings of the Union in order to accommodate hearings for candidates to elected official posts. Many other international organizations had implemented hearings very successfully, the most recent example being at the highest possible level, prior to the election of the Secretary-General of the United Nations. It would be useful for members to meet the candidates for election in order to understand fully their vision for ITU, and assess their public speaking skills, particularly in English. Hearings would enhance the transparency, legitimacy and inclusiveness of election processes, and </w:t>
      </w:r>
      <w:proofErr w:type="gramStart"/>
      <w:r w:rsidRPr="00CD10C4">
        <w:rPr>
          <w:rFonts w:asciiTheme="minorHAnsi" w:hAnsiTheme="minorHAnsi"/>
          <w:szCs w:val="24"/>
        </w:rPr>
        <w:t>must obviously be conducted</w:t>
      </w:r>
      <w:proofErr w:type="gramEnd"/>
      <w:r w:rsidRPr="00CD10C4">
        <w:rPr>
          <w:rFonts w:asciiTheme="minorHAnsi" w:hAnsiTheme="minorHAnsi"/>
          <w:szCs w:val="24"/>
        </w:rPr>
        <w:t xml:space="preserve"> in advance of the plenipotentiary conference. Account must also be taken of ITU Staff Regulation 12.2 </w:t>
      </w:r>
      <w:proofErr w:type="gramStart"/>
      <w:r w:rsidRPr="00CD10C4">
        <w:rPr>
          <w:rFonts w:asciiTheme="minorHAnsi" w:hAnsiTheme="minorHAnsi"/>
          <w:szCs w:val="24"/>
        </w:rPr>
        <w:t>in regard to</w:t>
      </w:r>
      <w:proofErr w:type="gramEnd"/>
      <w:r w:rsidRPr="00CD10C4">
        <w:rPr>
          <w:rFonts w:asciiTheme="minorHAnsi" w:hAnsiTheme="minorHAnsi"/>
          <w:szCs w:val="24"/>
        </w:rPr>
        <w:t xml:space="preserve"> appointed staff members standing for an elected official post.</w:t>
      </w:r>
    </w:p>
    <w:p w:rsidR="00CD10C4" w:rsidRPr="00CD10C4" w:rsidRDefault="00CD10C4" w:rsidP="009C2305">
      <w:pPr>
        <w:tabs>
          <w:tab w:val="clear" w:pos="567"/>
          <w:tab w:val="clear" w:pos="1134"/>
          <w:tab w:val="clear" w:pos="1701"/>
          <w:tab w:val="clear" w:pos="2268"/>
          <w:tab w:val="clear" w:pos="2835"/>
        </w:tabs>
        <w:snapToGrid w:val="0"/>
        <w:spacing w:after="120"/>
        <w:rPr>
          <w:rFonts w:asciiTheme="minorHAnsi" w:hAnsiTheme="minorHAnsi"/>
          <w:szCs w:val="24"/>
        </w:rPr>
      </w:pPr>
      <w:r w:rsidRPr="00CD10C4">
        <w:rPr>
          <w:rFonts w:asciiTheme="minorHAnsi" w:hAnsiTheme="minorHAnsi"/>
          <w:szCs w:val="24"/>
        </w:rPr>
        <w:t>1.3</w:t>
      </w:r>
      <w:r w:rsidRPr="00CD10C4">
        <w:rPr>
          <w:rFonts w:asciiTheme="minorHAnsi" w:hAnsiTheme="minorHAnsi"/>
          <w:szCs w:val="24"/>
        </w:rPr>
        <w:tab/>
        <w:t xml:space="preserve">In the ensuing discussion, broad support </w:t>
      </w:r>
      <w:proofErr w:type="gramStart"/>
      <w:r w:rsidRPr="00CD10C4">
        <w:rPr>
          <w:rFonts w:asciiTheme="minorHAnsi" w:hAnsiTheme="minorHAnsi"/>
          <w:szCs w:val="24"/>
        </w:rPr>
        <w:t>was expressed</w:t>
      </w:r>
      <w:proofErr w:type="gramEnd"/>
      <w:r w:rsidRPr="00CD10C4">
        <w:rPr>
          <w:rFonts w:asciiTheme="minorHAnsi" w:hAnsiTheme="minorHAnsi"/>
          <w:szCs w:val="24"/>
        </w:rPr>
        <w:t xml:space="preserve"> for the guidelines contained in Document C18/5. While many councillors welcomed Brazil’s proposals, which would enhance the transparency and accountability of the Union and bring its practices into line with other United Nations organizations, the modalities of the hearings needed </w:t>
      </w:r>
      <w:proofErr w:type="gramStart"/>
      <w:r w:rsidRPr="00CD10C4">
        <w:rPr>
          <w:rFonts w:asciiTheme="minorHAnsi" w:hAnsiTheme="minorHAnsi"/>
          <w:szCs w:val="24"/>
        </w:rPr>
        <w:t>more detailed consideration,</w:t>
      </w:r>
      <w:proofErr w:type="gramEnd"/>
      <w:r w:rsidRPr="00CD10C4">
        <w:rPr>
          <w:rFonts w:asciiTheme="minorHAnsi" w:hAnsiTheme="minorHAnsi"/>
          <w:szCs w:val="24"/>
        </w:rPr>
        <w:t xml:space="preserve"> in particular the timelines for submission of candidatures and the scheduling of hearings. The proposal to organize hearings six months prior to the opening of the plenipotentiary conference </w:t>
      </w:r>
      <w:r w:rsidR="009C2305">
        <w:rPr>
          <w:rFonts w:asciiTheme="minorHAnsi" w:hAnsiTheme="minorHAnsi"/>
          <w:szCs w:val="24"/>
        </w:rPr>
        <w:t>would need to be considered in light of</w:t>
      </w:r>
      <w:r w:rsidRPr="00CD10C4">
        <w:rPr>
          <w:rFonts w:asciiTheme="minorHAnsi" w:hAnsiTheme="minorHAnsi"/>
          <w:szCs w:val="24"/>
        </w:rPr>
        <w:t xml:space="preserve"> rules for </w:t>
      </w:r>
      <w:r w:rsidR="009C2305">
        <w:rPr>
          <w:rFonts w:asciiTheme="minorHAnsi" w:hAnsiTheme="minorHAnsi"/>
          <w:szCs w:val="24"/>
        </w:rPr>
        <w:t>the formal submission of candidatures</w:t>
      </w:r>
      <w:r w:rsidRPr="00CD10C4">
        <w:rPr>
          <w:rFonts w:asciiTheme="minorHAnsi" w:hAnsiTheme="minorHAnsi"/>
          <w:szCs w:val="24"/>
        </w:rPr>
        <w:t xml:space="preserve">, the deadline for which was 28 days prior to the conference; staff would be put on special leave immediately on </w:t>
      </w:r>
      <w:r w:rsidR="009C2305">
        <w:rPr>
          <w:rFonts w:asciiTheme="minorHAnsi" w:hAnsiTheme="minorHAnsi"/>
          <w:szCs w:val="24"/>
        </w:rPr>
        <w:t>formal submission</w:t>
      </w:r>
      <w:r w:rsidR="00E14336">
        <w:rPr>
          <w:rFonts w:asciiTheme="minorHAnsi" w:hAnsiTheme="minorHAnsi"/>
          <w:szCs w:val="24"/>
        </w:rPr>
        <w:t xml:space="preserve"> </w:t>
      </w:r>
      <w:r w:rsidRPr="00CD10C4">
        <w:rPr>
          <w:rFonts w:asciiTheme="minorHAnsi" w:hAnsiTheme="minorHAnsi"/>
          <w:szCs w:val="24"/>
        </w:rPr>
        <w:t xml:space="preserve">of their candidature. Revisions to the Staff Rules might therefore also need to </w:t>
      </w:r>
      <w:proofErr w:type="gramStart"/>
      <w:r w:rsidRPr="00CD10C4">
        <w:rPr>
          <w:rFonts w:asciiTheme="minorHAnsi" w:hAnsiTheme="minorHAnsi"/>
          <w:szCs w:val="24"/>
        </w:rPr>
        <w:t>be considered</w:t>
      </w:r>
      <w:proofErr w:type="gramEnd"/>
      <w:r w:rsidRPr="00CD10C4">
        <w:rPr>
          <w:rFonts w:asciiTheme="minorHAnsi" w:hAnsiTheme="minorHAnsi"/>
          <w:szCs w:val="24"/>
        </w:rPr>
        <w:t xml:space="preserve">. </w:t>
      </w:r>
      <w:r w:rsidR="000763FE">
        <w:rPr>
          <w:rFonts w:asciiTheme="minorHAnsi" w:hAnsiTheme="minorHAnsi"/>
          <w:szCs w:val="24"/>
          <w:lang w:val="en-US"/>
        </w:rPr>
        <w:t>The use of terms “</w:t>
      </w:r>
      <w:r w:rsidR="000763FE" w:rsidRPr="00851FD5">
        <w:rPr>
          <w:lang w:val="en-US"/>
        </w:rPr>
        <w:t xml:space="preserve">unofficial or </w:t>
      </w:r>
      <w:proofErr w:type="spellStart"/>
      <w:r w:rsidR="000763FE" w:rsidRPr="00851FD5">
        <w:rPr>
          <w:lang w:val="en-US"/>
        </w:rPr>
        <w:t>potential</w:t>
      </w:r>
      <w:r w:rsidR="000763FE">
        <w:rPr>
          <w:rFonts w:asciiTheme="minorHAnsi" w:hAnsiTheme="minorHAnsi"/>
          <w:szCs w:val="24"/>
          <w:lang w:val="en-US"/>
        </w:rPr>
        <w:t>”candidates</w:t>
      </w:r>
      <w:proofErr w:type="spellEnd"/>
      <w:r w:rsidR="000763FE">
        <w:rPr>
          <w:rFonts w:asciiTheme="minorHAnsi" w:hAnsiTheme="minorHAnsi"/>
          <w:szCs w:val="24"/>
          <w:lang w:val="en-US"/>
        </w:rPr>
        <w:t xml:space="preserve"> from the ITU staff gives impression that any staff member may announce him/herself as </w:t>
      </w:r>
      <w:proofErr w:type="gramStart"/>
      <w:r w:rsidR="000763FE">
        <w:rPr>
          <w:rFonts w:asciiTheme="minorHAnsi" w:hAnsiTheme="minorHAnsi"/>
          <w:szCs w:val="24"/>
          <w:lang w:val="en-US"/>
        </w:rPr>
        <w:t>a such</w:t>
      </w:r>
      <w:proofErr w:type="gramEnd"/>
      <w:r w:rsidR="000763FE">
        <w:rPr>
          <w:rFonts w:asciiTheme="minorHAnsi" w:hAnsiTheme="minorHAnsi"/>
          <w:szCs w:val="24"/>
          <w:lang w:val="en-US"/>
        </w:rPr>
        <w:t xml:space="preserve"> candidate without support from an ITU Member-State. </w:t>
      </w:r>
      <w:r w:rsidRPr="00CD10C4">
        <w:rPr>
          <w:rFonts w:asciiTheme="minorHAnsi" w:hAnsiTheme="minorHAnsi"/>
          <w:szCs w:val="24"/>
        </w:rPr>
        <w:t>Several councillors objected to the emphasis on candidates' ability to work in English; the status of the six languages of the Union had always been, and should continue to be, equal. Several councillors sought clarification regarding the financial implications of such hearings for ITU: would the ITU budget absorb any associated costs? Some considered that candidates themselves should bear the burden for lobbying and campaigning.</w:t>
      </w:r>
      <w:r w:rsidR="000763FE">
        <w:rPr>
          <w:rFonts w:asciiTheme="minorHAnsi" w:hAnsiTheme="minorHAnsi"/>
          <w:szCs w:val="24"/>
        </w:rPr>
        <w:t xml:space="preserve"> Many councillors expressed a view that more work to </w:t>
      </w:r>
      <w:proofErr w:type="gramStart"/>
      <w:r w:rsidR="000763FE">
        <w:rPr>
          <w:rFonts w:asciiTheme="minorHAnsi" w:hAnsiTheme="minorHAnsi"/>
          <w:szCs w:val="24"/>
        </w:rPr>
        <w:t>be carried out</w:t>
      </w:r>
      <w:proofErr w:type="gramEnd"/>
      <w:r w:rsidR="000763FE">
        <w:rPr>
          <w:rFonts w:asciiTheme="minorHAnsi" w:hAnsiTheme="minorHAnsi"/>
          <w:szCs w:val="24"/>
        </w:rPr>
        <w:t xml:space="preserve"> in preparation of this matter for consideration by the Plenipotentiary conference.</w:t>
      </w:r>
    </w:p>
    <w:p w:rsidR="00CD10C4" w:rsidRPr="00CD10C4" w:rsidRDefault="00CD10C4" w:rsidP="00CD10C4">
      <w:pPr>
        <w:tabs>
          <w:tab w:val="clear" w:pos="567"/>
          <w:tab w:val="clear" w:pos="1134"/>
          <w:tab w:val="clear" w:pos="1701"/>
          <w:tab w:val="clear" w:pos="2268"/>
          <w:tab w:val="clear" w:pos="2835"/>
        </w:tabs>
        <w:snapToGrid w:val="0"/>
        <w:spacing w:after="120"/>
        <w:rPr>
          <w:rFonts w:asciiTheme="minorHAnsi" w:hAnsiTheme="minorHAnsi"/>
          <w:szCs w:val="24"/>
        </w:rPr>
      </w:pPr>
      <w:r w:rsidRPr="00CD10C4">
        <w:rPr>
          <w:rFonts w:asciiTheme="minorHAnsi" w:hAnsiTheme="minorHAnsi"/>
          <w:szCs w:val="24"/>
        </w:rPr>
        <w:t>1.4</w:t>
      </w:r>
      <w:r w:rsidRPr="00CD10C4">
        <w:rPr>
          <w:rFonts w:asciiTheme="minorHAnsi" w:hAnsiTheme="minorHAnsi"/>
          <w:szCs w:val="24"/>
        </w:rPr>
        <w:tab/>
        <w:t xml:space="preserve">The councillor from Brazil thanked all speakers for their support and interest, and agreed that further work was required to refine his country’s proposals, with due account taken of the Staff Rules. The intention was for the hearings to </w:t>
      </w:r>
      <w:proofErr w:type="gramStart"/>
      <w:r w:rsidRPr="00CD10C4">
        <w:rPr>
          <w:rFonts w:asciiTheme="minorHAnsi" w:hAnsiTheme="minorHAnsi"/>
          <w:szCs w:val="24"/>
        </w:rPr>
        <w:t>be held</w:t>
      </w:r>
      <w:proofErr w:type="gramEnd"/>
      <w:r w:rsidRPr="00CD10C4">
        <w:rPr>
          <w:rFonts w:asciiTheme="minorHAnsi" w:hAnsiTheme="minorHAnsi"/>
          <w:szCs w:val="24"/>
        </w:rPr>
        <w:t xml:space="preserve"> in addition to any individual lobbying and campaigning that candidates wished to undertake. Regarding the language issue, all six languages were indeed equal </w:t>
      </w:r>
      <w:r w:rsidRPr="00CD10C4">
        <w:rPr>
          <w:rFonts w:asciiTheme="minorHAnsi" w:hAnsiTheme="minorHAnsi"/>
          <w:i/>
          <w:szCs w:val="24"/>
        </w:rPr>
        <w:t>de jure</w:t>
      </w:r>
      <w:r w:rsidRPr="00CD10C4">
        <w:rPr>
          <w:rFonts w:asciiTheme="minorHAnsi" w:hAnsiTheme="minorHAnsi"/>
          <w:szCs w:val="24"/>
        </w:rPr>
        <w:t>, but</w:t>
      </w:r>
      <w:r w:rsidRPr="00CD10C4">
        <w:rPr>
          <w:rFonts w:asciiTheme="minorHAnsi" w:hAnsiTheme="minorHAnsi"/>
          <w:i/>
          <w:iCs/>
          <w:szCs w:val="24"/>
        </w:rPr>
        <w:t xml:space="preserve"> </w:t>
      </w:r>
      <w:r w:rsidRPr="00CD10C4">
        <w:rPr>
          <w:rFonts w:asciiTheme="minorHAnsi" w:hAnsiTheme="minorHAnsi"/>
          <w:i/>
          <w:szCs w:val="24"/>
        </w:rPr>
        <w:t>de facto</w:t>
      </w:r>
      <w:r w:rsidRPr="00CD10C4">
        <w:rPr>
          <w:rFonts w:asciiTheme="minorHAnsi" w:hAnsiTheme="minorHAnsi"/>
          <w:szCs w:val="24"/>
        </w:rPr>
        <w:t xml:space="preserve"> English was a dominant language in the work of ITU and </w:t>
      </w:r>
      <w:r w:rsidR="004C7AFC">
        <w:rPr>
          <w:rFonts w:asciiTheme="minorHAnsi" w:hAnsiTheme="minorHAnsi"/>
          <w:szCs w:val="24"/>
        </w:rPr>
        <w:t>by his opinion</w:t>
      </w:r>
      <w:r w:rsidR="004C7AFC" w:rsidRPr="00CD10C4">
        <w:rPr>
          <w:rFonts w:asciiTheme="minorHAnsi" w:hAnsiTheme="minorHAnsi"/>
          <w:szCs w:val="24"/>
        </w:rPr>
        <w:t xml:space="preserve"> </w:t>
      </w:r>
      <w:r w:rsidRPr="00CD10C4">
        <w:rPr>
          <w:rFonts w:asciiTheme="minorHAnsi" w:hAnsiTheme="minorHAnsi"/>
          <w:szCs w:val="24"/>
        </w:rPr>
        <w:t xml:space="preserve">should therefore be a prerequisite in the competences of candidates to high-level official positions. A more detailed document, taking account of the concerns raised, </w:t>
      </w:r>
      <w:proofErr w:type="gramStart"/>
      <w:r w:rsidRPr="00CD10C4">
        <w:rPr>
          <w:rFonts w:asciiTheme="minorHAnsi" w:hAnsiTheme="minorHAnsi"/>
          <w:szCs w:val="24"/>
        </w:rPr>
        <w:t>would be prepared</w:t>
      </w:r>
      <w:proofErr w:type="gramEnd"/>
      <w:r w:rsidRPr="00CD10C4">
        <w:rPr>
          <w:rFonts w:asciiTheme="minorHAnsi" w:hAnsiTheme="minorHAnsi"/>
          <w:szCs w:val="24"/>
        </w:rPr>
        <w:t xml:space="preserve"> for consideration by PP-18.</w:t>
      </w:r>
    </w:p>
    <w:p w:rsidR="00CD10C4" w:rsidRPr="00CD10C4" w:rsidRDefault="00CD10C4" w:rsidP="00233BF6">
      <w:pPr>
        <w:tabs>
          <w:tab w:val="clear" w:pos="567"/>
          <w:tab w:val="clear" w:pos="1134"/>
          <w:tab w:val="clear" w:pos="1701"/>
          <w:tab w:val="clear" w:pos="2268"/>
          <w:tab w:val="clear" w:pos="2835"/>
        </w:tabs>
        <w:snapToGrid w:val="0"/>
        <w:spacing w:after="120"/>
        <w:rPr>
          <w:rFonts w:asciiTheme="minorHAnsi" w:hAnsiTheme="minorHAnsi"/>
          <w:szCs w:val="24"/>
        </w:rPr>
      </w:pPr>
      <w:r w:rsidRPr="00CD10C4">
        <w:rPr>
          <w:rFonts w:asciiTheme="minorHAnsi" w:hAnsiTheme="minorHAnsi"/>
          <w:szCs w:val="24"/>
        </w:rPr>
        <w:lastRenderedPageBreak/>
        <w:t>1.5</w:t>
      </w:r>
      <w:r w:rsidRPr="00CD10C4">
        <w:rPr>
          <w:rFonts w:asciiTheme="minorHAnsi" w:hAnsiTheme="minorHAnsi"/>
          <w:szCs w:val="24"/>
        </w:rPr>
        <w:tab/>
        <w:t>T</w:t>
      </w:r>
      <w:r w:rsidR="00D36FD1">
        <w:rPr>
          <w:rFonts w:asciiTheme="minorHAnsi" w:hAnsiTheme="minorHAnsi"/>
          <w:szCs w:val="24"/>
        </w:rPr>
        <w:t xml:space="preserve">aking into account </w:t>
      </w:r>
      <w:r w:rsidR="00D36FD1" w:rsidRPr="00CD10C4">
        <w:rPr>
          <w:rFonts w:asciiTheme="minorHAnsi" w:hAnsiTheme="minorHAnsi"/>
          <w:szCs w:val="24"/>
        </w:rPr>
        <w:t xml:space="preserve">broad support </w:t>
      </w:r>
      <w:r w:rsidR="00D36FD1">
        <w:rPr>
          <w:rFonts w:asciiTheme="minorHAnsi" w:hAnsiTheme="minorHAnsi"/>
          <w:szCs w:val="24"/>
        </w:rPr>
        <w:t xml:space="preserve">that </w:t>
      </w:r>
      <w:proofErr w:type="gramStart"/>
      <w:r w:rsidR="00D36FD1" w:rsidRPr="00CD10C4">
        <w:rPr>
          <w:rFonts w:asciiTheme="minorHAnsi" w:hAnsiTheme="minorHAnsi"/>
          <w:szCs w:val="24"/>
        </w:rPr>
        <w:t>was expressed</w:t>
      </w:r>
      <w:proofErr w:type="gramEnd"/>
      <w:r w:rsidR="00D36FD1" w:rsidRPr="00CD10C4">
        <w:rPr>
          <w:rFonts w:asciiTheme="minorHAnsi" w:hAnsiTheme="minorHAnsi"/>
          <w:szCs w:val="24"/>
        </w:rPr>
        <w:t xml:space="preserve"> for the guidelines</w:t>
      </w:r>
      <w:r w:rsidR="00D36FD1">
        <w:rPr>
          <w:rFonts w:asciiTheme="minorHAnsi" w:hAnsiTheme="minorHAnsi"/>
          <w:szCs w:val="24"/>
        </w:rPr>
        <w:t xml:space="preserve"> t</w:t>
      </w:r>
      <w:r w:rsidRPr="00CD10C4">
        <w:rPr>
          <w:rFonts w:asciiTheme="minorHAnsi" w:hAnsiTheme="minorHAnsi"/>
          <w:szCs w:val="24"/>
        </w:rPr>
        <w:t xml:space="preserve">he Chairman </w:t>
      </w:r>
      <w:r w:rsidR="00D36FD1">
        <w:rPr>
          <w:rFonts w:asciiTheme="minorHAnsi" w:hAnsiTheme="minorHAnsi"/>
          <w:szCs w:val="24"/>
        </w:rPr>
        <w:t>proposed</w:t>
      </w:r>
      <w:r w:rsidRPr="00CD10C4">
        <w:rPr>
          <w:rFonts w:asciiTheme="minorHAnsi" w:hAnsiTheme="minorHAnsi"/>
          <w:szCs w:val="24"/>
        </w:rPr>
        <w:t xml:space="preserve"> to adopt the guidelines on ethical aspects of certain campaign activities prior to PP-18 in Document C18/5, and to forward the document</w:t>
      </w:r>
      <w:r w:rsidR="00D36FD1" w:rsidRPr="00851FD5">
        <w:rPr>
          <w:rFonts w:asciiTheme="minorHAnsi" w:hAnsiTheme="minorHAnsi"/>
          <w:szCs w:val="24"/>
          <w:lang w:val="en-US"/>
        </w:rPr>
        <w:t xml:space="preserve"> </w:t>
      </w:r>
      <w:r w:rsidR="00D36FD1">
        <w:rPr>
          <w:rFonts w:asciiTheme="minorHAnsi" w:hAnsiTheme="minorHAnsi"/>
          <w:szCs w:val="24"/>
          <w:lang w:val="en-US"/>
        </w:rPr>
        <w:t>to PP-18.</w:t>
      </w:r>
      <w:r w:rsidRPr="00CD10C4">
        <w:rPr>
          <w:rFonts w:asciiTheme="minorHAnsi" w:hAnsiTheme="minorHAnsi"/>
          <w:szCs w:val="24"/>
        </w:rPr>
        <w:t xml:space="preserve"> </w:t>
      </w:r>
      <w:r w:rsidR="00D36FD1">
        <w:rPr>
          <w:rFonts w:asciiTheme="minorHAnsi" w:hAnsiTheme="minorHAnsi"/>
          <w:szCs w:val="24"/>
        </w:rPr>
        <w:t xml:space="preserve">He also </w:t>
      </w:r>
      <w:r w:rsidRPr="00CD10C4">
        <w:rPr>
          <w:rFonts w:asciiTheme="minorHAnsi" w:hAnsiTheme="minorHAnsi"/>
          <w:szCs w:val="24"/>
        </w:rPr>
        <w:t>propos</w:t>
      </w:r>
      <w:r w:rsidR="000763FE">
        <w:rPr>
          <w:rFonts w:asciiTheme="minorHAnsi" w:hAnsiTheme="minorHAnsi"/>
          <w:szCs w:val="24"/>
        </w:rPr>
        <w:t>ed</w:t>
      </w:r>
      <w:r w:rsidRPr="00CD10C4">
        <w:rPr>
          <w:rFonts w:asciiTheme="minorHAnsi" w:hAnsiTheme="minorHAnsi"/>
          <w:szCs w:val="24"/>
        </w:rPr>
        <w:t xml:space="preserve">  </w:t>
      </w:r>
      <w:r w:rsidR="000763FE">
        <w:rPr>
          <w:rFonts w:asciiTheme="minorHAnsi" w:hAnsiTheme="minorHAnsi"/>
          <w:szCs w:val="24"/>
        </w:rPr>
        <w:t>to</w:t>
      </w:r>
      <w:r w:rsidRPr="00CD10C4">
        <w:rPr>
          <w:rFonts w:asciiTheme="minorHAnsi" w:hAnsiTheme="minorHAnsi"/>
          <w:szCs w:val="24"/>
        </w:rPr>
        <w:t xml:space="preserve"> Brazil</w:t>
      </w:r>
      <w:r w:rsidR="00473BEE">
        <w:rPr>
          <w:rFonts w:asciiTheme="minorHAnsi" w:hAnsiTheme="minorHAnsi"/>
          <w:szCs w:val="24"/>
        </w:rPr>
        <w:t xml:space="preserve"> to consider </w:t>
      </w:r>
      <w:r w:rsidR="00D36FD1">
        <w:rPr>
          <w:rFonts w:asciiTheme="minorHAnsi" w:hAnsiTheme="minorHAnsi"/>
          <w:szCs w:val="24"/>
        </w:rPr>
        <w:t>the matter related to hearing</w:t>
      </w:r>
      <w:r w:rsidR="00473BEE">
        <w:rPr>
          <w:rFonts w:asciiTheme="minorHAnsi" w:hAnsiTheme="minorHAnsi"/>
          <w:szCs w:val="24"/>
        </w:rPr>
        <w:t xml:space="preserve"> further and submit the results of consideration</w:t>
      </w:r>
      <w:r w:rsidRPr="00CD10C4">
        <w:rPr>
          <w:rFonts w:asciiTheme="minorHAnsi" w:hAnsiTheme="minorHAnsi"/>
          <w:szCs w:val="24"/>
        </w:rPr>
        <w:t xml:space="preserve"> to PP-18. </w:t>
      </w:r>
    </w:p>
    <w:p w:rsidR="00CD10C4" w:rsidRPr="00CD10C4" w:rsidRDefault="00CD10C4" w:rsidP="00233BF6">
      <w:pPr>
        <w:tabs>
          <w:tab w:val="clear" w:pos="567"/>
          <w:tab w:val="clear" w:pos="1134"/>
          <w:tab w:val="clear" w:pos="1701"/>
          <w:tab w:val="clear" w:pos="2268"/>
          <w:tab w:val="clear" w:pos="2835"/>
        </w:tabs>
        <w:snapToGrid w:val="0"/>
        <w:spacing w:after="120"/>
        <w:rPr>
          <w:rFonts w:asciiTheme="minorHAnsi" w:hAnsiTheme="minorHAnsi"/>
          <w:szCs w:val="24"/>
        </w:rPr>
      </w:pPr>
      <w:r w:rsidRPr="00CD10C4">
        <w:rPr>
          <w:rFonts w:asciiTheme="minorHAnsi" w:hAnsiTheme="minorHAnsi"/>
          <w:szCs w:val="24"/>
        </w:rPr>
        <w:t>1.6</w:t>
      </w:r>
      <w:r w:rsidRPr="00CD10C4">
        <w:rPr>
          <w:rFonts w:asciiTheme="minorHAnsi" w:hAnsiTheme="minorHAnsi"/>
          <w:szCs w:val="24"/>
        </w:rPr>
        <w:tab/>
        <w:t xml:space="preserve">It was so </w:t>
      </w:r>
      <w:r w:rsidRPr="00CD10C4">
        <w:rPr>
          <w:rFonts w:asciiTheme="minorHAnsi" w:hAnsiTheme="minorHAnsi"/>
          <w:b/>
          <w:szCs w:val="24"/>
        </w:rPr>
        <w:t>agreed</w:t>
      </w:r>
      <w:r w:rsidRPr="00CD10C4">
        <w:rPr>
          <w:rFonts w:asciiTheme="minorHAnsi" w:hAnsiTheme="minorHAnsi"/>
          <w:szCs w:val="24"/>
        </w:rPr>
        <w:t>.</w:t>
      </w:r>
    </w:p>
    <w:p w:rsidR="00CD10C4" w:rsidRPr="00CD10C4" w:rsidRDefault="00CD10C4" w:rsidP="00CD10C4">
      <w:pPr>
        <w:pStyle w:val="NormalWeb"/>
        <w:adjustRightInd w:val="0"/>
        <w:snapToGrid w:val="0"/>
        <w:spacing w:before="120" w:beforeAutospacing="0" w:after="120" w:afterAutospacing="0"/>
        <w:rPr>
          <w:rFonts w:asciiTheme="minorHAnsi" w:hAnsiTheme="minorHAnsi"/>
          <w:b/>
          <w:sz w:val="26"/>
          <w:szCs w:val="26"/>
        </w:rPr>
      </w:pPr>
      <w:r w:rsidRPr="00CD10C4">
        <w:rPr>
          <w:rFonts w:asciiTheme="minorHAnsi" w:hAnsiTheme="minorHAnsi"/>
          <w:b/>
          <w:sz w:val="26"/>
          <w:szCs w:val="26"/>
          <w:lang w:val="en-GB"/>
        </w:rPr>
        <w:t>2</w:t>
      </w:r>
      <w:r w:rsidRPr="00CD10C4">
        <w:rPr>
          <w:rFonts w:asciiTheme="minorHAnsi" w:hAnsiTheme="minorHAnsi"/>
          <w:b/>
          <w:sz w:val="26"/>
          <w:szCs w:val="26"/>
          <w:lang w:val="en-GB"/>
        </w:rPr>
        <w:tab/>
        <w:t xml:space="preserve">Activities related to gender equality (Documents </w:t>
      </w:r>
      <w:hyperlink r:id="rId25" w:history="1">
        <w:r w:rsidRPr="00595758">
          <w:rPr>
            <w:rStyle w:val="Hyperlink"/>
            <w:rFonts w:asciiTheme="minorHAnsi" w:hAnsiTheme="minorHAnsi"/>
            <w:b/>
            <w:sz w:val="26"/>
            <w:szCs w:val="26"/>
            <w:lang w:val="en-GB"/>
          </w:rPr>
          <w:t>C18/6</w:t>
        </w:r>
      </w:hyperlink>
      <w:r w:rsidRPr="00CD10C4">
        <w:rPr>
          <w:rFonts w:asciiTheme="minorHAnsi" w:hAnsiTheme="minorHAnsi"/>
          <w:b/>
          <w:sz w:val="26"/>
          <w:szCs w:val="26"/>
          <w:lang w:val="en-GB"/>
        </w:rPr>
        <w:t xml:space="preserve">, </w:t>
      </w:r>
      <w:hyperlink r:id="rId26" w:history="1">
        <w:r w:rsidRPr="00595758">
          <w:rPr>
            <w:rStyle w:val="Hyperlink"/>
            <w:rFonts w:asciiTheme="minorHAnsi" w:hAnsiTheme="minorHAnsi"/>
            <w:b/>
            <w:sz w:val="26"/>
            <w:szCs w:val="26"/>
            <w:lang w:val="en-GB"/>
          </w:rPr>
          <w:t>C18/13</w:t>
        </w:r>
      </w:hyperlink>
      <w:r w:rsidRPr="00CD10C4">
        <w:rPr>
          <w:rFonts w:asciiTheme="minorHAnsi" w:hAnsiTheme="minorHAnsi"/>
          <w:b/>
          <w:sz w:val="26"/>
          <w:szCs w:val="26"/>
          <w:lang w:val="en-GB"/>
        </w:rPr>
        <w:t xml:space="preserve"> and </w:t>
      </w:r>
      <w:hyperlink r:id="rId27" w:history="1">
        <w:r w:rsidRPr="00595758">
          <w:rPr>
            <w:rStyle w:val="Hyperlink"/>
            <w:rFonts w:asciiTheme="minorHAnsi" w:hAnsiTheme="minorHAnsi"/>
            <w:b/>
            <w:sz w:val="26"/>
            <w:szCs w:val="26"/>
            <w:lang w:val="en-GB"/>
          </w:rPr>
          <w:t>C18/63</w:t>
        </w:r>
      </w:hyperlink>
      <w:r w:rsidRPr="00CD10C4">
        <w:rPr>
          <w:rFonts w:asciiTheme="minorHAnsi" w:hAnsiTheme="minorHAnsi"/>
          <w:b/>
          <w:sz w:val="26"/>
          <w:szCs w:val="26"/>
          <w:lang w:val="en-GB"/>
        </w:rPr>
        <w:t>)</w:t>
      </w:r>
    </w:p>
    <w:p w:rsidR="00CD10C4" w:rsidRPr="00CD10C4" w:rsidRDefault="00CD10C4" w:rsidP="00CD10C4">
      <w:pPr>
        <w:tabs>
          <w:tab w:val="clear" w:pos="567"/>
          <w:tab w:val="clear" w:pos="1134"/>
          <w:tab w:val="clear" w:pos="1701"/>
          <w:tab w:val="clear" w:pos="2268"/>
          <w:tab w:val="clear" w:pos="2835"/>
        </w:tabs>
        <w:snapToGrid w:val="0"/>
        <w:spacing w:after="120"/>
        <w:rPr>
          <w:rFonts w:asciiTheme="minorHAnsi" w:hAnsiTheme="minorHAnsi"/>
          <w:szCs w:val="24"/>
        </w:rPr>
      </w:pPr>
      <w:r w:rsidRPr="00CD10C4">
        <w:rPr>
          <w:rFonts w:asciiTheme="minorHAnsi" w:hAnsiTheme="minorHAnsi"/>
          <w:szCs w:val="24"/>
        </w:rPr>
        <w:t>2.1</w:t>
      </w:r>
      <w:r w:rsidRPr="00CD10C4">
        <w:rPr>
          <w:rFonts w:asciiTheme="minorHAnsi" w:hAnsiTheme="minorHAnsi"/>
          <w:szCs w:val="24"/>
        </w:rPr>
        <w:tab/>
        <w:t xml:space="preserve">The Chief of the Strategic Planning and Membership Department (SPM) introduced the report in Document C18/6 on ITU's activities related to Resolution 70 (Rev. Busan, 2014) and the report in Document C18/13 on ITU's gender equality and mainstreaming (GEM) proposed implementation plan for 2018. The implementation plan </w:t>
      </w:r>
      <w:proofErr w:type="gramStart"/>
      <w:r w:rsidRPr="00CD10C4">
        <w:rPr>
          <w:rFonts w:asciiTheme="minorHAnsi" w:hAnsiTheme="minorHAnsi"/>
          <w:szCs w:val="24"/>
        </w:rPr>
        <w:t>had been drafted</w:t>
      </w:r>
      <w:proofErr w:type="gramEnd"/>
      <w:r w:rsidRPr="00CD10C4">
        <w:rPr>
          <w:rFonts w:asciiTheme="minorHAnsi" w:hAnsiTheme="minorHAnsi"/>
          <w:szCs w:val="24"/>
        </w:rPr>
        <w:t>, as previously, in line with the performance indicators of the United Nations System-wide Action Plan on Gender Equality and the Empowerment of Women (UN-SWAP).</w:t>
      </w:r>
    </w:p>
    <w:p w:rsidR="00CD10C4" w:rsidRPr="00CD10C4" w:rsidRDefault="00CD10C4" w:rsidP="00CD10C4">
      <w:pPr>
        <w:tabs>
          <w:tab w:val="clear" w:pos="567"/>
          <w:tab w:val="clear" w:pos="1134"/>
          <w:tab w:val="clear" w:pos="1701"/>
          <w:tab w:val="clear" w:pos="2268"/>
          <w:tab w:val="clear" w:pos="2835"/>
        </w:tabs>
        <w:snapToGrid w:val="0"/>
        <w:spacing w:after="120"/>
        <w:rPr>
          <w:rFonts w:asciiTheme="minorHAnsi" w:hAnsiTheme="minorHAnsi"/>
          <w:szCs w:val="24"/>
        </w:rPr>
      </w:pPr>
      <w:r w:rsidRPr="00CD10C4">
        <w:rPr>
          <w:rFonts w:asciiTheme="minorHAnsi" w:hAnsiTheme="minorHAnsi"/>
          <w:szCs w:val="24"/>
        </w:rPr>
        <w:t>2.2</w:t>
      </w:r>
      <w:r w:rsidRPr="00CD10C4">
        <w:rPr>
          <w:rFonts w:asciiTheme="minorHAnsi" w:hAnsiTheme="minorHAnsi"/>
          <w:szCs w:val="24"/>
        </w:rPr>
        <w:tab/>
        <w:t xml:space="preserve">Councillors welcomed the two reports, which addressed a particularly important topic. Gender equality and bridging the gender digital divide were crucial; the presence of women in the ICT sector remained low. ITU should continue its efforts to redress the gender balance, including in the appointment of high-level officials. Regarding GEM, ITU should ensure that appropriate budgetary resources </w:t>
      </w:r>
      <w:proofErr w:type="gramStart"/>
      <w:r w:rsidRPr="00CD10C4">
        <w:rPr>
          <w:rFonts w:asciiTheme="minorHAnsi" w:hAnsiTheme="minorHAnsi"/>
          <w:szCs w:val="24"/>
        </w:rPr>
        <w:t>were allocated</w:t>
      </w:r>
      <w:proofErr w:type="gramEnd"/>
      <w:r w:rsidRPr="00CD10C4">
        <w:rPr>
          <w:rFonts w:asciiTheme="minorHAnsi" w:hAnsiTheme="minorHAnsi"/>
          <w:szCs w:val="24"/>
        </w:rPr>
        <w:t xml:space="preserve"> to facilitate full implementation. To increase women's participation in the work of ITU, Member States needed to include more women on their delegations, and submit their candidatures for leadership positions and for election as officials. Several councillors provided examples of their activities, in particular to mark International Girls in ICT Day, and the progress </w:t>
      </w:r>
      <w:proofErr w:type="gramStart"/>
      <w:r w:rsidRPr="00CD10C4">
        <w:rPr>
          <w:rFonts w:asciiTheme="minorHAnsi" w:hAnsiTheme="minorHAnsi"/>
          <w:szCs w:val="24"/>
        </w:rPr>
        <w:t>being made</w:t>
      </w:r>
      <w:proofErr w:type="gramEnd"/>
      <w:r w:rsidRPr="00CD10C4">
        <w:rPr>
          <w:rFonts w:asciiTheme="minorHAnsi" w:hAnsiTheme="minorHAnsi"/>
          <w:szCs w:val="24"/>
        </w:rPr>
        <w:t xml:space="preserve"> to bridge the gender digital divide and promote women's participation in the ICT sector at national level. One councillor pointed out that the GEM proposed implementation plan for 2018 related to ITU's draft Gender Parity Strategy contained in Document C18/63; those two documents </w:t>
      </w:r>
      <w:proofErr w:type="gramStart"/>
      <w:r w:rsidRPr="00CD10C4">
        <w:rPr>
          <w:rFonts w:asciiTheme="minorHAnsi" w:hAnsiTheme="minorHAnsi"/>
          <w:szCs w:val="24"/>
        </w:rPr>
        <w:t>should therefore be considered</w:t>
      </w:r>
      <w:proofErr w:type="gramEnd"/>
      <w:r w:rsidRPr="00CD10C4">
        <w:rPr>
          <w:rFonts w:asciiTheme="minorHAnsi" w:hAnsiTheme="minorHAnsi"/>
          <w:szCs w:val="24"/>
        </w:rPr>
        <w:t xml:space="preserve"> together, especially in view of the timelines involved.</w:t>
      </w:r>
    </w:p>
    <w:p w:rsidR="00CD10C4" w:rsidRPr="00CD10C4" w:rsidRDefault="00CD10C4" w:rsidP="00CD10C4">
      <w:pPr>
        <w:tabs>
          <w:tab w:val="clear" w:pos="567"/>
          <w:tab w:val="clear" w:pos="1134"/>
          <w:tab w:val="clear" w:pos="1701"/>
          <w:tab w:val="clear" w:pos="2268"/>
          <w:tab w:val="clear" w:pos="2835"/>
        </w:tabs>
        <w:snapToGrid w:val="0"/>
        <w:spacing w:after="120"/>
        <w:rPr>
          <w:rFonts w:asciiTheme="minorHAnsi" w:hAnsiTheme="minorHAnsi"/>
          <w:szCs w:val="24"/>
        </w:rPr>
      </w:pPr>
      <w:r w:rsidRPr="00CD10C4">
        <w:rPr>
          <w:rFonts w:asciiTheme="minorHAnsi" w:hAnsiTheme="minorHAnsi"/>
          <w:szCs w:val="24"/>
        </w:rPr>
        <w:t>2.3</w:t>
      </w:r>
      <w:r w:rsidRPr="00CD10C4">
        <w:rPr>
          <w:rFonts w:asciiTheme="minorHAnsi" w:hAnsiTheme="minorHAnsi"/>
          <w:szCs w:val="24"/>
        </w:rPr>
        <w:tab/>
        <w:t>The</w:t>
      </w:r>
      <w:r w:rsidR="005B0303">
        <w:rPr>
          <w:rFonts w:asciiTheme="minorHAnsi" w:hAnsiTheme="minorHAnsi"/>
          <w:szCs w:val="24"/>
        </w:rPr>
        <w:t xml:space="preserve"> </w:t>
      </w:r>
      <w:r w:rsidRPr="00CD10C4">
        <w:rPr>
          <w:rFonts w:asciiTheme="minorHAnsi" w:hAnsiTheme="minorHAnsi"/>
          <w:bCs/>
          <w:szCs w:val="24"/>
        </w:rPr>
        <w:t>Director of BDT</w:t>
      </w:r>
      <w:r w:rsidR="005B0303">
        <w:rPr>
          <w:rFonts w:asciiTheme="minorHAnsi" w:hAnsiTheme="minorHAnsi"/>
          <w:szCs w:val="24"/>
        </w:rPr>
        <w:t xml:space="preserve"> </w:t>
      </w:r>
      <w:r w:rsidRPr="00CD10C4">
        <w:rPr>
          <w:rFonts w:asciiTheme="minorHAnsi" w:hAnsiTheme="minorHAnsi"/>
          <w:szCs w:val="24"/>
        </w:rPr>
        <w:t>said that, in line with Resolution 70 (Rev. Busan, 2014)</w:t>
      </w:r>
      <w:proofErr w:type="gramStart"/>
      <w:r w:rsidRPr="00CD10C4">
        <w:rPr>
          <w:rFonts w:asciiTheme="minorHAnsi" w:hAnsiTheme="minorHAnsi"/>
          <w:szCs w:val="24"/>
        </w:rPr>
        <w:t>,</w:t>
      </w:r>
      <w:proofErr w:type="gramEnd"/>
      <w:r w:rsidRPr="00CD10C4">
        <w:rPr>
          <w:rFonts w:asciiTheme="minorHAnsi" w:hAnsiTheme="minorHAnsi"/>
          <w:szCs w:val="24"/>
        </w:rPr>
        <w:t xml:space="preserve"> International Girls in ICT Day would be celebrated on 26 April 2018. Efforts to promote and expand participation in the event were proving successful, and it </w:t>
      </w:r>
      <w:proofErr w:type="gramStart"/>
      <w:r w:rsidRPr="00CD10C4">
        <w:rPr>
          <w:rFonts w:asciiTheme="minorHAnsi" w:hAnsiTheme="minorHAnsi"/>
          <w:szCs w:val="24"/>
        </w:rPr>
        <w:t>was hoped</w:t>
      </w:r>
      <w:proofErr w:type="gramEnd"/>
      <w:r w:rsidRPr="00CD10C4">
        <w:rPr>
          <w:rFonts w:asciiTheme="minorHAnsi" w:hAnsiTheme="minorHAnsi"/>
          <w:szCs w:val="24"/>
        </w:rPr>
        <w:t xml:space="preserve"> that one of the current year’s participants would address the Council. The next challenge would be to ensure that the issue received attention throughout the year, rather than on a single day.</w:t>
      </w:r>
    </w:p>
    <w:p w:rsidR="00CD10C4" w:rsidRPr="00CD10C4" w:rsidRDefault="00CD10C4" w:rsidP="00CD10C4">
      <w:pPr>
        <w:tabs>
          <w:tab w:val="clear" w:pos="567"/>
          <w:tab w:val="clear" w:pos="1134"/>
          <w:tab w:val="clear" w:pos="1701"/>
          <w:tab w:val="clear" w:pos="2268"/>
          <w:tab w:val="clear" w:pos="2835"/>
        </w:tabs>
        <w:snapToGrid w:val="0"/>
        <w:spacing w:after="120"/>
        <w:rPr>
          <w:rFonts w:asciiTheme="minorHAnsi" w:hAnsiTheme="minorHAnsi"/>
          <w:szCs w:val="24"/>
        </w:rPr>
      </w:pPr>
      <w:r w:rsidRPr="00CD10C4">
        <w:rPr>
          <w:rFonts w:asciiTheme="minorHAnsi" w:hAnsiTheme="minorHAnsi"/>
          <w:szCs w:val="24"/>
        </w:rPr>
        <w:t>2.4</w:t>
      </w:r>
      <w:r w:rsidRPr="00CD10C4">
        <w:rPr>
          <w:rFonts w:asciiTheme="minorHAnsi" w:hAnsiTheme="minorHAnsi"/>
          <w:szCs w:val="24"/>
        </w:rPr>
        <w:tab/>
        <w:t>The Chairman said that the broad participation in the discussion was testament to the importance of gender equality and women's participation. He took it that the Council wished to note Document C18/6 and would pronounce itself on the GEM proposed implementation plan in Document C18/13 in the light of its consideration of the draft Gender Parity Strategy in Document C18/63.</w:t>
      </w:r>
    </w:p>
    <w:p w:rsidR="00CD10C4" w:rsidRPr="00CD10C4" w:rsidRDefault="00CD10C4" w:rsidP="00CD10C4">
      <w:pPr>
        <w:tabs>
          <w:tab w:val="clear" w:pos="567"/>
          <w:tab w:val="clear" w:pos="1134"/>
          <w:tab w:val="clear" w:pos="1701"/>
          <w:tab w:val="clear" w:pos="2268"/>
          <w:tab w:val="clear" w:pos="2835"/>
        </w:tabs>
        <w:snapToGrid w:val="0"/>
        <w:spacing w:after="120"/>
        <w:rPr>
          <w:rFonts w:asciiTheme="minorHAnsi" w:hAnsiTheme="minorHAnsi"/>
          <w:b/>
          <w:szCs w:val="24"/>
        </w:rPr>
      </w:pPr>
      <w:r w:rsidRPr="00CD10C4">
        <w:rPr>
          <w:rFonts w:asciiTheme="minorHAnsi" w:hAnsiTheme="minorHAnsi"/>
          <w:szCs w:val="24"/>
        </w:rPr>
        <w:t>2.5</w:t>
      </w:r>
      <w:r w:rsidRPr="00CD10C4">
        <w:rPr>
          <w:rFonts w:asciiTheme="minorHAnsi" w:hAnsiTheme="minorHAnsi"/>
          <w:szCs w:val="24"/>
        </w:rPr>
        <w:tab/>
        <w:t>It was so</w:t>
      </w:r>
      <w:r w:rsidRPr="00CD10C4">
        <w:rPr>
          <w:rFonts w:asciiTheme="minorHAnsi" w:hAnsiTheme="minorHAnsi"/>
          <w:b/>
          <w:szCs w:val="24"/>
        </w:rPr>
        <w:t xml:space="preserve"> agreed.</w:t>
      </w:r>
    </w:p>
    <w:p w:rsidR="00CD10C4" w:rsidRPr="00CD10C4" w:rsidRDefault="00CD10C4" w:rsidP="00CD10C4">
      <w:pPr>
        <w:tabs>
          <w:tab w:val="clear" w:pos="567"/>
          <w:tab w:val="clear" w:pos="1134"/>
          <w:tab w:val="clear" w:pos="1701"/>
          <w:tab w:val="clear" w:pos="2268"/>
          <w:tab w:val="clear" w:pos="2835"/>
        </w:tabs>
        <w:snapToGrid w:val="0"/>
        <w:spacing w:after="120"/>
        <w:rPr>
          <w:rFonts w:asciiTheme="minorHAnsi" w:hAnsiTheme="minorHAnsi"/>
          <w:szCs w:val="24"/>
        </w:rPr>
      </w:pPr>
      <w:r w:rsidRPr="00CD10C4">
        <w:rPr>
          <w:rFonts w:asciiTheme="minorHAnsi" w:hAnsiTheme="minorHAnsi"/>
          <w:szCs w:val="24"/>
        </w:rPr>
        <w:t>2.6</w:t>
      </w:r>
      <w:r w:rsidRPr="00CD10C4">
        <w:rPr>
          <w:rFonts w:asciiTheme="minorHAnsi" w:hAnsiTheme="minorHAnsi"/>
          <w:szCs w:val="24"/>
        </w:rPr>
        <w:tab/>
        <w:t xml:space="preserve">The Chief of SPM, introducing Document C18/63 on ITU’s Gender Parity Strategy, also drew attention to Documents C18/INF/3, containing a note by the Secretary-General transmitting a letter from UN-SWAP, and C18/INF/5, on human resources reporting and statistics for the Union. Referring to </w:t>
      </w:r>
      <w:r w:rsidRPr="00CD10C4">
        <w:rPr>
          <w:rFonts w:asciiTheme="minorHAnsi" w:hAnsiTheme="minorHAnsi" w:cs="Calibri"/>
          <w:szCs w:val="24"/>
        </w:rPr>
        <w:t>§</w:t>
      </w:r>
      <w:r w:rsidRPr="00CD10C4">
        <w:rPr>
          <w:rFonts w:asciiTheme="minorHAnsi" w:hAnsiTheme="minorHAnsi"/>
          <w:szCs w:val="24"/>
        </w:rPr>
        <w:t xml:space="preserve">3 of Document C18/63, she explained that the potential dates for achieving gender parity among P and D staff had been calculated on the basis of the assumption that posts would be filled only when vacated through retirement. She also clarified that the Council was being invited to endorse the specific recommendations contained in </w:t>
      </w:r>
      <w:r w:rsidRPr="00CD10C4">
        <w:rPr>
          <w:rFonts w:asciiTheme="minorHAnsi" w:hAnsiTheme="minorHAnsi" w:cs="Calibri"/>
          <w:szCs w:val="24"/>
        </w:rPr>
        <w:t>§§</w:t>
      </w:r>
      <w:r w:rsidRPr="00CD10C4">
        <w:rPr>
          <w:rFonts w:asciiTheme="minorHAnsi" w:hAnsiTheme="minorHAnsi"/>
          <w:szCs w:val="24"/>
        </w:rPr>
        <w:t xml:space="preserve">4-6 of the document, rather than the gender parity strategy as a whole. </w:t>
      </w:r>
    </w:p>
    <w:p w:rsidR="00CD10C4" w:rsidRPr="00CD10C4" w:rsidRDefault="00CD10C4" w:rsidP="00CD10C4">
      <w:pPr>
        <w:tabs>
          <w:tab w:val="clear" w:pos="567"/>
          <w:tab w:val="clear" w:pos="1134"/>
          <w:tab w:val="clear" w:pos="1701"/>
          <w:tab w:val="clear" w:pos="2268"/>
          <w:tab w:val="clear" w:pos="2835"/>
        </w:tabs>
        <w:snapToGrid w:val="0"/>
        <w:spacing w:after="120"/>
        <w:rPr>
          <w:rFonts w:asciiTheme="minorHAnsi" w:hAnsiTheme="minorHAnsi"/>
          <w:szCs w:val="24"/>
        </w:rPr>
      </w:pPr>
      <w:r w:rsidRPr="00CD10C4">
        <w:rPr>
          <w:rFonts w:asciiTheme="minorHAnsi" w:hAnsiTheme="minorHAnsi"/>
          <w:szCs w:val="24"/>
        </w:rPr>
        <w:lastRenderedPageBreak/>
        <w:t>2.7</w:t>
      </w:r>
      <w:r w:rsidRPr="00CD10C4">
        <w:rPr>
          <w:rFonts w:asciiTheme="minorHAnsi" w:hAnsiTheme="minorHAnsi"/>
          <w:szCs w:val="24"/>
        </w:rPr>
        <w:tab/>
        <w:t xml:space="preserve">While generally applauding the efforts of the Union and secretariat both to promote gender equality in ICT and to achieve gender parity in the Union’s staffing, councillors observed that further progress </w:t>
      </w:r>
      <w:proofErr w:type="gramStart"/>
      <w:r w:rsidRPr="00CD10C4">
        <w:rPr>
          <w:rFonts w:asciiTheme="minorHAnsi" w:hAnsiTheme="minorHAnsi"/>
          <w:szCs w:val="24"/>
        </w:rPr>
        <w:t>was still needed</w:t>
      </w:r>
      <w:proofErr w:type="gramEnd"/>
      <w:r w:rsidRPr="00CD10C4">
        <w:rPr>
          <w:rFonts w:asciiTheme="minorHAnsi" w:hAnsiTheme="minorHAnsi"/>
          <w:szCs w:val="24"/>
        </w:rPr>
        <w:t xml:space="preserve">. Regardless of whether the imbalance towards women in the G staff categories and men in the P staff categories </w:t>
      </w:r>
      <w:proofErr w:type="gramStart"/>
      <w:r w:rsidRPr="00CD10C4">
        <w:rPr>
          <w:rFonts w:asciiTheme="minorHAnsi" w:hAnsiTheme="minorHAnsi"/>
          <w:szCs w:val="24"/>
        </w:rPr>
        <w:t>could be put down</w:t>
      </w:r>
      <w:proofErr w:type="gramEnd"/>
      <w:r w:rsidRPr="00CD10C4">
        <w:rPr>
          <w:rFonts w:asciiTheme="minorHAnsi" w:hAnsiTheme="minorHAnsi"/>
          <w:szCs w:val="24"/>
        </w:rPr>
        <w:t xml:space="preserve"> to external factors, the situation should be rectified. Achieving gender parity </w:t>
      </w:r>
      <w:proofErr w:type="gramStart"/>
      <w:r w:rsidRPr="00CD10C4">
        <w:rPr>
          <w:rFonts w:asciiTheme="minorHAnsi" w:hAnsiTheme="minorHAnsi"/>
          <w:szCs w:val="24"/>
        </w:rPr>
        <w:t>must be tackled</w:t>
      </w:r>
      <w:proofErr w:type="gramEnd"/>
      <w:r w:rsidRPr="00CD10C4">
        <w:rPr>
          <w:rFonts w:asciiTheme="minorHAnsi" w:hAnsiTheme="minorHAnsi"/>
          <w:szCs w:val="24"/>
        </w:rPr>
        <w:t xml:space="preserve"> as a priority. Many Member States were legally obliged to take action in that regard under the United Nations Convention on the Elimination of All Forms of Discrimination against Women and other international legal instruments. The recommendations set out in Document C18/63 </w:t>
      </w:r>
      <w:proofErr w:type="gramStart"/>
      <w:r w:rsidRPr="00CD10C4">
        <w:rPr>
          <w:rFonts w:asciiTheme="minorHAnsi" w:hAnsiTheme="minorHAnsi"/>
          <w:szCs w:val="24"/>
        </w:rPr>
        <w:t>were broadly supported</w:t>
      </w:r>
      <w:proofErr w:type="gramEnd"/>
      <w:r w:rsidRPr="00CD10C4">
        <w:rPr>
          <w:rFonts w:asciiTheme="minorHAnsi" w:hAnsiTheme="minorHAnsi"/>
          <w:szCs w:val="24"/>
        </w:rPr>
        <w:t xml:space="preserve">, but several councillors felt that they should be further </w:t>
      </w:r>
      <w:r w:rsidR="00473BEE">
        <w:rPr>
          <w:rFonts w:asciiTheme="minorHAnsi" w:hAnsiTheme="minorHAnsi"/>
          <w:szCs w:val="24"/>
        </w:rPr>
        <w:t xml:space="preserve">analysed and </w:t>
      </w:r>
      <w:r w:rsidRPr="00CD10C4">
        <w:rPr>
          <w:rFonts w:asciiTheme="minorHAnsi" w:hAnsiTheme="minorHAnsi"/>
          <w:szCs w:val="24"/>
        </w:rPr>
        <w:t>developed before being endorsed. One councillor requested clarification of some of the figures given in the document; others expressed concern at the revisions apparently suggested to Annex 2 to Resolution 48 (Rev. Busan, 2014) in Annex 3 to the document, as revising such resolutions was the preserve of the plenipotentiary conference. One councillor emphasized that competence and qualifications for the post must remain the overriding criteria for appointing staff, albeit with due consideration given to equitable geographic distribution and other factors. Another highlighted the need for flexible working arrangements and a workplace free of sexual harassment in order to encourage applications from qualified women.</w:t>
      </w:r>
    </w:p>
    <w:p w:rsidR="00CD10C4" w:rsidRPr="00CD10C4" w:rsidRDefault="00CD10C4">
      <w:pPr>
        <w:tabs>
          <w:tab w:val="clear" w:pos="567"/>
          <w:tab w:val="clear" w:pos="1134"/>
          <w:tab w:val="clear" w:pos="1701"/>
          <w:tab w:val="clear" w:pos="2268"/>
          <w:tab w:val="clear" w:pos="2835"/>
        </w:tabs>
        <w:snapToGrid w:val="0"/>
        <w:spacing w:after="120"/>
        <w:rPr>
          <w:rFonts w:asciiTheme="minorHAnsi" w:hAnsiTheme="minorHAnsi"/>
          <w:szCs w:val="24"/>
        </w:rPr>
      </w:pPr>
      <w:r w:rsidRPr="00CD10C4">
        <w:rPr>
          <w:rFonts w:asciiTheme="minorHAnsi" w:hAnsiTheme="minorHAnsi"/>
          <w:szCs w:val="24"/>
        </w:rPr>
        <w:t>2.8</w:t>
      </w:r>
      <w:r w:rsidRPr="00CD10C4">
        <w:rPr>
          <w:rFonts w:asciiTheme="minorHAnsi" w:hAnsiTheme="minorHAnsi"/>
          <w:szCs w:val="24"/>
        </w:rPr>
        <w:tab/>
        <w:t xml:space="preserve">The Chairman noted that both Documents C18/13 and C18/63 </w:t>
      </w:r>
      <w:proofErr w:type="gramStart"/>
      <w:r w:rsidRPr="00CD10C4">
        <w:rPr>
          <w:rFonts w:asciiTheme="minorHAnsi" w:hAnsiTheme="minorHAnsi"/>
          <w:szCs w:val="24"/>
        </w:rPr>
        <w:t>had been submitted</w:t>
      </w:r>
      <w:proofErr w:type="gramEnd"/>
      <w:r w:rsidRPr="00CD10C4">
        <w:rPr>
          <w:rFonts w:asciiTheme="minorHAnsi" w:hAnsiTheme="minorHAnsi"/>
          <w:szCs w:val="24"/>
        </w:rPr>
        <w:t xml:space="preserve"> to the Council for endorsement. However, whereas amendments </w:t>
      </w:r>
      <w:proofErr w:type="gramStart"/>
      <w:r w:rsidRPr="00CD10C4">
        <w:rPr>
          <w:rFonts w:asciiTheme="minorHAnsi" w:hAnsiTheme="minorHAnsi"/>
          <w:szCs w:val="24"/>
        </w:rPr>
        <w:t>had been proposed</w:t>
      </w:r>
      <w:proofErr w:type="gramEnd"/>
      <w:r w:rsidRPr="00CD10C4">
        <w:rPr>
          <w:rFonts w:asciiTheme="minorHAnsi" w:hAnsiTheme="minorHAnsi"/>
          <w:szCs w:val="24"/>
        </w:rPr>
        <w:t xml:space="preserve"> regarding certain timelines in the former, objections had been raised regarding the latter. He therefore proposed that </w:t>
      </w:r>
      <w:r w:rsidR="00842307" w:rsidRPr="00851FD5">
        <w:rPr>
          <w:rFonts w:asciiTheme="minorHAnsi" w:hAnsiTheme="minorHAnsi"/>
          <w:szCs w:val="24"/>
        </w:rPr>
        <w:t xml:space="preserve">C18/13 be adopted with revision to the timeline in 6.1 and 12, </w:t>
      </w:r>
      <w:r w:rsidR="009E5680" w:rsidRPr="00851FD5">
        <w:rPr>
          <w:rFonts w:asciiTheme="minorHAnsi" w:hAnsiTheme="minorHAnsi"/>
          <w:szCs w:val="24"/>
        </w:rPr>
        <w:t xml:space="preserve">pending PP-18 </w:t>
      </w:r>
      <w:proofErr w:type="gramStart"/>
      <w:r w:rsidR="009E5680" w:rsidRPr="00851FD5">
        <w:rPr>
          <w:rFonts w:asciiTheme="minorHAnsi" w:hAnsiTheme="minorHAnsi"/>
          <w:szCs w:val="24"/>
        </w:rPr>
        <w:t>decision,</w:t>
      </w:r>
      <w:proofErr w:type="gramEnd"/>
      <w:r w:rsidR="009E5680" w:rsidRPr="00851FD5">
        <w:rPr>
          <w:rFonts w:asciiTheme="minorHAnsi" w:hAnsiTheme="minorHAnsi"/>
          <w:szCs w:val="24"/>
        </w:rPr>
        <w:t xml:space="preserve"> </w:t>
      </w:r>
      <w:r w:rsidR="00842307" w:rsidRPr="00851FD5">
        <w:rPr>
          <w:rFonts w:asciiTheme="minorHAnsi" w:hAnsiTheme="minorHAnsi"/>
          <w:szCs w:val="24"/>
        </w:rPr>
        <w:t>and that C18/63</w:t>
      </w:r>
      <w:r w:rsidRPr="00CD10C4">
        <w:rPr>
          <w:rFonts w:asciiTheme="minorHAnsi" w:hAnsiTheme="minorHAnsi"/>
          <w:szCs w:val="24"/>
        </w:rPr>
        <w:t xml:space="preserve"> be noted and </w:t>
      </w:r>
      <w:r w:rsidR="002021A8">
        <w:rPr>
          <w:rFonts w:asciiTheme="minorHAnsi" w:hAnsiTheme="minorHAnsi"/>
          <w:szCs w:val="24"/>
        </w:rPr>
        <w:t xml:space="preserve">that administrations bear in mind these documents and the comments made at the present meeting during discussions on Resolutions 70 and 48 at </w:t>
      </w:r>
      <w:r w:rsidRPr="00CD10C4">
        <w:rPr>
          <w:rFonts w:asciiTheme="minorHAnsi" w:hAnsiTheme="minorHAnsi"/>
          <w:szCs w:val="24"/>
        </w:rPr>
        <w:t xml:space="preserve">PP-18. </w:t>
      </w:r>
    </w:p>
    <w:p w:rsidR="00CD10C4" w:rsidRPr="00CD10C4" w:rsidRDefault="00CD10C4" w:rsidP="00CD10C4">
      <w:pPr>
        <w:tabs>
          <w:tab w:val="clear" w:pos="567"/>
          <w:tab w:val="clear" w:pos="1134"/>
          <w:tab w:val="clear" w:pos="1701"/>
          <w:tab w:val="clear" w:pos="2268"/>
          <w:tab w:val="clear" w:pos="2835"/>
        </w:tabs>
        <w:snapToGrid w:val="0"/>
        <w:spacing w:after="120"/>
        <w:rPr>
          <w:rFonts w:asciiTheme="minorHAnsi" w:hAnsiTheme="minorHAnsi"/>
          <w:szCs w:val="24"/>
        </w:rPr>
      </w:pPr>
      <w:r w:rsidRPr="00CD10C4">
        <w:rPr>
          <w:rFonts w:asciiTheme="minorHAnsi" w:hAnsiTheme="minorHAnsi"/>
          <w:szCs w:val="24"/>
        </w:rPr>
        <w:t>2.9</w:t>
      </w:r>
      <w:r w:rsidRPr="00CD10C4">
        <w:rPr>
          <w:rFonts w:asciiTheme="minorHAnsi" w:hAnsiTheme="minorHAnsi"/>
          <w:szCs w:val="24"/>
        </w:rPr>
        <w:tab/>
        <w:t xml:space="preserve">It was so </w:t>
      </w:r>
      <w:r w:rsidRPr="00CD10C4">
        <w:rPr>
          <w:rFonts w:asciiTheme="minorHAnsi" w:hAnsiTheme="minorHAnsi"/>
          <w:b/>
          <w:bCs/>
          <w:szCs w:val="24"/>
        </w:rPr>
        <w:t>agreed</w:t>
      </w:r>
      <w:r w:rsidRPr="00CD10C4">
        <w:rPr>
          <w:rFonts w:asciiTheme="minorHAnsi" w:hAnsiTheme="minorHAnsi"/>
          <w:szCs w:val="24"/>
        </w:rPr>
        <w:t>.</w:t>
      </w:r>
    </w:p>
    <w:p w:rsidR="00CD10C4" w:rsidRPr="00CD10C4" w:rsidRDefault="00CD10C4" w:rsidP="00CD10C4">
      <w:pPr>
        <w:tabs>
          <w:tab w:val="clear" w:pos="567"/>
          <w:tab w:val="clear" w:pos="1134"/>
          <w:tab w:val="clear" w:pos="1701"/>
          <w:tab w:val="clear" w:pos="2268"/>
          <w:tab w:val="clear" w:pos="2835"/>
        </w:tabs>
        <w:snapToGrid w:val="0"/>
        <w:spacing w:before="360" w:after="120"/>
        <w:rPr>
          <w:rFonts w:asciiTheme="minorHAnsi" w:hAnsiTheme="minorHAnsi"/>
          <w:b/>
          <w:bCs/>
          <w:sz w:val="26"/>
          <w:szCs w:val="26"/>
        </w:rPr>
      </w:pPr>
      <w:r w:rsidRPr="00CD10C4">
        <w:rPr>
          <w:rFonts w:asciiTheme="minorHAnsi" w:hAnsiTheme="minorHAnsi"/>
          <w:b/>
          <w:bCs/>
          <w:sz w:val="26"/>
          <w:szCs w:val="26"/>
        </w:rPr>
        <w:t>3</w:t>
      </w:r>
      <w:r w:rsidRPr="00CD10C4">
        <w:rPr>
          <w:rFonts w:asciiTheme="minorHAnsi" w:hAnsiTheme="minorHAnsi"/>
          <w:b/>
          <w:bCs/>
          <w:sz w:val="26"/>
          <w:szCs w:val="26"/>
        </w:rPr>
        <w:tab/>
        <w:t xml:space="preserve">Consolidation of ITU’s high-level events of a global nature (Document </w:t>
      </w:r>
      <w:hyperlink r:id="rId28" w:history="1">
        <w:r w:rsidRPr="00595758">
          <w:rPr>
            <w:rStyle w:val="Hyperlink"/>
            <w:rFonts w:asciiTheme="minorHAnsi" w:hAnsiTheme="minorHAnsi"/>
            <w:b/>
            <w:bCs/>
            <w:sz w:val="26"/>
            <w:szCs w:val="26"/>
          </w:rPr>
          <w:t>C18/55</w:t>
        </w:r>
      </w:hyperlink>
      <w:r w:rsidRPr="00CD10C4">
        <w:rPr>
          <w:rFonts w:asciiTheme="minorHAnsi" w:hAnsiTheme="minorHAnsi"/>
          <w:b/>
          <w:bCs/>
          <w:sz w:val="26"/>
          <w:szCs w:val="26"/>
        </w:rPr>
        <w:t>)</w:t>
      </w:r>
    </w:p>
    <w:p w:rsidR="00CD10C4" w:rsidRPr="00CD10C4" w:rsidRDefault="00CD10C4" w:rsidP="00CD10C4">
      <w:pPr>
        <w:tabs>
          <w:tab w:val="clear" w:pos="567"/>
          <w:tab w:val="clear" w:pos="1134"/>
          <w:tab w:val="clear" w:pos="1701"/>
          <w:tab w:val="clear" w:pos="2268"/>
          <w:tab w:val="clear" w:pos="2835"/>
        </w:tabs>
        <w:snapToGrid w:val="0"/>
        <w:spacing w:after="120"/>
        <w:rPr>
          <w:rFonts w:asciiTheme="minorHAnsi" w:hAnsiTheme="minorHAnsi"/>
          <w:szCs w:val="24"/>
        </w:rPr>
      </w:pPr>
      <w:r w:rsidRPr="00CD10C4">
        <w:rPr>
          <w:rFonts w:asciiTheme="minorHAnsi" w:hAnsiTheme="minorHAnsi"/>
          <w:szCs w:val="24"/>
        </w:rPr>
        <w:t>3.1</w:t>
      </w:r>
      <w:r w:rsidRPr="00CD10C4">
        <w:rPr>
          <w:rFonts w:asciiTheme="minorHAnsi" w:hAnsiTheme="minorHAnsi"/>
          <w:szCs w:val="24"/>
        </w:rPr>
        <w:tab/>
        <w:t>The representative of the secretariat introduced Document C18/55, which set out two options for optimizing ITU high-level events of a global nature by 2020.</w:t>
      </w:r>
    </w:p>
    <w:p w:rsidR="00CD10C4" w:rsidRPr="00CD10C4" w:rsidRDefault="00CD10C4" w:rsidP="00DA1FDF">
      <w:pPr>
        <w:tabs>
          <w:tab w:val="clear" w:pos="567"/>
          <w:tab w:val="clear" w:pos="1134"/>
          <w:tab w:val="clear" w:pos="1701"/>
          <w:tab w:val="clear" w:pos="2268"/>
          <w:tab w:val="clear" w:pos="2835"/>
        </w:tabs>
        <w:snapToGrid w:val="0"/>
        <w:spacing w:after="120"/>
        <w:rPr>
          <w:rFonts w:asciiTheme="minorHAnsi" w:hAnsiTheme="minorHAnsi"/>
          <w:szCs w:val="24"/>
        </w:rPr>
      </w:pPr>
      <w:r w:rsidRPr="00CD10C4">
        <w:rPr>
          <w:rFonts w:asciiTheme="minorHAnsi" w:hAnsiTheme="minorHAnsi"/>
          <w:szCs w:val="24"/>
        </w:rPr>
        <w:t>3.2</w:t>
      </w:r>
      <w:r w:rsidRPr="00CD10C4">
        <w:rPr>
          <w:rFonts w:asciiTheme="minorHAnsi" w:hAnsiTheme="minorHAnsi"/>
          <w:szCs w:val="24"/>
        </w:rPr>
        <w:tab/>
        <w:t xml:space="preserve">Although councillors saw much of merit in the two options proposed, the general view was that more deliberation was required to develop a workable approach that fully responded to all concerns. </w:t>
      </w:r>
      <w:r w:rsidR="007B508D">
        <w:rPr>
          <w:rFonts w:asciiTheme="minorHAnsi" w:hAnsiTheme="minorHAnsi"/>
          <w:szCs w:val="24"/>
        </w:rPr>
        <w:t>Some delegations emphasized t</w:t>
      </w:r>
      <w:r w:rsidRPr="00CD10C4">
        <w:rPr>
          <w:rFonts w:asciiTheme="minorHAnsi" w:hAnsiTheme="minorHAnsi"/>
          <w:szCs w:val="24"/>
        </w:rPr>
        <w:t xml:space="preserve">he need for the Union’s mandated core </w:t>
      </w:r>
      <w:r w:rsidR="007B508D">
        <w:rPr>
          <w:rFonts w:asciiTheme="minorHAnsi" w:hAnsiTheme="minorHAnsi"/>
          <w:szCs w:val="24"/>
        </w:rPr>
        <w:t xml:space="preserve">events (in particular world conferences and assemblies) </w:t>
      </w:r>
      <w:r w:rsidRPr="00CD10C4">
        <w:rPr>
          <w:rFonts w:asciiTheme="minorHAnsi" w:hAnsiTheme="minorHAnsi"/>
          <w:szCs w:val="24"/>
        </w:rPr>
        <w:t>to remain the top priority</w:t>
      </w:r>
      <w:r w:rsidR="007B508D">
        <w:rPr>
          <w:rFonts w:asciiTheme="minorHAnsi" w:hAnsiTheme="minorHAnsi"/>
          <w:szCs w:val="24"/>
        </w:rPr>
        <w:t>, and</w:t>
      </w:r>
      <w:r w:rsidRPr="00CD10C4">
        <w:rPr>
          <w:rFonts w:asciiTheme="minorHAnsi" w:hAnsiTheme="minorHAnsi"/>
          <w:szCs w:val="24"/>
        </w:rPr>
        <w:t xml:space="preserve"> that </w:t>
      </w:r>
      <w:r w:rsidR="007B508D">
        <w:rPr>
          <w:rFonts w:asciiTheme="minorHAnsi" w:hAnsiTheme="minorHAnsi"/>
          <w:szCs w:val="24"/>
        </w:rPr>
        <w:t>they</w:t>
      </w:r>
      <w:r w:rsidRPr="00CD10C4">
        <w:rPr>
          <w:rFonts w:asciiTheme="minorHAnsi" w:hAnsiTheme="minorHAnsi"/>
          <w:szCs w:val="24"/>
        </w:rPr>
        <w:t xml:space="preserve"> should be scheduled independently of its other high-level events. Concern was expressed at the proliferation of such high-level events: their </w:t>
      </w:r>
      <w:proofErr w:type="gramStart"/>
      <w:r w:rsidRPr="00CD10C4">
        <w:rPr>
          <w:rFonts w:asciiTheme="minorHAnsi" w:hAnsiTheme="minorHAnsi"/>
          <w:szCs w:val="24"/>
        </w:rPr>
        <w:t>added value</w:t>
      </w:r>
      <w:proofErr w:type="gramEnd"/>
      <w:r w:rsidRPr="00CD10C4">
        <w:rPr>
          <w:rFonts w:asciiTheme="minorHAnsi" w:hAnsiTheme="minorHAnsi"/>
          <w:szCs w:val="24"/>
        </w:rPr>
        <w:t xml:space="preserve"> to the Union should be analysed and consideration given to streamlining similar events under a single banner.</w:t>
      </w:r>
    </w:p>
    <w:p w:rsidR="00CD10C4" w:rsidRPr="00CD10C4" w:rsidRDefault="00CD10C4" w:rsidP="00CD10C4">
      <w:pPr>
        <w:tabs>
          <w:tab w:val="clear" w:pos="567"/>
          <w:tab w:val="clear" w:pos="1134"/>
          <w:tab w:val="clear" w:pos="1701"/>
          <w:tab w:val="clear" w:pos="2268"/>
          <w:tab w:val="clear" w:pos="2835"/>
        </w:tabs>
        <w:snapToGrid w:val="0"/>
        <w:spacing w:after="120"/>
        <w:rPr>
          <w:rFonts w:asciiTheme="minorHAnsi" w:hAnsiTheme="minorHAnsi"/>
          <w:szCs w:val="24"/>
        </w:rPr>
      </w:pPr>
      <w:r w:rsidRPr="00CD10C4">
        <w:rPr>
          <w:rFonts w:asciiTheme="minorHAnsi" w:hAnsiTheme="minorHAnsi"/>
          <w:szCs w:val="24"/>
        </w:rPr>
        <w:t>3.3</w:t>
      </w:r>
      <w:r w:rsidRPr="00CD10C4">
        <w:rPr>
          <w:rFonts w:asciiTheme="minorHAnsi" w:hAnsiTheme="minorHAnsi"/>
          <w:szCs w:val="24"/>
        </w:rPr>
        <w:tab/>
        <w:t xml:space="preserve">The Council </w:t>
      </w:r>
      <w:r w:rsidRPr="00CD10C4">
        <w:rPr>
          <w:rFonts w:asciiTheme="minorHAnsi" w:hAnsiTheme="minorHAnsi"/>
          <w:b/>
          <w:bCs/>
          <w:szCs w:val="24"/>
        </w:rPr>
        <w:t>noted</w:t>
      </w:r>
      <w:r w:rsidRPr="00CD10C4">
        <w:rPr>
          <w:rFonts w:asciiTheme="minorHAnsi" w:hAnsiTheme="minorHAnsi"/>
          <w:szCs w:val="24"/>
        </w:rPr>
        <w:t xml:space="preserve"> Document C18/55 and </w:t>
      </w:r>
      <w:r w:rsidRPr="00CD10C4">
        <w:rPr>
          <w:rFonts w:asciiTheme="minorHAnsi" w:hAnsiTheme="minorHAnsi"/>
          <w:b/>
          <w:bCs/>
          <w:szCs w:val="24"/>
        </w:rPr>
        <w:t>requested</w:t>
      </w:r>
      <w:r w:rsidRPr="00CD10C4">
        <w:rPr>
          <w:rFonts w:asciiTheme="minorHAnsi" w:hAnsiTheme="minorHAnsi"/>
          <w:szCs w:val="24"/>
        </w:rPr>
        <w:t xml:space="preserve"> the secretariat to further study the legal implications, taking into account Resolution 77 (Rev. Busan, 2014), and to submit a report to PP-18 , along with the summary records of Council-18 on the matter.</w:t>
      </w:r>
    </w:p>
    <w:p w:rsidR="00CD10C4" w:rsidRPr="00CD10C4" w:rsidRDefault="00CD10C4" w:rsidP="00233BF6">
      <w:pPr>
        <w:keepNext/>
        <w:keepLines/>
        <w:tabs>
          <w:tab w:val="clear" w:pos="567"/>
          <w:tab w:val="clear" w:pos="1134"/>
          <w:tab w:val="clear" w:pos="1701"/>
          <w:tab w:val="clear" w:pos="2268"/>
          <w:tab w:val="clear" w:pos="2835"/>
        </w:tabs>
        <w:snapToGrid w:val="0"/>
        <w:spacing w:before="360" w:after="120"/>
        <w:ind w:left="709" w:hanging="709"/>
        <w:rPr>
          <w:rFonts w:asciiTheme="minorHAnsi" w:hAnsiTheme="minorHAnsi"/>
          <w:b/>
          <w:bCs/>
          <w:sz w:val="26"/>
          <w:szCs w:val="26"/>
        </w:rPr>
      </w:pPr>
      <w:r w:rsidRPr="00CD10C4">
        <w:rPr>
          <w:rFonts w:asciiTheme="minorHAnsi" w:hAnsiTheme="minorHAnsi"/>
          <w:b/>
          <w:bCs/>
          <w:sz w:val="26"/>
          <w:szCs w:val="26"/>
        </w:rPr>
        <w:lastRenderedPageBreak/>
        <w:t>4</w:t>
      </w:r>
      <w:r w:rsidRPr="00CD10C4">
        <w:rPr>
          <w:rFonts w:asciiTheme="minorHAnsi" w:hAnsiTheme="minorHAnsi"/>
          <w:b/>
          <w:bCs/>
          <w:sz w:val="26"/>
          <w:szCs w:val="26"/>
        </w:rPr>
        <w:tab/>
        <w:t xml:space="preserve">Report of the Expert Group on the International Telecommunication Regulations (EG-ITRs) (continued) (Documents </w:t>
      </w:r>
      <w:hyperlink r:id="rId29" w:history="1">
        <w:r w:rsidRPr="00595758">
          <w:rPr>
            <w:rStyle w:val="Hyperlink"/>
            <w:rFonts w:asciiTheme="minorHAnsi" w:hAnsiTheme="minorHAnsi"/>
            <w:b/>
            <w:bCs/>
            <w:sz w:val="26"/>
            <w:szCs w:val="26"/>
          </w:rPr>
          <w:t>C18/26</w:t>
        </w:r>
      </w:hyperlink>
      <w:r w:rsidRPr="00CD10C4">
        <w:rPr>
          <w:rFonts w:asciiTheme="minorHAnsi" w:hAnsiTheme="minorHAnsi"/>
          <w:b/>
          <w:bCs/>
          <w:sz w:val="26"/>
          <w:szCs w:val="26"/>
        </w:rPr>
        <w:t xml:space="preserve">, </w:t>
      </w:r>
      <w:hyperlink r:id="rId30" w:history="1">
        <w:r w:rsidRPr="00595758">
          <w:rPr>
            <w:rStyle w:val="Hyperlink"/>
            <w:rFonts w:asciiTheme="minorHAnsi" w:hAnsiTheme="minorHAnsi"/>
            <w:b/>
            <w:bCs/>
            <w:sz w:val="26"/>
            <w:szCs w:val="26"/>
          </w:rPr>
          <w:t>C18/79</w:t>
        </w:r>
      </w:hyperlink>
      <w:r w:rsidRPr="00CD10C4">
        <w:rPr>
          <w:rFonts w:asciiTheme="minorHAnsi" w:hAnsiTheme="minorHAnsi"/>
          <w:b/>
          <w:bCs/>
          <w:sz w:val="26"/>
          <w:szCs w:val="26"/>
        </w:rPr>
        <w:t xml:space="preserve">, </w:t>
      </w:r>
      <w:hyperlink r:id="rId31" w:history="1">
        <w:r w:rsidRPr="00595758">
          <w:rPr>
            <w:rStyle w:val="Hyperlink"/>
            <w:rFonts w:asciiTheme="minorHAnsi" w:hAnsiTheme="minorHAnsi"/>
            <w:b/>
            <w:bCs/>
            <w:sz w:val="26"/>
            <w:szCs w:val="26"/>
          </w:rPr>
          <w:t>C18/91</w:t>
        </w:r>
      </w:hyperlink>
      <w:r w:rsidRPr="00CD10C4">
        <w:rPr>
          <w:rFonts w:asciiTheme="minorHAnsi" w:hAnsiTheme="minorHAnsi"/>
          <w:b/>
          <w:bCs/>
          <w:sz w:val="26"/>
          <w:szCs w:val="26"/>
        </w:rPr>
        <w:t xml:space="preserve">, </w:t>
      </w:r>
      <w:hyperlink r:id="rId32" w:history="1">
        <w:r w:rsidRPr="00595758">
          <w:rPr>
            <w:rStyle w:val="Hyperlink"/>
            <w:rFonts w:asciiTheme="minorHAnsi" w:hAnsiTheme="minorHAnsi"/>
            <w:b/>
            <w:bCs/>
            <w:sz w:val="26"/>
            <w:szCs w:val="26"/>
          </w:rPr>
          <w:t>C18/92</w:t>
        </w:r>
      </w:hyperlink>
      <w:r w:rsidRPr="00CD10C4">
        <w:rPr>
          <w:rFonts w:asciiTheme="minorHAnsi" w:hAnsiTheme="minorHAnsi"/>
          <w:b/>
          <w:bCs/>
          <w:sz w:val="26"/>
          <w:szCs w:val="26"/>
        </w:rPr>
        <w:t xml:space="preserve"> and </w:t>
      </w:r>
      <w:hyperlink r:id="rId33" w:history="1">
        <w:r w:rsidRPr="00595758">
          <w:rPr>
            <w:rStyle w:val="Hyperlink"/>
            <w:rFonts w:asciiTheme="minorHAnsi" w:hAnsiTheme="minorHAnsi"/>
            <w:b/>
            <w:bCs/>
            <w:sz w:val="26"/>
            <w:szCs w:val="26"/>
          </w:rPr>
          <w:t>C18/DT/6</w:t>
        </w:r>
      </w:hyperlink>
      <w:r w:rsidRPr="00CD10C4">
        <w:rPr>
          <w:rFonts w:asciiTheme="minorHAnsi" w:hAnsiTheme="minorHAnsi"/>
          <w:b/>
          <w:bCs/>
          <w:sz w:val="26"/>
          <w:szCs w:val="26"/>
        </w:rPr>
        <w:t>)</w:t>
      </w:r>
    </w:p>
    <w:p w:rsidR="00CD10C4" w:rsidRPr="00CD10C4" w:rsidRDefault="00CD10C4" w:rsidP="00233BF6">
      <w:pPr>
        <w:keepNext/>
        <w:keepLines/>
        <w:tabs>
          <w:tab w:val="clear" w:pos="567"/>
          <w:tab w:val="clear" w:pos="1134"/>
          <w:tab w:val="clear" w:pos="1701"/>
          <w:tab w:val="clear" w:pos="2268"/>
          <w:tab w:val="clear" w:pos="2835"/>
        </w:tabs>
        <w:snapToGrid w:val="0"/>
        <w:spacing w:after="120"/>
        <w:rPr>
          <w:rFonts w:asciiTheme="minorHAnsi" w:hAnsiTheme="minorHAnsi"/>
          <w:szCs w:val="24"/>
        </w:rPr>
      </w:pPr>
      <w:r w:rsidRPr="00CD10C4">
        <w:rPr>
          <w:rFonts w:asciiTheme="minorHAnsi" w:hAnsiTheme="minorHAnsi"/>
          <w:szCs w:val="24"/>
        </w:rPr>
        <w:t>4.1</w:t>
      </w:r>
      <w:r w:rsidRPr="00CD10C4">
        <w:rPr>
          <w:rFonts w:asciiTheme="minorHAnsi" w:hAnsiTheme="minorHAnsi"/>
          <w:szCs w:val="24"/>
        </w:rPr>
        <w:tab/>
        <w:t>The Chairman invited the Council to approve the transmission to PP-18 of a package of documents comprising the report of EG-ITRs to Council-18 (Document C18/26) and the official summary record of related comments, annexed to Document C18/DT/6.</w:t>
      </w:r>
    </w:p>
    <w:p w:rsidR="00CD10C4" w:rsidRPr="00CD10C4" w:rsidRDefault="00CD10C4" w:rsidP="00CD10C4">
      <w:pPr>
        <w:tabs>
          <w:tab w:val="clear" w:pos="567"/>
          <w:tab w:val="clear" w:pos="1134"/>
          <w:tab w:val="clear" w:pos="1701"/>
          <w:tab w:val="clear" w:pos="2268"/>
          <w:tab w:val="clear" w:pos="2835"/>
        </w:tabs>
        <w:snapToGrid w:val="0"/>
        <w:spacing w:after="120"/>
        <w:rPr>
          <w:rFonts w:asciiTheme="minorHAnsi" w:hAnsiTheme="minorHAnsi"/>
          <w:szCs w:val="24"/>
        </w:rPr>
      </w:pPr>
      <w:r w:rsidRPr="00CD10C4">
        <w:rPr>
          <w:rFonts w:asciiTheme="minorHAnsi" w:hAnsiTheme="minorHAnsi"/>
          <w:szCs w:val="24"/>
        </w:rPr>
        <w:t>4.2</w:t>
      </w:r>
      <w:r w:rsidRPr="00CD10C4">
        <w:rPr>
          <w:rFonts w:asciiTheme="minorHAnsi" w:hAnsiTheme="minorHAnsi"/>
          <w:szCs w:val="24"/>
        </w:rPr>
        <w:tab/>
        <w:t xml:space="preserve">It was so </w:t>
      </w:r>
      <w:r w:rsidRPr="00CD10C4">
        <w:rPr>
          <w:rFonts w:asciiTheme="minorHAnsi" w:hAnsiTheme="minorHAnsi"/>
          <w:b/>
          <w:bCs/>
          <w:szCs w:val="24"/>
        </w:rPr>
        <w:t>agreed</w:t>
      </w:r>
      <w:r w:rsidRPr="00CD10C4">
        <w:rPr>
          <w:rFonts w:asciiTheme="minorHAnsi" w:hAnsiTheme="minorHAnsi"/>
          <w:szCs w:val="24"/>
        </w:rPr>
        <w:t>.</w:t>
      </w:r>
    </w:p>
    <w:p w:rsidR="00CD10C4" w:rsidRPr="00CD10C4" w:rsidRDefault="00CD10C4" w:rsidP="00CD10C4">
      <w:pPr>
        <w:keepNext/>
        <w:keepLines/>
        <w:tabs>
          <w:tab w:val="clear" w:pos="567"/>
          <w:tab w:val="clear" w:pos="1134"/>
          <w:tab w:val="clear" w:pos="1701"/>
          <w:tab w:val="clear" w:pos="2268"/>
          <w:tab w:val="clear" w:pos="2835"/>
        </w:tabs>
        <w:snapToGrid w:val="0"/>
        <w:spacing w:after="120"/>
        <w:rPr>
          <w:rFonts w:asciiTheme="minorHAnsi" w:hAnsiTheme="minorHAnsi"/>
          <w:b/>
          <w:bCs/>
          <w:sz w:val="26"/>
          <w:szCs w:val="26"/>
        </w:rPr>
      </w:pPr>
      <w:r w:rsidRPr="00CD10C4">
        <w:rPr>
          <w:rFonts w:asciiTheme="minorHAnsi" w:hAnsiTheme="minorHAnsi"/>
          <w:b/>
          <w:bCs/>
          <w:sz w:val="26"/>
          <w:szCs w:val="26"/>
        </w:rPr>
        <w:t>5</w:t>
      </w:r>
      <w:r w:rsidRPr="00CD10C4">
        <w:rPr>
          <w:rFonts w:asciiTheme="minorHAnsi" w:hAnsiTheme="minorHAnsi"/>
          <w:sz w:val="26"/>
          <w:szCs w:val="26"/>
        </w:rPr>
        <w:tab/>
      </w:r>
      <w:r w:rsidRPr="00CD10C4">
        <w:rPr>
          <w:rFonts w:asciiTheme="minorHAnsi" w:hAnsiTheme="minorHAnsi"/>
          <w:b/>
          <w:bCs/>
          <w:sz w:val="26"/>
          <w:szCs w:val="26"/>
        </w:rPr>
        <w:t>Announcements by councillors</w:t>
      </w:r>
    </w:p>
    <w:p w:rsidR="00CD10C4" w:rsidRPr="00CD10C4" w:rsidRDefault="00CD10C4" w:rsidP="00CD10C4">
      <w:pPr>
        <w:keepNext/>
        <w:keepLines/>
        <w:tabs>
          <w:tab w:val="clear" w:pos="567"/>
          <w:tab w:val="clear" w:pos="1134"/>
          <w:tab w:val="clear" w:pos="1701"/>
          <w:tab w:val="clear" w:pos="2268"/>
          <w:tab w:val="clear" w:pos="2835"/>
        </w:tabs>
        <w:snapToGrid w:val="0"/>
        <w:spacing w:after="120"/>
        <w:rPr>
          <w:rFonts w:asciiTheme="minorHAnsi" w:hAnsiTheme="minorHAnsi"/>
          <w:szCs w:val="24"/>
        </w:rPr>
      </w:pPr>
      <w:r w:rsidRPr="00CD10C4">
        <w:rPr>
          <w:rFonts w:asciiTheme="minorHAnsi" w:hAnsiTheme="minorHAnsi"/>
          <w:szCs w:val="24"/>
        </w:rPr>
        <w:t>5.1</w:t>
      </w:r>
      <w:r w:rsidRPr="00CD10C4">
        <w:rPr>
          <w:rFonts w:asciiTheme="minorHAnsi" w:hAnsiTheme="minorHAnsi"/>
          <w:szCs w:val="24"/>
        </w:rPr>
        <w:tab/>
        <w:t xml:space="preserve">Having underscored their countries’ commitment to the work of ITU and its activities, the councillors from Turkey and Tunisia announced that at </w:t>
      </w:r>
      <w:proofErr w:type="gramStart"/>
      <w:r w:rsidRPr="00CD10C4">
        <w:rPr>
          <w:rFonts w:asciiTheme="minorHAnsi" w:hAnsiTheme="minorHAnsi"/>
          <w:szCs w:val="24"/>
        </w:rPr>
        <w:t>PP-18</w:t>
      </w:r>
      <w:proofErr w:type="gramEnd"/>
      <w:r w:rsidRPr="00CD10C4">
        <w:rPr>
          <w:rFonts w:asciiTheme="minorHAnsi" w:hAnsiTheme="minorHAnsi"/>
          <w:szCs w:val="24"/>
        </w:rPr>
        <w:t xml:space="preserve"> their countries would stand for re-election to the Council, and the councillor from Uruguay announced that his country intended to propose a candidate for the post of Director of BR.</w:t>
      </w:r>
    </w:p>
    <w:p w:rsidR="00FB54A4" w:rsidRPr="00CD10C4" w:rsidRDefault="00FB54A4" w:rsidP="00FB54A4">
      <w:pPr>
        <w:tabs>
          <w:tab w:val="clear" w:pos="567"/>
          <w:tab w:val="clear" w:pos="1134"/>
          <w:tab w:val="clear" w:pos="1701"/>
          <w:tab w:val="clear" w:pos="2268"/>
          <w:tab w:val="clear" w:pos="2835"/>
          <w:tab w:val="left" w:pos="6521"/>
        </w:tabs>
        <w:snapToGrid w:val="0"/>
        <w:spacing w:before="600" w:after="120"/>
        <w:rPr>
          <w:rFonts w:asciiTheme="minorHAnsi" w:hAnsiTheme="minorHAnsi"/>
          <w:szCs w:val="24"/>
        </w:rPr>
      </w:pPr>
      <w:r w:rsidRPr="00CD10C4">
        <w:rPr>
          <w:rFonts w:asciiTheme="minorHAnsi" w:hAnsiTheme="minorHAnsi"/>
          <w:szCs w:val="24"/>
        </w:rPr>
        <w:t>The Secretary-General:</w:t>
      </w:r>
      <w:r w:rsidRPr="00CD10C4">
        <w:rPr>
          <w:rFonts w:asciiTheme="minorHAnsi" w:hAnsiTheme="minorHAnsi"/>
          <w:szCs w:val="24"/>
        </w:rPr>
        <w:tab/>
        <w:t>The Chairman:</w:t>
      </w:r>
    </w:p>
    <w:p w:rsidR="00FB54A4" w:rsidRPr="00CD10C4" w:rsidRDefault="00FB54A4" w:rsidP="00FB54A4">
      <w:pPr>
        <w:tabs>
          <w:tab w:val="clear" w:pos="567"/>
          <w:tab w:val="clear" w:pos="1134"/>
          <w:tab w:val="clear" w:pos="1701"/>
          <w:tab w:val="clear" w:pos="2268"/>
          <w:tab w:val="clear" w:pos="2835"/>
          <w:tab w:val="left" w:pos="6521"/>
        </w:tabs>
        <w:snapToGrid w:val="0"/>
        <w:spacing w:after="120"/>
        <w:rPr>
          <w:rFonts w:asciiTheme="minorHAnsi" w:hAnsiTheme="minorHAnsi"/>
          <w:szCs w:val="24"/>
        </w:rPr>
      </w:pPr>
      <w:r w:rsidRPr="00CD10C4">
        <w:rPr>
          <w:rFonts w:asciiTheme="minorHAnsi" w:hAnsiTheme="minorHAnsi"/>
          <w:szCs w:val="24"/>
        </w:rPr>
        <w:t>H. ZHAO</w:t>
      </w:r>
      <w:r w:rsidRPr="00CD10C4">
        <w:rPr>
          <w:rFonts w:asciiTheme="minorHAnsi" w:hAnsiTheme="minorHAnsi"/>
          <w:szCs w:val="24"/>
        </w:rPr>
        <w:tab/>
        <w:t>R. ISMAILOV</w:t>
      </w:r>
    </w:p>
    <w:p w:rsidR="00264425" w:rsidRPr="00CD10C4" w:rsidRDefault="00FB54A4" w:rsidP="00FB54A4">
      <w:pPr>
        <w:tabs>
          <w:tab w:val="clear" w:pos="567"/>
          <w:tab w:val="clear" w:pos="1134"/>
          <w:tab w:val="clear" w:pos="1701"/>
          <w:tab w:val="clear" w:pos="2268"/>
          <w:tab w:val="clear" w:pos="2835"/>
        </w:tabs>
        <w:snapToGrid w:val="0"/>
        <w:spacing w:before="840"/>
        <w:jc w:val="center"/>
        <w:rPr>
          <w:rFonts w:asciiTheme="minorHAnsi" w:hAnsiTheme="minorHAnsi"/>
          <w:szCs w:val="24"/>
        </w:rPr>
      </w:pPr>
      <w:r w:rsidRPr="00CD10C4">
        <w:rPr>
          <w:rFonts w:asciiTheme="minorHAnsi" w:hAnsiTheme="minorHAnsi"/>
          <w:szCs w:val="24"/>
        </w:rPr>
        <w:t>__________________</w:t>
      </w:r>
    </w:p>
    <w:sectPr w:rsidR="00264425" w:rsidRPr="00CD10C4" w:rsidSect="004D1851">
      <w:headerReference w:type="default" r:id="rId34"/>
      <w:footerReference w:type="default" r:id="rId35"/>
      <w:headerReference w:type="first" r:id="rId36"/>
      <w:footerReference w:type="first" r:id="rId3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B3A" w:rsidRDefault="005B0B3A">
      <w:r>
        <w:separator/>
      </w:r>
    </w:p>
  </w:endnote>
  <w:endnote w:type="continuationSeparator" w:id="0">
    <w:p w:rsidR="005B0B3A" w:rsidRDefault="005B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Default="00814251">
    <w:pPr>
      <w:pStyle w:val="Footer"/>
    </w:pPr>
    <w:r>
      <w:fldChar w:fldCharType="begin"/>
    </w:r>
    <w:r>
      <w:instrText xml:space="preserve"> FILENAME \p  \* MER</w:instrText>
    </w:r>
    <w:r>
      <w:instrText xml:space="preserve">GEFORMAT </w:instrText>
    </w:r>
    <w:r>
      <w:fldChar w:fldCharType="separate"/>
    </w:r>
    <w:r w:rsidR="001859E0">
      <w:t>Document1</w:t>
    </w:r>
    <w:r>
      <w:fldChar w:fldCharType="end"/>
    </w:r>
    <w:r w:rsidR="00CB18FF">
      <w:tab/>
    </w:r>
    <w:r w:rsidR="00864AFF">
      <w:fldChar w:fldCharType="begin"/>
    </w:r>
    <w:r w:rsidR="00CB18FF">
      <w:instrText xml:space="preserve"> SAVEDATE \@ DD.MM.YY </w:instrText>
    </w:r>
    <w:r w:rsidR="00864AFF">
      <w:fldChar w:fldCharType="separate"/>
    </w:r>
    <w:r>
      <w:t>29.05.18</w:t>
    </w:r>
    <w:r w:rsidR="00864AFF">
      <w:fldChar w:fldCharType="end"/>
    </w:r>
    <w:r w:rsidR="00CB18FF">
      <w:tab/>
    </w:r>
    <w:r w:rsidR="00864AFF">
      <w:fldChar w:fldCharType="begin"/>
    </w:r>
    <w:r w:rsidR="00CB18FF">
      <w:instrText xml:space="preserve"> PRINTDATE \@ DD.MM.YY </w:instrText>
    </w:r>
    <w:r w:rsidR="00864AFF">
      <w:fldChar w:fldCharType="separate"/>
    </w:r>
    <w:r w:rsidR="001859E0">
      <w:t>18.07.00</w:t>
    </w:r>
    <w:r w:rsidR="00864A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B02102" w:rsidRDefault="009E5680">
    <w:pPr>
      <w:pStyle w:val="Footer"/>
      <w:rPr>
        <w:color w:val="D9D9D9" w:themeColor="background1" w:themeShade="D9"/>
      </w:rPr>
    </w:pPr>
    <w:r w:rsidRPr="00B02102">
      <w:rPr>
        <w:color w:val="D9D9D9" w:themeColor="background1" w:themeShade="D9"/>
      </w:rPr>
      <w:fldChar w:fldCharType="begin"/>
    </w:r>
    <w:r w:rsidRPr="00B02102">
      <w:rPr>
        <w:color w:val="D9D9D9" w:themeColor="background1" w:themeShade="D9"/>
      </w:rPr>
      <w:instrText xml:space="preserve"> FILENAME \p  \* MERGEFORMAT </w:instrText>
    </w:r>
    <w:r w:rsidRPr="00B02102">
      <w:rPr>
        <w:color w:val="D9D9D9" w:themeColor="background1" w:themeShade="D9"/>
      </w:rPr>
      <w:fldChar w:fldCharType="separate"/>
    </w:r>
    <w:r w:rsidR="001859E0" w:rsidRPr="00B02102">
      <w:rPr>
        <w:color w:val="D9D9D9" w:themeColor="background1" w:themeShade="D9"/>
      </w:rPr>
      <w:t>Document1</w:t>
    </w:r>
    <w:r w:rsidRPr="00B02102">
      <w:rPr>
        <w:color w:val="D9D9D9" w:themeColor="background1" w:themeShade="D9"/>
      </w:rPr>
      <w:fldChar w:fldCharType="end"/>
    </w:r>
    <w:r w:rsidR="00322D0D" w:rsidRPr="00B02102">
      <w:rPr>
        <w:color w:val="D9D9D9" w:themeColor="background1" w:themeShade="D9"/>
      </w:rPr>
      <w:tab/>
    </w:r>
    <w:r w:rsidR="00864AFF" w:rsidRPr="00B02102">
      <w:rPr>
        <w:color w:val="D9D9D9" w:themeColor="background1" w:themeShade="D9"/>
      </w:rPr>
      <w:fldChar w:fldCharType="begin"/>
    </w:r>
    <w:r w:rsidR="00322D0D" w:rsidRPr="00B02102">
      <w:rPr>
        <w:color w:val="D9D9D9" w:themeColor="background1" w:themeShade="D9"/>
      </w:rPr>
      <w:instrText xml:space="preserve"> SAVEDATE \@ DD.MM.YY </w:instrText>
    </w:r>
    <w:r w:rsidR="00864AFF" w:rsidRPr="00B02102">
      <w:rPr>
        <w:color w:val="D9D9D9" w:themeColor="background1" w:themeShade="D9"/>
      </w:rPr>
      <w:fldChar w:fldCharType="separate"/>
    </w:r>
    <w:r w:rsidR="00814251">
      <w:rPr>
        <w:color w:val="D9D9D9" w:themeColor="background1" w:themeShade="D9"/>
      </w:rPr>
      <w:t>29.05.18</w:t>
    </w:r>
    <w:r w:rsidR="00864AFF" w:rsidRPr="00B02102">
      <w:rPr>
        <w:color w:val="D9D9D9" w:themeColor="background1" w:themeShade="D9"/>
      </w:rPr>
      <w:fldChar w:fldCharType="end"/>
    </w:r>
    <w:r w:rsidR="00322D0D" w:rsidRPr="00B02102">
      <w:rPr>
        <w:color w:val="D9D9D9" w:themeColor="background1" w:themeShade="D9"/>
      </w:rPr>
      <w:tab/>
    </w:r>
    <w:r w:rsidR="00864AFF" w:rsidRPr="00B02102">
      <w:rPr>
        <w:color w:val="D9D9D9" w:themeColor="background1" w:themeShade="D9"/>
      </w:rPr>
      <w:fldChar w:fldCharType="begin"/>
    </w:r>
    <w:r w:rsidR="00322D0D" w:rsidRPr="00B02102">
      <w:rPr>
        <w:color w:val="D9D9D9" w:themeColor="background1" w:themeShade="D9"/>
      </w:rPr>
      <w:instrText xml:space="preserve"> PRINTDATE \@ DD.MM.YY </w:instrText>
    </w:r>
    <w:r w:rsidR="00864AFF" w:rsidRPr="00B02102">
      <w:rPr>
        <w:color w:val="D9D9D9" w:themeColor="background1" w:themeShade="D9"/>
      </w:rPr>
      <w:fldChar w:fldCharType="separate"/>
    </w:r>
    <w:r w:rsidR="001859E0" w:rsidRPr="00B02102">
      <w:rPr>
        <w:color w:val="D9D9D9" w:themeColor="background1" w:themeShade="D9"/>
      </w:rPr>
      <w:t>18.07.00</w:t>
    </w:r>
    <w:r w:rsidR="00864AFF" w:rsidRPr="00B02102">
      <w:rPr>
        <w:color w:val="D9D9D9" w:themeColor="background1" w:themeShade="D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23078E" w:rsidRDefault="0023078E" w:rsidP="0023078E">
    <w:pPr>
      <w:pStyle w:val="Footer"/>
      <w:rPr>
        <w:color w:val="D9D9D9" w:themeColor="background1" w:themeShade="D9"/>
      </w:rPr>
    </w:pPr>
    <w:r w:rsidRPr="0023078E">
      <w:rPr>
        <w:color w:val="D9D9D9" w:themeColor="background1" w:themeShade="D9"/>
      </w:rPr>
      <w:fldChar w:fldCharType="begin"/>
    </w:r>
    <w:r w:rsidRPr="0023078E">
      <w:rPr>
        <w:color w:val="D9D9D9" w:themeColor="background1" w:themeShade="D9"/>
      </w:rPr>
      <w:instrText xml:space="preserve"> FILENAME \p \* MERGEFORMAT </w:instrText>
    </w:r>
    <w:r w:rsidRPr="0023078E">
      <w:rPr>
        <w:color w:val="D9D9D9" w:themeColor="background1" w:themeShade="D9"/>
      </w:rPr>
      <w:fldChar w:fldCharType="separate"/>
    </w:r>
    <w:r w:rsidRPr="0023078E">
      <w:rPr>
        <w:color w:val="D9D9D9" w:themeColor="background1" w:themeShade="D9"/>
      </w:rPr>
      <w:t>P:\SPM\GBS\c18\Doc\Summary-Records\109e_PL5-bp.ea.docx</w:t>
    </w:r>
    <w:r w:rsidRPr="0023078E">
      <w:rPr>
        <w:color w:val="D9D9D9" w:themeColor="background1" w:themeShade="D9"/>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Pr="00FB54A4" w:rsidRDefault="00322D0D" w:rsidP="00FB54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B3A" w:rsidRDefault="005B0B3A">
      <w:r>
        <w:t>____________________</w:t>
      </w:r>
    </w:p>
  </w:footnote>
  <w:footnote w:type="continuationSeparator" w:id="0">
    <w:p w:rsidR="005B0B3A" w:rsidRDefault="005B0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FB54A4">
      <w:rPr>
        <w:noProof/>
      </w:rPr>
      <w:t>3</w:t>
    </w:r>
    <w:r>
      <w:rPr>
        <w:noProof/>
      </w:rPr>
      <w:fldChar w:fldCharType="end"/>
    </w:r>
  </w:p>
  <w:p w:rsidR="00322D0D" w:rsidRPr="00623AE3" w:rsidRDefault="006043C6" w:rsidP="005243FF">
    <w:pPr>
      <w:pStyle w:val="Header"/>
      <w:rPr>
        <w:bCs/>
      </w:rPr>
    </w:pPr>
    <w:r>
      <w:rPr>
        <w:bCs/>
      </w:rPr>
      <w:t>C18/104</w:t>
    </w:r>
    <w:r w:rsidR="00623AE3" w:rsidRPr="00623AE3">
      <w:rPr>
        <w:bCs/>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814251">
      <w:rPr>
        <w:noProof/>
      </w:rPr>
      <w:t>5</w:t>
    </w:r>
    <w:r>
      <w:rPr>
        <w:noProof/>
      </w:rPr>
      <w:fldChar w:fldCharType="end"/>
    </w:r>
  </w:p>
  <w:p w:rsidR="00322D0D" w:rsidRPr="00623AE3" w:rsidRDefault="00CD10C4" w:rsidP="005243FF">
    <w:pPr>
      <w:pStyle w:val="Header"/>
      <w:rPr>
        <w:bCs/>
      </w:rPr>
    </w:pPr>
    <w:r>
      <w:rPr>
        <w:bCs/>
      </w:rPr>
      <w:t>C18/109</w:t>
    </w:r>
    <w:r w:rsidR="00623AE3" w:rsidRPr="00623AE3">
      <w:rPr>
        <w:bCs/>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4A4" w:rsidRDefault="00FB54A4" w:rsidP="00FB54A4">
    <w:pPr>
      <w:pStyle w:val="Header"/>
    </w:pPr>
    <w:r>
      <w:fldChar w:fldCharType="begin"/>
    </w:r>
    <w:r>
      <w:instrText>PAGE</w:instrText>
    </w:r>
    <w:r>
      <w:fldChar w:fldCharType="separate"/>
    </w:r>
    <w:r w:rsidR="00814251">
      <w:rPr>
        <w:noProof/>
      </w:rPr>
      <w:t>2</w:t>
    </w:r>
    <w:r>
      <w:rPr>
        <w:noProof/>
      </w:rPr>
      <w:fldChar w:fldCharType="end"/>
    </w:r>
  </w:p>
  <w:p w:rsidR="00FB54A4" w:rsidRPr="00623AE3" w:rsidRDefault="00CD10C4" w:rsidP="00FB54A4">
    <w:pPr>
      <w:pStyle w:val="Header"/>
      <w:rPr>
        <w:bCs/>
      </w:rPr>
    </w:pPr>
    <w:r>
      <w:rPr>
        <w:bCs/>
      </w:rPr>
      <w:t>C18/109</w:t>
    </w:r>
    <w:r w:rsidR="00FB54A4" w:rsidRPr="00623AE3">
      <w:rPr>
        <w:bCs/>
      </w:rPr>
      <w:t>-E</w:t>
    </w:r>
  </w:p>
  <w:p w:rsidR="00FB54A4" w:rsidRDefault="00FB54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52916"/>
    <w:rsid w:val="00063016"/>
    <w:rsid w:val="00066795"/>
    <w:rsid w:val="000763FE"/>
    <w:rsid w:val="00076AF6"/>
    <w:rsid w:val="00085CF2"/>
    <w:rsid w:val="000B1705"/>
    <w:rsid w:val="000C77BE"/>
    <w:rsid w:val="000D75B2"/>
    <w:rsid w:val="001121F5"/>
    <w:rsid w:val="001400DC"/>
    <w:rsid w:val="00140CE1"/>
    <w:rsid w:val="0017539C"/>
    <w:rsid w:val="00175AC2"/>
    <w:rsid w:val="0017609F"/>
    <w:rsid w:val="001859E0"/>
    <w:rsid w:val="001A557A"/>
    <w:rsid w:val="001C628E"/>
    <w:rsid w:val="001E0F7B"/>
    <w:rsid w:val="002021A8"/>
    <w:rsid w:val="002119FD"/>
    <w:rsid w:val="002130E0"/>
    <w:rsid w:val="0023078E"/>
    <w:rsid w:val="00231D62"/>
    <w:rsid w:val="00233BF6"/>
    <w:rsid w:val="00264425"/>
    <w:rsid w:val="00265875"/>
    <w:rsid w:val="0027303B"/>
    <w:rsid w:val="0028109B"/>
    <w:rsid w:val="002A2188"/>
    <w:rsid w:val="002B1F58"/>
    <w:rsid w:val="002C1C7A"/>
    <w:rsid w:val="0030160F"/>
    <w:rsid w:val="00320672"/>
    <w:rsid w:val="00322D0D"/>
    <w:rsid w:val="003942D4"/>
    <w:rsid w:val="003958A8"/>
    <w:rsid w:val="003B2F44"/>
    <w:rsid w:val="003C011D"/>
    <w:rsid w:val="003C2533"/>
    <w:rsid w:val="003E331C"/>
    <w:rsid w:val="003E54EB"/>
    <w:rsid w:val="00401D85"/>
    <w:rsid w:val="0040435A"/>
    <w:rsid w:val="00416A24"/>
    <w:rsid w:val="00431D9E"/>
    <w:rsid w:val="00433CE8"/>
    <w:rsid w:val="00434A5C"/>
    <w:rsid w:val="004544D9"/>
    <w:rsid w:val="00473BEE"/>
    <w:rsid w:val="00490E72"/>
    <w:rsid w:val="00491157"/>
    <w:rsid w:val="004921C8"/>
    <w:rsid w:val="004C7AFC"/>
    <w:rsid w:val="004D1851"/>
    <w:rsid w:val="004D599D"/>
    <w:rsid w:val="004E2EA5"/>
    <w:rsid w:val="004E3AEB"/>
    <w:rsid w:val="0050223C"/>
    <w:rsid w:val="005243FF"/>
    <w:rsid w:val="0054015A"/>
    <w:rsid w:val="00564FBC"/>
    <w:rsid w:val="00582442"/>
    <w:rsid w:val="00595758"/>
    <w:rsid w:val="005B0303"/>
    <w:rsid w:val="005B0B3A"/>
    <w:rsid w:val="005F3269"/>
    <w:rsid w:val="006043C6"/>
    <w:rsid w:val="00623AE3"/>
    <w:rsid w:val="0064737F"/>
    <w:rsid w:val="006535F1"/>
    <w:rsid w:val="006537D2"/>
    <w:rsid w:val="0065557D"/>
    <w:rsid w:val="00662984"/>
    <w:rsid w:val="006716BB"/>
    <w:rsid w:val="006B6680"/>
    <w:rsid w:val="006B6DCC"/>
    <w:rsid w:val="00702DEF"/>
    <w:rsid w:val="00706861"/>
    <w:rsid w:val="0075051B"/>
    <w:rsid w:val="00776DA0"/>
    <w:rsid w:val="00793188"/>
    <w:rsid w:val="00794D34"/>
    <w:rsid w:val="0079733B"/>
    <w:rsid w:val="007B508D"/>
    <w:rsid w:val="00813E5E"/>
    <w:rsid w:val="00814251"/>
    <w:rsid w:val="0083581B"/>
    <w:rsid w:val="00842307"/>
    <w:rsid w:val="00851FD5"/>
    <w:rsid w:val="00864AFF"/>
    <w:rsid w:val="008B4A6A"/>
    <w:rsid w:val="008C7E27"/>
    <w:rsid w:val="009173EF"/>
    <w:rsid w:val="00932906"/>
    <w:rsid w:val="00961B0B"/>
    <w:rsid w:val="009B38C3"/>
    <w:rsid w:val="009C2305"/>
    <w:rsid w:val="009E17BD"/>
    <w:rsid w:val="009E485A"/>
    <w:rsid w:val="009E5680"/>
    <w:rsid w:val="00A04CEC"/>
    <w:rsid w:val="00A27F92"/>
    <w:rsid w:val="00A32257"/>
    <w:rsid w:val="00A36D20"/>
    <w:rsid w:val="00A55622"/>
    <w:rsid w:val="00A83502"/>
    <w:rsid w:val="00AA5921"/>
    <w:rsid w:val="00AD15B3"/>
    <w:rsid w:val="00AF6E49"/>
    <w:rsid w:val="00B02102"/>
    <w:rsid w:val="00B04A67"/>
    <w:rsid w:val="00B0583C"/>
    <w:rsid w:val="00B40A81"/>
    <w:rsid w:val="00B44910"/>
    <w:rsid w:val="00B72267"/>
    <w:rsid w:val="00B76EB6"/>
    <w:rsid w:val="00B7737B"/>
    <w:rsid w:val="00B824C8"/>
    <w:rsid w:val="00BC251A"/>
    <w:rsid w:val="00BD032B"/>
    <w:rsid w:val="00BE2640"/>
    <w:rsid w:val="00C01189"/>
    <w:rsid w:val="00C374DE"/>
    <w:rsid w:val="00C42233"/>
    <w:rsid w:val="00C47AD4"/>
    <w:rsid w:val="00C52D81"/>
    <w:rsid w:val="00C55198"/>
    <w:rsid w:val="00C969B9"/>
    <w:rsid w:val="00CA6393"/>
    <w:rsid w:val="00CB18FF"/>
    <w:rsid w:val="00CC2742"/>
    <w:rsid w:val="00CD0C08"/>
    <w:rsid w:val="00CD10C4"/>
    <w:rsid w:val="00CE03FB"/>
    <w:rsid w:val="00CE433C"/>
    <w:rsid w:val="00CF33F3"/>
    <w:rsid w:val="00D04E39"/>
    <w:rsid w:val="00D06183"/>
    <w:rsid w:val="00D22C42"/>
    <w:rsid w:val="00D36FD1"/>
    <w:rsid w:val="00D5788C"/>
    <w:rsid w:val="00D65041"/>
    <w:rsid w:val="00D73E81"/>
    <w:rsid w:val="00DA1FDF"/>
    <w:rsid w:val="00DB384B"/>
    <w:rsid w:val="00DE70F5"/>
    <w:rsid w:val="00E10E80"/>
    <w:rsid w:val="00E124F0"/>
    <w:rsid w:val="00E14336"/>
    <w:rsid w:val="00E60F04"/>
    <w:rsid w:val="00E854E4"/>
    <w:rsid w:val="00EB0D6F"/>
    <w:rsid w:val="00EB2232"/>
    <w:rsid w:val="00EC5337"/>
    <w:rsid w:val="00ED5482"/>
    <w:rsid w:val="00F2150A"/>
    <w:rsid w:val="00F231D8"/>
    <w:rsid w:val="00F242D6"/>
    <w:rsid w:val="00F46C5F"/>
    <w:rsid w:val="00F94A63"/>
    <w:rsid w:val="00FA1C28"/>
    <w:rsid w:val="00FB54A4"/>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rmalWeb">
    <w:name w:val="Normal (Web)"/>
    <w:basedOn w:val="Normal"/>
    <w:uiPriority w:val="99"/>
    <w:unhideWhenUsed/>
    <w:rsid w:val="00CD10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HAnsi" w:hAnsi="Times New Roman"/>
      <w:szCs w:val="24"/>
      <w:lang w:val="en-US"/>
    </w:rPr>
  </w:style>
  <w:style w:type="paragraph" w:styleId="BalloonText">
    <w:name w:val="Balloon Text"/>
    <w:basedOn w:val="Normal"/>
    <w:link w:val="BalloonTextChar"/>
    <w:semiHidden/>
    <w:unhideWhenUsed/>
    <w:rsid w:val="009C230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C230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8-CL-C-0063/en" TargetMode="External"/><Relationship Id="rId18" Type="http://schemas.openxmlformats.org/officeDocument/2006/relationships/hyperlink" Target="https://www.itu.int/md/S18-CL-C-0092/en" TargetMode="External"/><Relationship Id="rId26" Type="http://schemas.openxmlformats.org/officeDocument/2006/relationships/hyperlink" Target="https://www.itu.int/md/S18-CL-C-0013/e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md/S18-CL-C-0013/en" TargetMode="External"/><Relationship Id="rId17" Type="http://schemas.openxmlformats.org/officeDocument/2006/relationships/hyperlink" Target="https://www.itu.int/md/S18-CL-C-0091/en" TargetMode="External"/><Relationship Id="rId25" Type="http://schemas.openxmlformats.org/officeDocument/2006/relationships/hyperlink" Target="https://www.itu.int/md/S18-CL-C-0006/en" TargetMode="External"/><Relationship Id="rId33" Type="http://schemas.openxmlformats.org/officeDocument/2006/relationships/hyperlink" Target="https://www.itu.int/md/S18-CL-180417-TD-GEN-0006/e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18-CL-C-0079/en" TargetMode="External"/><Relationship Id="rId20" Type="http://schemas.openxmlformats.org/officeDocument/2006/relationships/header" Target="header1.xml"/><Relationship Id="rId29" Type="http://schemas.openxmlformats.org/officeDocument/2006/relationships/hyperlink" Target="https://www.itu.int/md/S18-CL-C-0026/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0006/en" TargetMode="External"/><Relationship Id="rId24" Type="http://schemas.openxmlformats.org/officeDocument/2006/relationships/hyperlink" Target="https://www.itu.int/md/S18-CL-C-0095/en" TargetMode="External"/><Relationship Id="rId32" Type="http://schemas.openxmlformats.org/officeDocument/2006/relationships/hyperlink" Target="https://www.itu.int/md/S18-CL-C-0092/en" TargetMode="External"/><Relationship Id="rId37"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itu.int/md/S18-CL-C-0026/en" TargetMode="External"/><Relationship Id="rId23" Type="http://schemas.openxmlformats.org/officeDocument/2006/relationships/hyperlink" Target="https://www.itu.int/md/S18-CL-C-0005/en" TargetMode="External"/><Relationship Id="rId28" Type="http://schemas.openxmlformats.org/officeDocument/2006/relationships/hyperlink" Target="https://www.itu.int/md/S18-CL-C-0055/en" TargetMode="External"/><Relationship Id="rId36" Type="http://schemas.openxmlformats.org/officeDocument/2006/relationships/header" Target="header3.xml"/><Relationship Id="rId10" Type="http://schemas.openxmlformats.org/officeDocument/2006/relationships/hyperlink" Target="https://www.itu.int/md/S18-CL-C-0095/en" TargetMode="External"/><Relationship Id="rId19" Type="http://schemas.openxmlformats.org/officeDocument/2006/relationships/hyperlink" Target="https://www.itu.int/md/S18-CL-180417-TD-GEN-0006/en" TargetMode="External"/><Relationship Id="rId31" Type="http://schemas.openxmlformats.org/officeDocument/2006/relationships/hyperlink" Target="https://www.itu.int/md/S18-CL-C-0091/en" TargetMode="External"/><Relationship Id="rId4" Type="http://schemas.openxmlformats.org/officeDocument/2006/relationships/settings" Target="settings.xml"/><Relationship Id="rId9" Type="http://schemas.openxmlformats.org/officeDocument/2006/relationships/hyperlink" Target="https://www.itu.int/md/S18-CL-C-0005/en" TargetMode="External"/><Relationship Id="rId14" Type="http://schemas.openxmlformats.org/officeDocument/2006/relationships/hyperlink" Target="https://www.itu.int/md/S18-CL-C-0055/en" TargetMode="External"/><Relationship Id="rId22" Type="http://schemas.openxmlformats.org/officeDocument/2006/relationships/footer" Target="footer2.xml"/><Relationship Id="rId27" Type="http://schemas.openxmlformats.org/officeDocument/2006/relationships/hyperlink" Target="https://www.itu.int/md/S18-CL-C-0063/en" TargetMode="External"/><Relationship Id="rId30" Type="http://schemas.openxmlformats.org/officeDocument/2006/relationships/hyperlink" Target="https://www.itu.int/md/S18-CL-C-0079/en" TargetMode="External"/><Relationship Id="rId35"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4CD17-4A71-4DD2-90F8-FE03BFDC7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1918</Words>
  <Characters>11964</Characters>
  <Application>Microsoft Office Word</Application>
  <DocSecurity>0</DocSecurity>
  <Lines>99</Lines>
  <Paragraphs>27</Paragraphs>
  <ScaleCrop>false</ScaleCrop>
  <Manager/>
  <Company/>
  <LinksUpToDate>false</LinksUpToDate>
  <CharactersWithSpaces>13855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fifth Plenary meeting</dc:title>
  <dc:subject>Council 2018</dc:subject>
  <dc:creator/>
  <cp:keywords>C18, C2018</cp:keywords>
  <dc:description/>
  <cp:lastModifiedBy/>
  <cp:revision>1</cp:revision>
  <dcterms:created xsi:type="dcterms:W3CDTF">2018-05-29T11:48:00Z</dcterms:created>
  <dcterms:modified xsi:type="dcterms:W3CDTF">2018-05-29T13:28:00Z</dcterms:modified>
  <cp:category>Conference document</cp:category>
</cp:coreProperties>
</file>