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F15A55">
        <w:trPr>
          <w:cantSplit/>
        </w:trPr>
        <w:tc>
          <w:tcPr>
            <w:tcW w:w="6912" w:type="dxa"/>
          </w:tcPr>
          <w:p w:rsidR="00520F36" w:rsidRPr="00F15A55" w:rsidRDefault="00520F36" w:rsidP="003C3FAE">
            <w:pPr>
              <w:spacing w:before="360"/>
              <w:rPr>
                <w:lang w:val="fr-CH"/>
              </w:rPr>
            </w:pPr>
            <w:bookmarkStart w:id="0" w:name="dc06"/>
            <w:bookmarkEnd w:id="0"/>
            <w:r w:rsidRPr="00F15A55">
              <w:rPr>
                <w:b/>
                <w:bCs/>
                <w:sz w:val="30"/>
                <w:szCs w:val="30"/>
                <w:lang w:val="fr-CH"/>
              </w:rPr>
              <w:t>Conseil 201</w:t>
            </w:r>
            <w:r w:rsidR="003C3FAE" w:rsidRPr="00F15A55">
              <w:rPr>
                <w:b/>
                <w:bCs/>
                <w:sz w:val="30"/>
                <w:szCs w:val="30"/>
                <w:lang w:val="fr-CH"/>
              </w:rPr>
              <w:t>8</w:t>
            </w:r>
            <w:r w:rsidRPr="00F15A55">
              <w:rPr>
                <w:rFonts w:ascii="Verdana" w:hAnsi="Verdana"/>
                <w:b/>
                <w:bCs/>
                <w:sz w:val="26"/>
                <w:szCs w:val="26"/>
                <w:lang w:val="fr-CH"/>
              </w:rPr>
              <w:br/>
            </w:r>
            <w:r w:rsidRPr="00F15A55">
              <w:rPr>
                <w:b/>
                <w:bCs/>
                <w:szCs w:val="24"/>
                <w:lang w:val="fr-CH"/>
              </w:rPr>
              <w:t>Genève, 1</w:t>
            </w:r>
            <w:r w:rsidR="003C3FAE" w:rsidRPr="00F15A55">
              <w:rPr>
                <w:b/>
                <w:bCs/>
                <w:szCs w:val="24"/>
                <w:lang w:val="fr-CH"/>
              </w:rPr>
              <w:t>7</w:t>
            </w:r>
            <w:r w:rsidRPr="00F15A55">
              <w:rPr>
                <w:b/>
                <w:bCs/>
                <w:szCs w:val="24"/>
                <w:lang w:val="fr-CH"/>
              </w:rPr>
              <w:t>-2</w:t>
            </w:r>
            <w:r w:rsidR="003C3FAE" w:rsidRPr="00F15A55">
              <w:rPr>
                <w:b/>
                <w:bCs/>
                <w:szCs w:val="24"/>
                <w:lang w:val="fr-CH"/>
              </w:rPr>
              <w:t>7</w:t>
            </w:r>
            <w:r w:rsidRPr="00F15A55">
              <w:rPr>
                <w:b/>
                <w:bCs/>
                <w:szCs w:val="24"/>
                <w:lang w:val="fr-CH"/>
              </w:rPr>
              <w:t xml:space="preserve"> </w:t>
            </w:r>
            <w:r w:rsidR="003C3FAE" w:rsidRPr="00F15A55">
              <w:rPr>
                <w:b/>
                <w:bCs/>
                <w:szCs w:val="24"/>
                <w:lang w:val="fr-CH"/>
              </w:rPr>
              <w:t>avril</w:t>
            </w:r>
            <w:r w:rsidRPr="00F15A55">
              <w:rPr>
                <w:b/>
                <w:bCs/>
                <w:szCs w:val="24"/>
                <w:lang w:val="fr-CH"/>
              </w:rPr>
              <w:t xml:space="preserve"> 201</w:t>
            </w:r>
            <w:r w:rsidR="003C3FAE" w:rsidRPr="00F15A55">
              <w:rPr>
                <w:b/>
                <w:bCs/>
                <w:szCs w:val="24"/>
                <w:lang w:val="fr-CH"/>
              </w:rPr>
              <w:t>8</w:t>
            </w:r>
          </w:p>
        </w:tc>
        <w:tc>
          <w:tcPr>
            <w:tcW w:w="3261" w:type="dxa"/>
          </w:tcPr>
          <w:p w:rsidR="00520F36" w:rsidRPr="00F15A55" w:rsidRDefault="00520F36" w:rsidP="00520F36">
            <w:pPr>
              <w:spacing w:before="0"/>
              <w:jc w:val="right"/>
              <w:rPr>
                <w:lang w:val="fr-CH"/>
              </w:rPr>
            </w:pPr>
            <w:bookmarkStart w:id="1" w:name="ditulogo"/>
            <w:bookmarkEnd w:id="1"/>
            <w:r w:rsidRPr="00F15A55">
              <w:rPr>
                <w:rFonts w:cstheme="minorHAnsi"/>
                <w:b/>
                <w:bCs/>
                <w:noProof/>
                <w:lang w:val="en-US"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F15A55" w:rsidTr="00EF41DD">
        <w:trPr>
          <w:cantSplit/>
          <w:trHeight w:val="20"/>
        </w:trPr>
        <w:tc>
          <w:tcPr>
            <w:tcW w:w="6912" w:type="dxa"/>
            <w:tcBorders>
              <w:bottom w:val="single" w:sz="12" w:space="0" w:color="auto"/>
            </w:tcBorders>
            <w:vAlign w:val="center"/>
          </w:tcPr>
          <w:p w:rsidR="00520F36" w:rsidRPr="00F15A55" w:rsidRDefault="00520F36" w:rsidP="004C37A9">
            <w:pPr>
              <w:spacing w:before="0"/>
              <w:rPr>
                <w:b/>
                <w:bCs/>
                <w:sz w:val="26"/>
                <w:szCs w:val="26"/>
                <w:lang w:val="fr-CH"/>
              </w:rPr>
            </w:pPr>
          </w:p>
        </w:tc>
        <w:tc>
          <w:tcPr>
            <w:tcW w:w="3261" w:type="dxa"/>
            <w:tcBorders>
              <w:bottom w:val="single" w:sz="12" w:space="0" w:color="auto"/>
            </w:tcBorders>
          </w:tcPr>
          <w:p w:rsidR="00520F36" w:rsidRPr="00F15A55" w:rsidRDefault="00520F36" w:rsidP="00DF74DD">
            <w:pPr>
              <w:spacing w:before="0"/>
              <w:rPr>
                <w:b/>
                <w:bCs/>
                <w:lang w:val="fr-CH"/>
              </w:rPr>
            </w:pPr>
          </w:p>
        </w:tc>
      </w:tr>
      <w:tr w:rsidR="00520F36" w:rsidRPr="00F15A55">
        <w:trPr>
          <w:cantSplit/>
          <w:trHeight w:val="20"/>
        </w:trPr>
        <w:tc>
          <w:tcPr>
            <w:tcW w:w="6912" w:type="dxa"/>
            <w:tcBorders>
              <w:top w:val="single" w:sz="12" w:space="0" w:color="auto"/>
            </w:tcBorders>
          </w:tcPr>
          <w:p w:rsidR="00520F36" w:rsidRPr="00F15A55" w:rsidRDefault="00520F36" w:rsidP="00DF74DD">
            <w:pPr>
              <w:spacing w:before="0"/>
              <w:rPr>
                <w:smallCaps/>
                <w:sz w:val="22"/>
                <w:lang w:val="fr-CH"/>
              </w:rPr>
            </w:pPr>
          </w:p>
        </w:tc>
        <w:tc>
          <w:tcPr>
            <w:tcW w:w="3261" w:type="dxa"/>
            <w:tcBorders>
              <w:top w:val="single" w:sz="12" w:space="0" w:color="auto"/>
            </w:tcBorders>
          </w:tcPr>
          <w:p w:rsidR="00520F36" w:rsidRPr="00F15A55" w:rsidRDefault="00520F36" w:rsidP="00DF74DD">
            <w:pPr>
              <w:spacing w:before="0"/>
              <w:rPr>
                <w:b/>
                <w:bCs/>
                <w:lang w:val="fr-CH"/>
              </w:rPr>
            </w:pPr>
          </w:p>
        </w:tc>
      </w:tr>
      <w:tr w:rsidR="00520F36" w:rsidRPr="00F15A55">
        <w:trPr>
          <w:cantSplit/>
          <w:trHeight w:val="20"/>
        </w:trPr>
        <w:tc>
          <w:tcPr>
            <w:tcW w:w="6912" w:type="dxa"/>
            <w:vMerge w:val="restart"/>
          </w:tcPr>
          <w:p w:rsidR="00520F36" w:rsidRPr="00F15A55" w:rsidRDefault="00520F36" w:rsidP="00DF74DD">
            <w:pPr>
              <w:spacing w:before="0"/>
              <w:rPr>
                <w:rFonts w:cs="Times"/>
                <w:b/>
                <w:bCs/>
                <w:szCs w:val="24"/>
                <w:lang w:val="fr-CH"/>
              </w:rPr>
            </w:pPr>
            <w:bookmarkStart w:id="2" w:name="dnum" w:colFirst="1" w:colLast="1"/>
            <w:bookmarkStart w:id="3" w:name="dmeeting" w:colFirst="0" w:colLast="0"/>
          </w:p>
        </w:tc>
        <w:tc>
          <w:tcPr>
            <w:tcW w:w="3261" w:type="dxa"/>
          </w:tcPr>
          <w:p w:rsidR="00520F36" w:rsidRPr="00F15A55" w:rsidRDefault="00520F36" w:rsidP="00480988">
            <w:pPr>
              <w:spacing w:before="0"/>
              <w:rPr>
                <w:b/>
                <w:bCs/>
                <w:lang w:val="fr-CH"/>
              </w:rPr>
            </w:pPr>
            <w:r w:rsidRPr="00F15A55">
              <w:rPr>
                <w:b/>
                <w:bCs/>
                <w:lang w:val="fr-CH"/>
              </w:rPr>
              <w:t>Document C1</w:t>
            </w:r>
            <w:r w:rsidR="003C3FAE" w:rsidRPr="00F15A55">
              <w:rPr>
                <w:b/>
                <w:bCs/>
                <w:lang w:val="fr-CH"/>
              </w:rPr>
              <w:t>8</w:t>
            </w:r>
            <w:r w:rsidRPr="00F15A55">
              <w:rPr>
                <w:b/>
                <w:bCs/>
                <w:lang w:val="fr-CH"/>
              </w:rPr>
              <w:t>/</w:t>
            </w:r>
            <w:r w:rsidR="00480988" w:rsidRPr="00F15A55">
              <w:rPr>
                <w:b/>
                <w:bCs/>
                <w:lang w:val="fr-CH"/>
              </w:rPr>
              <w:t>104</w:t>
            </w:r>
            <w:r w:rsidRPr="00F15A55">
              <w:rPr>
                <w:b/>
                <w:bCs/>
                <w:lang w:val="fr-CH"/>
              </w:rPr>
              <w:t>-F</w:t>
            </w:r>
          </w:p>
        </w:tc>
      </w:tr>
      <w:tr w:rsidR="00520F36" w:rsidRPr="00F15A55">
        <w:trPr>
          <w:cantSplit/>
          <w:trHeight w:val="20"/>
        </w:trPr>
        <w:tc>
          <w:tcPr>
            <w:tcW w:w="6912" w:type="dxa"/>
            <w:vMerge/>
          </w:tcPr>
          <w:p w:rsidR="00520F36" w:rsidRPr="00F15A55" w:rsidRDefault="00520F36" w:rsidP="00DF74DD">
            <w:pPr>
              <w:shd w:val="solid" w:color="FFFFFF" w:fill="FFFFFF"/>
              <w:spacing w:before="180"/>
              <w:rPr>
                <w:smallCaps/>
                <w:lang w:val="fr-CH"/>
              </w:rPr>
            </w:pPr>
            <w:bookmarkStart w:id="4" w:name="ddate" w:colFirst="1" w:colLast="1"/>
            <w:bookmarkEnd w:id="2"/>
            <w:bookmarkEnd w:id="3"/>
          </w:p>
        </w:tc>
        <w:tc>
          <w:tcPr>
            <w:tcW w:w="3261" w:type="dxa"/>
          </w:tcPr>
          <w:p w:rsidR="00520F36" w:rsidRPr="00F15A55" w:rsidRDefault="00480988" w:rsidP="003C3FAE">
            <w:pPr>
              <w:spacing w:before="0"/>
              <w:rPr>
                <w:b/>
                <w:bCs/>
                <w:lang w:val="fr-CH"/>
              </w:rPr>
            </w:pPr>
            <w:r w:rsidRPr="00F15A55">
              <w:rPr>
                <w:b/>
                <w:bCs/>
                <w:lang w:val="fr-CH"/>
              </w:rPr>
              <w:t>8 mai</w:t>
            </w:r>
            <w:r w:rsidR="00520F36" w:rsidRPr="00F15A55">
              <w:rPr>
                <w:b/>
                <w:bCs/>
                <w:lang w:val="fr-CH"/>
              </w:rPr>
              <w:t xml:space="preserve"> 201</w:t>
            </w:r>
            <w:r w:rsidR="003C3FAE" w:rsidRPr="00F15A55">
              <w:rPr>
                <w:b/>
                <w:bCs/>
                <w:lang w:val="fr-CH"/>
              </w:rPr>
              <w:t>8</w:t>
            </w:r>
          </w:p>
        </w:tc>
      </w:tr>
      <w:tr w:rsidR="00520F36" w:rsidRPr="00F15A55">
        <w:trPr>
          <w:cantSplit/>
          <w:trHeight w:val="20"/>
        </w:trPr>
        <w:tc>
          <w:tcPr>
            <w:tcW w:w="6912" w:type="dxa"/>
            <w:vMerge/>
          </w:tcPr>
          <w:p w:rsidR="00520F36" w:rsidRPr="00F15A55" w:rsidRDefault="00520F36" w:rsidP="00DF74DD">
            <w:pPr>
              <w:shd w:val="solid" w:color="FFFFFF" w:fill="FFFFFF"/>
              <w:spacing w:before="180"/>
              <w:rPr>
                <w:smallCaps/>
                <w:lang w:val="fr-CH"/>
              </w:rPr>
            </w:pPr>
            <w:bookmarkStart w:id="5" w:name="dorlang" w:colFirst="1" w:colLast="1"/>
            <w:bookmarkEnd w:id="4"/>
          </w:p>
        </w:tc>
        <w:tc>
          <w:tcPr>
            <w:tcW w:w="3261" w:type="dxa"/>
          </w:tcPr>
          <w:p w:rsidR="00520F36" w:rsidRPr="00F15A55" w:rsidRDefault="00520F36" w:rsidP="00520F36">
            <w:pPr>
              <w:spacing w:before="0"/>
              <w:rPr>
                <w:b/>
                <w:bCs/>
                <w:lang w:val="fr-CH"/>
              </w:rPr>
            </w:pPr>
            <w:r w:rsidRPr="00F15A55">
              <w:rPr>
                <w:b/>
                <w:bCs/>
                <w:lang w:val="fr-CH"/>
              </w:rPr>
              <w:t>Original: anglais</w:t>
            </w:r>
          </w:p>
        </w:tc>
      </w:tr>
      <w:tr w:rsidR="00520F36" w:rsidRPr="00F15A55">
        <w:trPr>
          <w:cantSplit/>
        </w:trPr>
        <w:tc>
          <w:tcPr>
            <w:tcW w:w="10173" w:type="dxa"/>
            <w:gridSpan w:val="2"/>
          </w:tcPr>
          <w:p w:rsidR="00520F36" w:rsidRPr="00F15A55" w:rsidRDefault="00520F36" w:rsidP="00DF74DD">
            <w:pPr>
              <w:pStyle w:val="Source"/>
              <w:rPr>
                <w:lang w:val="fr-CH"/>
              </w:rPr>
            </w:pPr>
            <w:bookmarkStart w:id="6" w:name="dsource" w:colFirst="0" w:colLast="0"/>
            <w:bookmarkEnd w:id="5"/>
          </w:p>
        </w:tc>
      </w:tr>
      <w:tr w:rsidR="00480988" w:rsidRPr="00F15A55">
        <w:trPr>
          <w:cantSplit/>
        </w:trPr>
        <w:tc>
          <w:tcPr>
            <w:tcW w:w="10173" w:type="dxa"/>
            <w:gridSpan w:val="2"/>
          </w:tcPr>
          <w:p w:rsidR="00480988" w:rsidRPr="00F15A55" w:rsidRDefault="00480988" w:rsidP="00480988">
            <w:pPr>
              <w:pStyle w:val="Title1"/>
              <w:rPr>
                <w:lang w:val="fr-CH"/>
              </w:rPr>
            </w:pPr>
            <w:bookmarkStart w:id="7" w:name="dtitle1" w:colFirst="0" w:colLast="0"/>
            <w:bookmarkEnd w:id="6"/>
            <w:r w:rsidRPr="00F15A55">
              <w:rPr>
                <w:lang w:val="fr-CH"/>
              </w:rPr>
              <w:t xml:space="preserve">COMPTE RENDU </w:t>
            </w:r>
          </w:p>
          <w:p w:rsidR="00480988" w:rsidRPr="00F15A55" w:rsidRDefault="007B4CE3" w:rsidP="00480988">
            <w:pPr>
              <w:pStyle w:val="Title1"/>
              <w:rPr>
                <w:lang w:val="fr-CH"/>
              </w:rPr>
            </w:pPr>
            <w:r>
              <w:rPr>
                <w:lang w:val="fr-CH"/>
              </w:rPr>
              <w:t>DE LA</w:t>
            </w:r>
          </w:p>
          <w:p w:rsidR="00480988" w:rsidRPr="00F15A55" w:rsidRDefault="00480988" w:rsidP="00480988">
            <w:pPr>
              <w:pStyle w:val="Title1"/>
              <w:rPr>
                <w:lang w:val="fr-CH"/>
              </w:rPr>
            </w:pPr>
            <w:r w:rsidRPr="00F15A55">
              <w:rPr>
                <w:lang w:val="fr-CH"/>
              </w:rPr>
              <w:t>PREMIèRE SéANCE PLéNIèRE</w:t>
            </w:r>
          </w:p>
        </w:tc>
      </w:tr>
      <w:tr w:rsidR="00480988" w:rsidRPr="00F15A55">
        <w:trPr>
          <w:cantSplit/>
        </w:trPr>
        <w:tc>
          <w:tcPr>
            <w:tcW w:w="10173" w:type="dxa"/>
            <w:gridSpan w:val="2"/>
          </w:tcPr>
          <w:p w:rsidR="00480988" w:rsidRPr="00F15A55" w:rsidRDefault="00480988" w:rsidP="00480988">
            <w:pPr>
              <w:pStyle w:val="Title1"/>
              <w:rPr>
                <w:caps w:val="0"/>
                <w:sz w:val="24"/>
                <w:szCs w:val="24"/>
                <w:lang w:val="fr-CH"/>
              </w:rPr>
            </w:pPr>
            <w:r w:rsidRPr="00F15A55">
              <w:rPr>
                <w:caps w:val="0"/>
                <w:sz w:val="24"/>
                <w:szCs w:val="24"/>
                <w:lang w:val="fr-CH"/>
              </w:rPr>
              <w:t>Mardi 17 avril 2018, de 14 h 30 à 16 h 30</w:t>
            </w:r>
          </w:p>
        </w:tc>
      </w:tr>
      <w:tr w:rsidR="00480988" w:rsidRPr="00F15A55">
        <w:trPr>
          <w:cantSplit/>
        </w:trPr>
        <w:tc>
          <w:tcPr>
            <w:tcW w:w="10173" w:type="dxa"/>
            <w:gridSpan w:val="2"/>
          </w:tcPr>
          <w:p w:rsidR="00480988" w:rsidRPr="00F15A55" w:rsidRDefault="00F15A55" w:rsidP="00480988">
            <w:pPr>
              <w:pStyle w:val="Title1"/>
              <w:rPr>
                <w:caps w:val="0"/>
                <w:sz w:val="24"/>
                <w:szCs w:val="24"/>
                <w:lang w:val="fr-CH"/>
              </w:rPr>
            </w:pPr>
            <w:r>
              <w:rPr>
                <w:b/>
                <w:bCs/>
                <w:caps w:val="0"/>
                <w:sz w:val="24"/>
                <w:szCs w:val="24"/>
                <w:lang w:val="fr-CH"/>
              </w:rPr>
              <w:t>Président</w:t>
            </w:r>
            <w:r w:rsidR="00480988" w:rsidRPr="00F15A55">
              <w:rPr>
                <w:b/>
                <w:bCs/>
                <w:caps w:val="0"/>
                <w:sz w:val="24"/>
                <w:szCs w:val="24"/>
                <w:lang w:val="fr-CH"/>
              </w:rPr>
              <w:t>:</w:t>
            </w:r>
            <w:r w:rsidR="00480988" w:rsidRPr="00F15A55">
              <w:rPr>
                <w:caps w:val="0"/>
                <w:sz w:val="24"/>
                <w:szCs w:val="24"/>
                <w:lang w:val="fr-CH"/>
              </w:rPr>
              <w:t xml:space="preserve"> M. R. ISMAILOV (Fédération de Russie)</w:t>
            </w:r>
          </w:p>
        </w:tc>
      </w:tr>
      <w:bookmarkEnd w:id="7"/>
    </w:tbl>
    <w:p w:rsidR="00571EEA" w:rsidRPr="00F15A55" w:rsidRDefault="00571EEA" w:rsidP="00480988">
      <w:pPr>
        <w:rPr>
          <w:lang w:val="fr-CH"/>
        </w:rPr>
      </w:pPr>
    </w:p>
    <w:tbl>
      <w:tblPr>
        <w:tblW w:w="5221" w:type="pct"/>
        <w:tblLook w:val="0000" w:firstRow="0" w:lastRow="0" w:firstColumn="0" w:lastColumn="0" w:noHBand="0" w:noVBand="0"/>
      </w:tblPr>
      <w:tblGrid>
        <w:gridCol w:w="505"/>
        <w:gridCol w:w="7575"/>
        <w:gridCol w:w="1985"/>
      </w:tblGrid>
      <w:tr w:rsidR="00480988" w:rsidRPr="00F15A55" w:rsidTr="006555C2">
        <w:tc>
          <w:tcPr>
            <w:tcW w:w="251" w:type="pct"/>
          </w:tcPr>
          <w:p w:rsidR="00480988" w:rsidRPr="00F15A55" w:rsidRDefault="00480988" w:rsidP="006555C2">
            <w:pPr>
              <w:pStyle w:val="toc0"/>
              <w:snapToGrid w:val="0"/>
              <w:spacing w:after="120"/>
              <w:rPr>
                <w:lang w:val="fr-CH"/>
              </w:rPr>
            </w:pPr>
            <w:r w:rsidRPr="00F15A55">
              <w:rPr>
                <w:b w:val="0"/>
                <w:lang w:val="fr-CH"/>
              </w:rPr>
              <w:br w:type="page"/>
            </w:r>
            <w:r w:rsidRPr="00F15A55">
              <w:rPr>
                <w:b w:val="0"/>
                <w:lang w:val="fr-CH"/>
              </w:rPr>
              <w:br w:type="page"/>
            </w:r>
          </w:p>
        </w:tc>
        <w:tc>
          <w:tcPr>
            <w:tcW w:w="3763" w:type="pct"/>
          </w:tcPr>
          <w:p w:rsidR="00480988" w:rsidRPr="00F15A55" w:rsidRDefault="00480988" w:rsidP="006555C2">
            <w:pPr>
              <w:pStyle w:val="toc0"/>
              <w:snapToGrid w:val="0"/>
              <w:spacing w:after="120"/>
              <w:rPr>
                <w:lang w:val="fr-CH"/>
              </w:rPr>
            </w:pPr>
            <w:r w:rsidRPr="00F15A55">
              <w:rPr>
                <w:lang w:val="fr-CH"/>
              </w:rPr>
              <w:t>Sujets traités</w:t>
            </w:r>
          </w:p>
        </w:tc>
        <w:tc>
          <w:tcPr>
            <w:tcW w:w="986" w:type="pct"/>
          </w:tcPr>
          <w:p w:rsidR="00480988" w:rsidRPr="00F15A55" w:rsidRDefault="00480988" w:rsidP="006555C2">
            <w:pPr>
              <w:pStyle w:val="toc0"/>
              <w:snapToGrid w:val="0"/>
              <w:spacing w:after="120"/>
              <w:jc w:val="center"/>
              <w:rPr>
                <w:lang w:val="fr-CH"/>
              </w:rPr>
            </w:pPr>
            <w:r w:rsidRPr="00F15A55">
              <w:rPr>
                <w:lang w:val="fr-CH"/>
              </w:rPr>
              <w:t>Documents</w:t>
            </w:r>
          </w:p>
        </w:tc>
      </w:tr>
      <w:tr w:rsidR="00480988" w:rsidRPr="00F15A55" w:rsidTr="006555C2">
        <w:tc>
          <w:tcPr>
            <w:tcW w:w="251" w:type="pct"/>
          </w:tcPr>
          <w:p w:rsidR="00480988" w:rsidRPr="00F15A55" w:rsidRDefault="00480988" w:rsidP="006555C2">
            <w:pPr>
              <w:snapToGrid w:val="0"/>
              <w:spacing w:before="160" w:after="160"/>
              <w:rPr>
                <w:lang w:val="fr-CH"/>
              </w:rPr>
            </w:pPr>
            <w:r w:rsidRPr="00F15A55">
              <w:rPr>
                <w:lang w:val="fr-CH"/>
              </w:rPr>
              <w:t>1</w:t>
            </w:r>
          </w:p>
        </w:tc>
        <w:tc>
          <w:tcPr>
            <w:tcW w:w="3763" w:type="pct"/>
          </w:tcPr>
          <w:p w:rsidR="00480988" w:rsidRPr="00F15A55" w:rsidRDefault="00480988" w:rsidP="006555C2">
            <w:pPr>
              <w:snapToGrid w:val="0"/>
              <w:spacing w:before="160" w:after="160"/>
              <w:rPr>
                <w:lang w:val="fr-CH"/>
              </w:rPr>
            </w:pPr>
            <w:r w:rsidRPr="00F15A55">
              <w:rPr>
                <w:lang w:val="fr-CH"/>
              </w:rPr>
              <w:t>Rapport sur les manifestations ITU T</w:t>
            </w:r>
            <w:r w:rsidR="006112A2" w:rsidRPr="00F15A55">
              <w:rPr>
                <w:lang w:val="fr-CH"/>
              </w:rPr>
              <w:t>elecom</w:t>
            </w:r>
            <w:r w:rsidRPr="00F15A55">
              <w:rPr>
                <w:lang w:val="fr-CH"/>
              </w:rPr>
              <w:t xml:space="preserve"> World </w:t>
            </w:r>
          </w:p>
        </w:tc>
        <w:tc>
          <w:tcPr>
            <w:tcW w:w="986" w:type="pct"/>
          </w:tcPr>
          <w:p w:rsidR="00480988" w:rsidRPr="00F15A55" w:rsidRDefault="004A0E8C" w:rsidP="006555C2">
            <w:pPr>
              <w:snapToGrid w:val="0"/>
              <w:spacing w:before="160" w:after="160"/>
              <w:jc w:val="center"/>
              <w:rPr>
                <w:lang w:val="fr-CH"/>
              </w:rPr>
            </w:pPr>
            <w:hyperlink r:id="rId7" w:history="1">
              <w:r w:rsidR="00480988" w:rsidRPr="00F15A55">
                <w:rPr>
                  <w:rStyle w:val="Hyperlink"/>
                  <w:lang w:val="fr-CH"/>
                </w:rPr>
                <w:t>C18/19(Rév.1)</w:t>
              </w:r>
            </w:hyperlink>
          </w:p>
        </w:tc>
      </w:tr>
      <w:tr w:rsidR="00480988" w:rsidRPr="00F15A55" w:rsidTr="006555C2">
        <w:tc>
          <w:tcPr>
            <w:tcW w:w="251" w:type="pct"/>
          </w:tcPr>
          <w:p w:rsidR="00480988" w:rsidRPr="00F15A55" w:rsidRDefault="00480988" w:rsidP="006555C2">
            <w:pPr>
              <w:snapToGrid w:val="0"/>
              <w:spacing w:before="160" w:after="160"/>
              <w:rPr>
                <w:lang w:val="fr-CH"/>
              </w:rPr>
            </w:pPr>
            <w:r w:rsidRPr="00F15A55">
              <w:rPr>
                <w:lang w:val="fr-CH"/>
              </w:rPr>
              <w:t>2</w:t>
            </w:r>
          </w:p>
        </w:tc>
        <w:tc>
          <w:tcPr>
            <w:tcW w:w="3763" w:type="pct"/>
          </w:tcPr>
          <w:p w:rsidR="00480988" w:rsidRPr="00F15A55" w:rsidRDefault="00480988" w:rsidP="006555C2">
            <w:pPr>
              <w:snapToGrid w:val="0"/>
              <w:spacing w:before="160" w:after="160"/>
              <w:rPr>
                <w:bCs/>
                <w:lang w:val="fr-CH"/>
              </w:rPr>
            </w:pPr>
            <w:r w:rsidRPr="00F15A55">
              <w:rPr>
                <w:bCs/>
                <w:lang w:val="fr-CH"/>
              </w:rPr>
              <w:t xml:space="preserve">Rapports du Président du Groupe de travail du Conseil sur l'utilisation des </w:t>
            </w:r>
            <w:r w:rsidR="005A2135" w:rsidRPr="00F15A55">
              <w:rPr>
                <w:bCs/>
                <w:lang w:val="fr-CH"/>
              </w:rPr>
              <w:t xml:space="preserve">six </w:t>
            </w:r>
            <w:r w:rsidRPr="00F15A55">
              <w:rPr>
                <w:bCs/>
                <w:lang w:val="fr-CH"/>
              </w:rPr>
              <w:t>langues</w:t>
            </w:r>
            <w:r w:rsidR="005A2135" w:rsidRPr="00F15A55">
              <w:rPr>
                <w:bCs/>
                <w:lang w:val="fr-CH"/>
              </w:rPr>
              <w:t xml:space="preserve"> officielles de l'Union</w:t>
            </w:r>
            <w:r w:rsidRPr="00F15A55">
              <w:rPr>
                <w:bCs/>
                <w:lang w:val="fr-CH"/>
              </w:rPr>
              <w:t xml:space="preserve"> (GTC-LANG): Rapport du Groupe de travail du Conseil (Document C18/12) et rapport sur la mise en oeuvre de la Résolution 154 (Rév. Busan, 2014) de la Conférence de plénipotentiaires sur l'utilisation des six langues officielles de l'Union sur un pied d'égalité </w:t>
            </w:r>
          </w:p>
        </w:tc>
        <w:tc>
          <w:tcPr>
            <w:tcW w:w="986" w:type="pct"/>
          </w:tcPr>
          <w:p w:rsidR="00480988" w:rsidRPr="00F15A55" w:rsidRDefault="004A0E8C" w:rsidP="006555C2">
            <w:pPr>
              <w:snapToGrid w:val="0"/>
              <w:spacing w:before="160" w:after="160"/>
              <w:jc w:val="center"/>
              <w:rPr>
                <w:lang w:val="fr-CH"/>
              </w:rPr>
            </w:pPr>
            <w:hyperlink r:id="rId8" w:history="1">
              <w:r w:rsidR="00480988" w:rsidRPr="00F15A55">
                <w:rPr>
                  <w:rStyle w:val="Hyperlink"/>
                  <w:lang w:val="fr-CH"/>
                </w:rPr>
                <w:t>C18/12</w:t>
              </w:r>
            </w:hyperlink>
            <w:r w:rsidR="00480988" w:rsidRPr="00F15A55">
              <w:rPr>
                <w:lang w:val="fr-CH"/>
              </w:rPr>
              <w:t xml:space="preserve">, </w:t>
            </w:r>
            <w:hyperlink r:id="rId9" w:history="1">
              <w:r w:rsidR="00480988" w:rsidRPr="00F15A55">
                <w:rPr>
                  <w:rStyle w:val="Hyperlink"/>
                  <w:lang w:val="fr-CH"/>
                </w:rPr>
                <w:t>C18/14</w:t>
              </w:r>
            </w:hyperlink>
          </w:p>
        </w:tc>
      </w:tr>
      <w:tr w:rsidR="00480988" w:rsidRPr="00F15A55" w:rsidTr="006555C2">
        <w:tc>
          <w:tcPr>
            <w:tcW w:w="251" w:type="pct"/>
          </w:tcPr>
          <w:p w:rsidR="00480988" w:rsidRPr="00F15A55" w:rsidRDefault="00480988" w:rsidP="006555C2">
            <w:pPr>
              <w:snapToGrid w:val="0"/>
              <w:spacing w:before="160" w:after="160"/>
              <w:rPr>
                <w:lang w:val="fr-CH"/>
              </w:rPr>
            </w:pPr>
            <w:r w:rsidRPr="00F15A55">
              <w:rPr>
                <w:lang w:val="fr-CH"/>
              </w:rPr>
              <w:t>3</w:t>
            </w:r>
          </w:p>
        </w:tc>
        <w:tc>
          <w:tcPr>
            <w:tcW w:w="3763" w:type="pct"/>
          </w:tcPr>
          <w:p w:rsidR="00480988" w:rsidRPr="00F15A55" w:rsidRDefault="00480988" w:rsidP="006555C2">
            <w:pPr>
              <w:snapToGrid w:val="0"/>
              <w:spacing w:before="160" w:after="160"/>
              <w:rPr>
                <w:lang w:val="fr-CH"/>
              </w:rPr>
            </w:pPr>
            <w:r w:rsidRPr="00F15A55">
              <w:rPr>
                <w:lang w:val="fr-CH"/>
              </w:rPr>
              <w:t>Projets de plans opérationnels quadriennaux pour 2019-2022</w:t>
            </w:r>
          </w:p>
        </w:tc>
        <w:tc>
          <w:tcPr>
            <w:tcW w:w="986" w:type="pct"/>
          </w:tcPr>
          <w:p w:rsidR="00480988" w:rsidRPr="00F15A55" w:rsidRDefault="004A0E8C" w:rsidP="006555C2">
            <w:pPr>
              <w:snapToGrid w:val="0"/>
              <w:spacing w:before="160" w:after="160"/>
              <w:jc w:val="center"/>
              <w:rPr>
                <w:lang w:val="fr-CH"/>
              </w:rPr>
            </w:pPr>
            <w:hyperlink r:id="rId10" w:history="1">
              <w:r w:rsidR="00480988" w:rsidRPr="00F15A55">
                <w:rPr>
                  <w:rStyle w:val="Hyperlink"/>
                  <w:lang w:val="fr-CH"/>
                </w:rPr>
                <w:t>C18/28(Rév.1)</w:t>
              </w:r>
            </w:hyperlink>
            <w:r w:rsidR="00480988" w:rsidRPr="00F15A55">
              <w:rPr>
                <w:lang w:val="fr-CH"/>
              </w:rPr>
              <w:t xml:space="preserve">, </w:t>
            </w:r>
            <w:hyperlink r:id="rId11" w:history="1">
              <w:r w:rsidR="00480988" w:rsidRPr="00F15A55">
                <w:rPr>
                  <w:rStyle w:val="Hyperlink"/>
                  <w:lang w:val="fr-CH"/>
                </w:rPr>
                <w:t>C18/29</w:t>
              </w:r>
            </w:hyperlink>
            <w:r w:rsidR="00480988" w:rsidRPr="00F15A55">
              <w:rPr>
                <w:lang w:val="fr-CH"/>
              </w:rPr>
              <w:t xml:space="preserve">, </w:t>
            </w:r>
            <w:hyperlink r:id="rId12" w:history="1">
              <w:r w:rsidR="00480988" w:rsidRPr="00F15A55">
                <w:rPr>
                  <w:rStyle w:val="Hyperlink"/>
                  <w:lang w:val="fr-CH"/>
                </w:rPr>
                <w:t>C18/30</w:t>
              </w:r>
            </w:hyperlink>
            <w:r w:rsidR="00480988" w:rsidRPr="00F15A55">
              <w:rPr>
                <w:lang w:val="fr-CH"/>
              </w:rPr>
              <w:t xml:space="preserve">, </w:t>
            </w:r>
            <w:hyperlink r:id="rId13" w:history="1">
              <w:r w:rsidR="00480988" w:rsidRPr="00F15A55">
                <w:rPr>
                  <w:rStyle w:val="Hyperlink"/>
                  <w:lang w:val="fr-CH"/>
                </w:rPr>
                <w:t>C18/31</w:t>
              </w:r>
            </w:hyperlink>
            <w:r w:rsidR="00480988" w:rsidRPr="00F15A55">
              <w:rPr>
                <w:lang w:val="fr-CH"/>
              </w:rPr>
              <w:t xml:space="preserve">, </w:t>
            </w:r>
            <w:hyperlink r:id="rId14" w:history="1">
              <w:r w:rsidR="00480988" w:rsidRPr="00F15A55">
                <w:rPr>
                  <w:rStyle w:val="Hyperlink"/>
                  <w:lang w:val="fr-CH"/>
                </w:rPr>
                <w:t>C18/32</w:t>
              </w:r>
            </w:hyperlink>
          </w:p>
        </w:tc>
      </w:tr>
      <w:tr w:rsidR="00480988" w:rsidRPr="00F15A55" w:rsidTr="006555C2">
        <w:tc>
          <w:tcPr>
            <w:tcW w:w="251" w:type="pct"/>
          </w:tcPr>
          <w:p w:rsidR="00480988" w:rsidRPr="00F15A55" w:rsidRDefault="00480988" w:rsidP="006555C2">
            <w:pPr>
              <w:snapToGrid w:val="0"/>
              <w:spacing w:before="160" w:after="160"/>
              <w:rPr>
                <w:lang w:val="fr-CH"/>
              </w:rPr>
            </w:pPr>
            <w:r w:rsidRPr="00F15A55">
              <w:rPr>
                <w:lang w:val="fr-CH"/>
              </w:rPr>
              <w:t>4</w:t>
            </w:r>
          </w:p>
        </w:tc>
        <w:tc>
          <w:tcPr>
            <w:tcW w:w="3763" w:type="pct"/>
          </w:tcPr>
          <w:p w:rsidR="00480988" w:rsidRPr="00F15A55" w:rsidRDefault="00480988" w:rsidP="006555C2">
            <w:pPr>
              <w:snapToGrid w:val="0"/>
              <w:spacing w:before="160" w:after="160"/>
              <w:rPr>
                <w:lang w:val="fr-CH"/>
              </w:rPr>
            </w:pPr>
            <w:r w:rsidRPr="00F15A55">
              <w:rPr>
                <w:bCs/>
                <w:lang w:val="fr-CH"/>
              </w:rPr>
              <w:t>Journée mondiale des télécommunications et de la société de l'information</w:t>
            </w:r>
          </w:p>
        </w:tc>
        <w:tc>
          <w:tcPr>
            <w:tcW w:w="986" w:type="pct"/>
          </w:tcPr>
          <w:p w:rsidR="00480988" w:rsidRPr="00F15A55" w:rsidRDefault="004A0E8C" w:rsidP="006555C2">
            <w:pPr>
              <w:snapToGrid w:val="0"/>
              <w:spacing w:before="160" w:after="160"/>
              <w:jc w:val="center"/>
              <w:rPr>
                <w:lang w:val="fr-CH"/>
              </w:rPr>
            </w:pPr>
            <w:hyperlink r:id="rId15" w:history="1">
              <w:r w:rsidR="00480988" w:rsidRPr="00F15A55">
                <w:rPr>
                  <w:rStyle w:val="Hyperlink"/>
                  <w:lang w:val="fr-CH"/>
                </w:rPr>
                <w:t>C18/17</w:t>
              </w:r>
            </w:hyperlink>
          </w:p>
        </w:tc>
      </w:tr>
      <w:tr w:rsidR="00480988" w:rsidRPr="00F15A55" w:rsidTr="006555C2">
        <w:tc>
          <w:tcPr>
            <w:tcW w:w="251" w:type="pct"/>
          </w:tcPr>
          <w:p w:rsidR="00480988" w:rsidRPr="00F15A55" w:rsidRDefault="00480988" w:rsidP="006555C2">
            <w:pPr>
              <w:snapToGrid w:val="0"/>
              <w:spacing w:before="160" w:after="160"/>
              <w:rPr>
                <w:lang w:val="fr-CH"/>
              </w:rPr>
            </w:pPr>
            <w:r w:rsidRPr="00F15A55">
              <w:rPr>
                <w:lang w:val="fr-CH"/>
              </w:rPr>
              <w:t>5</w:t>
            </w:r>
          </w:p>
        </w:tc>
        <w:tc>
          <w:tcPr>
            <w:tcW w:w="3763" w:type="pct"/>
          </w:tcPr>
          <w:p w:rsidR="00480988" w:rsidRPr="00F15A55" w:rsidRDefault="00480988" w:rsidP="006555C2">
            <w:pPr>
              <w:snapToGrid w:val="0"/>
              <w:spacing w:before="160" w:after="160"/>
              <w:rPr>
                <w:lang w:val="fr-CH"/>
              </w:rPr>
            </w:pPr>
            <w:r w:rsidRPr="00F15A55">
              <w:rPr>
                <w:lang w:val="fr-CH"/>
              </w:rPr>
              <w:t>Vente des publications de l'UIT et accès en ligne gratuit à ces publications</w:t>
            </w:r>
          </w:p>
        </w:tc>
        <w:tc>
          <w:tcPr>
            <w:tcW w:w="986" w:type="pct"/>
          </w:tcPr>
          <w:p w:rsidR="00480988" w:rsidRPr="00F15A55" w:rsidRDefault="004A0E8C" w:rsidP="006555C2">
            <w:pPr>
              <w:snapToGrid w:val="0"/>
              <w:spacing w:before="160" w:after="160"/>
              <w:jc w:val="center"/>
              <w:rPr>
                <w:lang w:val="fr-CH"/>
              </w:rPr>
            </w:pPr>
            <w:hyperlink r:id="rId16" w:history="1">
              <w:r w:rsidR="00480988" w:rsidRPr="00F15A55">
                <w:rPr>
                  <w:rStyle w:val="Hyperlink"/>
                  <w:lang w:val="fr-CH"/>
                </w:rPr>
                <w:t>C18/21</w:t>
              </w:r>
            </w:hyperlink>
          </w:p>
        </w:tc>
      </w:tr>
    </w:tbl>
    <w:p w:rsidR="00480988" w:rsidRPr="00F15A55" w:rsidRDefault="00480988" w:rsidP="00480988">
      <w:pPr>
        <w:rPr>
          <w:lang w:val="fr-CH"/>
        </w:rPr>
      </w:pPr>
    </w:p>
    <w:p w:rsidR="00480988" w:rsidRPr="00F15A55" w:rsidRDefault="00480988">
      <w:pPr>
        <w:tabs>
          <w:tab w:val="clear" w:pos="567"/>
          <w:tab w:val="clear" w:pos="1134"/>
          <w:tab w:val="clear" w:pos="1701"/>
          <w:tab w:val="clear" w:pos="2268"/>
          <w:tab w:val="clear" w:pos="2835"/>
        </w:tabs>
        <w:overflowPunct/>
        <w:autoSpaceDE/>
        <w:autoSpaceDN/>
        <w:adjustRightInd/>
        <w:spacing w:before="0"/>
        <w:textAlignment w:val="auto"/>
        <w:rPr>
          <w:lang w:val="fr-CH"/>
        </w:rPr>
      </w:pPr>
      <w:r w:rsidRPr="00F15A55">
        <w:rPr>
          <w:lang w:val="fr-CH"/>
        </w:rPr>
        <w:br w:type="page"/>
      </w:r>
      <w:bookmarkStart w:id="8" w:name="_GoBack"/>
      <w:bookmarkEnd w:id="8"/>
    </w:p>
    <w:p w:rsidR="002373F3" w:rsidRPr="00F15A55" w:rsidRDefault="002373F3" w:rsidP="006112A2">
      <w:pPr>
        <w:pStyle w:val="Heading1"/>
        <w:rPr>
          <w:lang w:val="fr-CH"/>
        </w:rPr>
      </w:pPr>
      <w:r w:rsidRPr="00F15A55">
        <w:rPr>
          <w:lang w:val="fr-CH"/>
        </w:rPr>
        <w:lastRenderedPageBreak/>
        <w:t>1</w:t>
      </w:r>
      <w:r w:rsidRPr="00F15A55">
        <w:rPr>
          <w:lang w:val="fr-CH"/>
        </w:rPr>
        <w:tab/>
        <w:t xml:space="preserve">Rapport sur les manifestations </w:t>
      </w:r>
      <w:r w:rsidR="006112A2" w:rsidRPr="00F15A55">
        <w:rPr>
          <w:lang w:val="fr-CH"/>
        </w:rPr>
        <w:t>ITU Telecom World</w:t>
      </w:r>
      <w:r w:rsidRPr="00F15A55">
        <w:rPr>
          <w:lang w:val="fr-CH"/>
        </w:rPr>
        <w:t xml:space="preserve"> (Document</w:t>
      </w:r>
      <w:r w:rsidR="005A2135" w:rsidRPr="00F15A55">
        <w:rPr>
          <w:lang w:val="fr-CH"/>
        </w:rPr>
        <w:t> </w:t>
      </w:r>
      <w:hyperlink r:id="rId17" w:history="1">
        <w:r w:rsidRPr="00F15A55">
          <w:rPr>
            <w:rStyle w:val="Hyperlink"/>
            <w:lang w:val="fr-CH"/>
          </w:rPr>
          <w:t>C18/19</w:t>
        </w:r>
        <w:r w:rsidR="005A2135" w:rsidRPr="00F15A55">
          <w:rPr>
            <w:rStyle w:val="Hyperlink"/>
            <w:lang w:val="fr-CH"/>
          </w:rPr>
          <w:t> </w:t>
        </w:r>
        <w:r w:rsidRPr="00F15A55">
          <w:rPr>
            <w:rStyle w:val="Hyperlink"/>
            <w:lang w:val="fr-CH"/>
          </w:rPr>
          <w:t>(Rév.1)</w:t>
        </w:r>
      </w:hyperlink>
      <w:r w:rsidRPr="00F15A55">
        <w:rPr>
          <w:lang w:val="fr-CH"/>
        </w:rPr>
        <w:t>)</w:t>
      </w:r>
    </w:p>
    <w:p w:rsidR="002373F3" w:rsidRPr="00F15A55" w:rsidRDefault="002373F3" w:rsidP="006112A2">
      <w:pPr>
        <w:rPr>
          <w:lang w:val="fr-CH"/>
        </w:rPr>
      </w:pPr>
      <w:r w:rsidRPr="00F15A55">
        <w:rPr>
          <w:lang w:val="fr-CH"/>
        </w:rPr>
        <w:t>1.1</w:t>
      </w:r>
      <w:r w:rsidRPr="00F15A55">
        <w:rPr>
          <w:lang w:val="fr-CH"/>
        </w:rPr>
        <w:tab/>
        <w:t>Le Directeur exécutif d'ITU T</w:t>
      </w:r>
      <w:r w:rsidR="00FB464F" w:rsidRPr="00F15A55">
        <w:rPr>
          <w:lang w:val="fr-CH"/>
        </w:rPr>
        <w:t>elecom</w:t>
      </w:r>
      <w:r w:rsidRPr="00F15A55">
        <w:rPr>
          <w:lang w:val="fr-CH"/>
        </w:rPr>
        <w:t xml:space="preserve"> présente le Document C18/19(Rév.1), attirant en particulier l'attention sur </w:t>
      </w:r>
      <w:r w:rsidR="000061EE" w:rsidRPr="00F15A55">
        <w:rPr>
          <w:lang w:val="fr-CH"/>
        </w:rPr>
        <w:t>les propositions figurant dans l</w:t>
      </w:r>
      <w:r w:rsidRPr="00F15A55">
        <w:rPr>
          <w:lang w:val="fr-CH"/>
        </w:rPr>
        <w:t>a partie 7</w:t>
      </w:r>
      <w:r w:rsidR="000061EE" w:rsidRPr="00F15A55">
        <w:rPr>
          <w:lang w:val="fr-CH"/>
        </w:rPr>
        <w:t xml:space="preserve"> de ce document</w:t>
      </w:r>
      <w:r w:rsidRPr="00F15A55">
        <w:rPr>
          <w:lang w:val="fr-CH"/>
        </w:rPr>
        <w:t>, et remercie les diverses entités et personnes qui ont contribué à faire d'</w:t>
      </w:r>
      <w:r w:rsidR="006112A2" w:rsidRPr="00F15A55">
        <w:rPr>
          <w:lang w:val="fr-CH"/>
        </w:rPr>
        <w:t xml:space="preserve">ITU Telecom World </w:t>
      </w:r>
      <w:r w:rsidRPr="00F15A55">
        <w:rPr>
          <w:lang w:val="fr-CH"/>
        </w:rPr>
        <w:t xml:space="preserve">2017 un succès. </w:t>
      </w:r>
    </w:p>
    <w:p w:rsidR="002373F3" w:rsidRPr="00F15A55" w:rsidRDefault="002373F3" w:rsidP="006112A2">
      <w:pPr>
        <w:rPr>
          <w:lang w:val="fr-CH"/>
        </w:rPr>
      </w:pPr>
      <w:r w:rsidRPr="00F15A55">
        <w:rPr>
          <w:lang w:val="fr-CH"/>
        </w:rPr>
        <w:t>1.2</w:t>
      </w:r>
      <w:r w:rsidRPr="00F15A55">
        <w:rPr>
          <w:lang w:val="fr-CH"/>
        </w:rPr>
        <w:tab/>
        <w:t>En ce qui concerne les propositions figurant dans la partie 7 du document, dont l'objet</w:t>
      </w:r>
      <w:r w:rsidR="000061EE" w:rsidRPr="00F15A55">
        <w:rPr>
          <w:lang w:val="fr-CH"/>
        </w:rPr>
        <w:t xml:space="preserve"> est d'aboutir,</w:t>
      </w:r>
      <w:r w:rsidRPr="00F15A55">
        <w:rPr>
          <w:lang w:val="fr-CH"/>
        </w:rPr>
        <w:t xml:space="preserve"> à terme</w:t>
      </w:r>
      <w:r w:rsidR="000061EE" w:rsidRPr="00F15A55">
        <w:rPr>
          <w:lang w:val="fr-CH"/>
        </w:rPr>
        <w:t>,</w:t>
      </w:r>
      <w:r w:rsidRPr="00F15A55">
        <w:rPr>
          <w:lang w:val="fr-CH"/>
        </w:rPr>
        <w:t xml:space="preserve"> </w:t>
      </w:r>
      <w:r w:rsidR="000061EE" w:rsidRPr="00F15A55">
        <w:rPr>
          <w:lang w:val="fr-CH"/>
        </w:rPr>
        <w:t xml:space="preserve">à </w:t>
      </w:r>
      <w:r w:rsidRPr="00F15A55">
        <w:rPr>
          <w:lang w:val="fr-CH"/>
        </w:rPr>
        <w:t xml:space="preserve">la révision de la Résolution 11 (Rév. Busan, 2014) de la Conférence de plénipotentiaires, plusieurs conseillers insistent sur le fait que seule la Conférence de plénipotentiaires peut entreprendre la révision de cette Résolution. Les efforts déployés par le secrétariat afin de renforcer la participation des PME aux manifestations ITU Telecom World bénéficient d'un large soutien. Il </w:t>
      </w:r>
      <w:r w:rsidR="000061EE" w:rsidRPr="00F15A55">
        <w:rPr>
          <w:lang w:val="fr-CH"/>
        </w:rPr>
        <w:t>est</w:t>
      </w:r>
      <w:r w:rsidRPr="00F15A55">
        <w:rPr>
          <w:lang w:val="fr-CH"/>
        </w:rPr>
        <w:t xml:space="preserve"> proposé que les </w:t>
      </w:r>
      <w:r w:rsidR="005A2135" w:rsidRPr="00F15A55">
        <w:rPr>
          <w:lang w:val="fr-CH"/>
        </w:rPr>
        <w:t>E</w:t>
      </w:r>
      <w:r w:rsidRPr="00F15A55">
        <w:rPr>
          <w:lang w:val="fr-CH"/>
        </w:rPr>
        <w:t>tats Membres aident les PME à assister à ces manifestations. Pour plusieurs conseillers, il convient de se pencher sur la question des solutions permettant d'attirer de</w:t>
      </w:r>
      <w:r w:rsidR="008835E2" w:rsidRPr="00F15A55">
        <w:rPr>
          <w:lang w:val="fr-CH"/>
        </w:rPr>
        <w:t xml:space="preserve"> grande</w:t>
      </w:r>
      <w:r w:rsidRPr="00F15A55">
        <w:rPr>
          <w:lang w:val="fr-CH"/>
        </w:rPr>
        <w:t>s entreprises. Afin d'accroître le succès de la manifestation, il convient de revoir le fo</w:t>
      </w:r>
      <w:r w:rsidR="008835E2" w:rsidRPr="00F15A55">
        <w:rPr>
          <w:lang w:val="fr-CH"/>
        </w:rPr>
        <w:t>rmat de la manifestation pour la rendre plus attractive</w:t>
      </w:r>
      <w:r w:rsidRPr="00F15A55">
        <w:rPr>
          <w:lang w:val="fr-CH"/>
        </w:rPr>
        <w:t xml:space="preserve"> pour le secteur privé et l'industrie. La modification du nom de la manifestation, proposition très bien accueillie, devra faire l'objet d'une réflexion approfondie. Le recensement des possibilités d'organiser d'autres activités, réunions, et manifestations de l'UIT dans le cadre d'ITU Telecom </w:t>
      </w:r>
      <w:r w:rsidR="008835E2" w:rsidRPr="00F15A55">
        <w:rPr>
          <w:lang w:val="fr-CH"/>
        </w:rPr>
        <w:t>recueille</w:t>
      </w:r>
      <w:r w:rsidRPr="00F15A55">
        <w:rPr>
          <w:lang w:val="fr-CH"/>
        </w:rPr>
        <w:t xml:space="preserve"> un certain soutien. S'agissant de la proposition que le Comité ITU Telecom cesse de jouer le rôle consultatif qui lui a été confié, des informations supplémentaires sont demandées concernant les raisons pour lesquelles le Comité est inactif depuis 2015. Il est pris </w:t>
      </w:r>
      <w:r w:rsidR="008835E2" w:rsidRPr="00F15A55">
        <w:rPr>
          <w:lang w:val="fr-CH"/>
        </w:rPr>
        <w:t>note</w:t>
      </w:r>
      <w:r w:rsidRPr="00F15A55">
        <w:rPr>
          <w:lang w:val="fr-CH"/>
        </w:rPr>
        <w:t xml:space="preserve"> du fait que l'organisation de</w:t>
      </w:r>
      <w:r w:rsidR="008835E2" w:rsidRPr="00F15A55">
        <w:rPr>
          <w:lang w:val="fr-CH"/>
        </w:rPr>
        <w:t>s</w:t>
      </w:r>
      <w:r w:rsidRPr="00F15A55">
        <w:rPr>
          <w:lang w:val="fr-CH"/>
        </w:rPr>
        <w:t xml:space="preserve"> manifestation</w:t>
      </w:r>
      <w:r w:rsidR="008835E2" w:rsidRPr="00F15A55">
        <w:rPr>
          <w:lang w:val="fr-CH"/>
        </w:rPr>
        <w:t>s</w:t>
      </w:r>
      <w:r w:rsidRPr="00F15A55">
        <w:rPr>
          <w:lang w:val="fr-CH"/>
        </w:rPr>
        <w:t xml:space="preserve"> </w:t>
      </w:r>
      <w:r w:rsidR="006112A2" w:rsidRPr="00F15A55">
        <w:rPr>
          <w:lang w:val="fr-CH"/>
        </w:rPr>
        <w:t>ITU Telecom World</w:t>
      </w:r>
      <w:r w:rsidR="008835E2" w:rsidRPr="00F15A55">
        <w:rPr>
          <w:lang w:val="fr-CH"/>
        </w:rPr>
        <w:t xml:space="preserve"> </w:t>
      </w:r>
      <w:r w:rsidRPr="00F15A55">
        <w:rPr>
          <w:lang w:val="fr-CH"/>
        </w:rPr>
        <w:t>dans un pays et un lieu différents chaque année présente des inconvénients pour l'U</w:t>
      </w:r>
      <w:r w:rsidR="008835E2" w:rsidRPr="00F15A55">
        <w:rPr>
          <w:lang w:val="fr-CH"/>
        </w:rPr>
        <w:t>nion</w:t>
      </w:r>
      <w:r w:rsidRPr="00F15A55">
        <w:rPr>
          <w:lang w:val="fr-CH"/>
        </w:rPr>
        <w:t>, tant sur le plan financier que sur le plan opérationnel</w:t>
      </w:r>
      <w:r w:rsidR="008835E2" w:rsidRPr="00F15A55">
        <w:rPr>
          <w:lang w:val="fr-CH"/>
        </w:rPr>
        <w:t>,</w:t>
      </w:r>
      <w:r w:rsidRPr="00F15A55">
        <w:rPr>
          <w:lang w:val="fr-CH"/>
        </w:rPr>
        <w:t xml:space="preserve"> et plusieurs conseillers conviennent qu'il faut accorder à l'U</w:t>
      </w:r>
      <w:r w:rsidR="008835E2" w:rsidRPr="00F15A55">
        <w:rPr>
          <w:lang w:val="fr-CH"/>
        </w:rPr>
        <w:t>nion</w:t>
      </w:r>
      <w:r w:rsidRPr="00F15A55">
        <w:rPr>
          <w:lang w:val="fr-CH"/>
        </w:rPr>
        <w:t xml:space="preserve"> la souplesse nécessaire pour lui permettre d'examiner les offres des Etats Membres en vue d'accueillir la manifestation pendant plusieurs années consécutives. Conformément à la Résolution 11 (Rév. Busan, 2014) de la Conférence de plénipotentiaires, il est déjà possible de tenir la manifestation tous les ans. Un conseiller propose d'organiser une manifestation chaque année à la même époque dans une région </w:t>
      </w:r>
      <w:r w:rsidR="008835E2" w:rsidRPr="00F15A55">
        <w:rPr>
          <w:lang w:val="fr-CH"/>
        </w:rPr>
        <w:t>différente</w:t>
      </w:r>
      <w:r w:rsidRPr="00F15A55">
        <w:rPr>
          <w:lang w:val="fr-CH"/>
        </w:rPr>
        <w:t xml:space="preserve">. D'autres conseillers se disent toutefois réticents à modifier la fréquence </w:t>
      </w:r>
      <w:r w:rsidR="008835E2" w:rsidRPr="00F15A55">
        <w:rPr>
          <w:lang w:val="fr-CH"/>
        </w:rPr>
        <w:t xml:space="preserve">de la manifestation </w:t>
      </w:r>
      <w:r w:rsidRPr="00F15A55">
        <w:rPr>
          <w:lang w:val="fr-CH"/>
        </w:rPr>
        <w:t>ou le roulement entre les rég</w:t>
      </w:r>
      <w:r w:rsidR="008835E2" w:rsidRPr="00F15A55">
        <w:rPr>
          <w:lang w:val="fr-CH"/>
        </w:rPr>
        <w:t>ions, soulignant qu'il s'agit d'une</w:t>
      </w:r>
      <w:r w:rsidRPr="00F15A55">
        <w:rPr>
          <w:lang w:val="fr-CH"/>
        </w:rPr>
        <w:t xml:space="preserve"> question </w:t>
      </w:r>
      <w:r w:rsidR="008835E2" w:rsidRPr="00F15A55">
        <w:rPr>
          <w:lang w:val="fr-CH"/>
        </w:rPr>
        <w:t>sensible</w:t>
      </w:r>
      <w:r w:rsidRPr="00F15A55">
        <w:rPr>
          <w:lang w:val="fr-CH"/>
        </w:rPr>
        <w:t>. Il est indispensable que la procédure d'appel d'offres soit ouverte et transparente et que les propositions soient examinées sur la base d'indicateurs précis, compte tenu des meilleurs intérêts de l'Union. Un budget équilibré est également une priorité pour le maintien des manifestations.</w:t>
      </w:r>
    </w:p>
    <w:p w:rsidR="002373F3" w:rsidRPr="00F15A55" w:rsidRDefault="002373F3" w:rsidP="008835E2">
      <w:pPr>
        <w:rPr>
          <w:lang w:val="fr-CH"/>
        </w:rPr>
      </w:pPr>
      <w:r w:rsidRPr="00F15A55">
        <w:rPr>
          <w:lang w:val="fr-CH"/>
        </w:rPr>
        <w:t>1.3</w:t>
      </w:r>
      <w:r w:rsidRPr="00F15A55">
        <w:rPr>
          <w:lang w:val="fr-CH"/>
        </w:rPr>
        <w:tab/>
        <w:t xml:space="preserve">Le Directeur exécutif d'ITU Telecom confirme que </w:t>
      </w:r>
      <w:r w:rsidR="008835E2" w:rsidRPr="00F15A55">
        <w:rPr>
          <w:lang w:val="fr-CH"/>
        </w:rPr>
        <w:t>l'éventuelle</w:t>
      </w:r>
      <w:r w:rsidRPr="00F15A55">
        <w:rPr>
          <w:lang w:val="fr-CH"/>
        </w:rPr>
        <w:t xml:space="preserve"> révision de la Résolution 11 (Rév. Busan, 2014) de la Conférence de plénipotentiaires sera examinée plus avant à la PP-18 et souligne les mesures déjà en place pour veiller à ce que la procédure d'appel d'offres pour l'organisation de</w:t>
      </w:r>
      <w:r w:rsidR="008835E2" w:rsidRPr="00F15A55">
        <w:rPr>
          <w:lang w:val="fr-CH"/>
        </w:rPr>
        <w:t>s</w:t>
      </w:r>
      <w:r w:rsidRPr="00F15A55">
        <w:rPr>
          <w:lang w:val="fr-CH"/>
        </w:rPr>
        <w:t xml:space="preserve"> manifestation</w:t>
      </w:r>
      <w:r w:rsidR="008835E2" w:rsidRPr="00F15A55">
        <w:rPr>
          <w:lang w:val="fr-CH"/>
        </w:rPr>
        <w:t>s</w:t>
      </w:r>
      <w:r w:rsidRPr="00F15A55">
        <w:rPr>
          <w:lang w:val="fr-CH"/>
        </w:rPr>
        <w:t xml:space="preserve"> ITU Telecom World reste équitable et tra</w:t>
      </w:r>
      <w:r w:rsidR="008835E2" w:rsidRPr="00F15A55">
        <w:rPr>
          <w:lang w:val="fr-CH"/>
        </w:rPr>
        <w:t xml:space="preserve">nsparente. Bien que le Comité </w:t>
      </w:r>
      <w:r w:rsidRPr="00F15A55">
        <w:rPr>
          <w:lang w:val="fr-CH"/>
        </w:rPr>
        <w:t xml:space="preserve">ITU Telecom ne soit pas actif, des réunions de consultation rassemblant le Secrétaire général et les </w:t>
      </w:r>
      <w:r w:rsidR="005A2135" w:rsidRPr="00F15A55">
        <w:rPr>
          <w:lang w:val="fr-CH"/>
        </w:rPr>
        <w:t>E</w:t>
      </w:r>
      <w:r w:rsidRPr="00F15A55">
        <w:rPr>
          <w:lang w:val="fr-CH"/>
        </w:rPr>
        <w:t>tats Membres sont organisé</w:t>
      </w:r>
      <w:r w:rsidR="00B643B8">
        <w:rPr>
          <w:lang w:val="fr-CH"/>
        </w:rPr>
        <w:t>e</w:t>
      </w:r>
      <w:r w:rsidRPr="00F15A55">
        <w:rPr>
          <w:lang w:val="fr-CH"/>
        </w:rPr>
        <w:t xml:space="preserve">s régulièrement depuis 2016 avant le début de chaque manifestation ITU Telecom. Depuis 2015, </w:t>
      </w:r>
      <w:r w:rsidR="008835E2" w:rsidRPr="00F15A55">
        <w:rPr>
          <w:lang w:val="fr-CH"/>
        </w:rPr>
        <w:t>des mesures sont prises en vue</w:t>
      </w:r>
      <w:r w:rsidR="006112A2">
        <w:rPr>
          <w:lang w:val="fr-CH"/>
        </w:rPr>
        <w:t xml:space="preserve"> de proposer aux </w:t>
      </w:r>
      <w:r w:rsidRPr="00F15A55">
        <w:rPr>
          <w:lang w:val="fr-CH"/>
        </w:rPr>
        <w:t xml:space="preserve">PME des produits de sponsoring moins </w:t>
      </w:r>
      <w:r w:rsidR="008835E2" w:rsidRPr="00F15A55">
        <w:rPr>
          <w:lang w:val="fr-CH"/>
        </w:rPr>
        <w:t>coûteux</w:t>
      </w:r>
      <w:r w:rsidRPr="00F15A55">
        <w:rPr>
          <w:lang w:val="fr-CH"/>
        </w:rPr>
        <w:t xml:space="preserve"> et d'autres solutions pour réduire le coût financier de la partic</w:t>
      </w:r>
      <w:r w:rsidR="008835E2" w:rsidRPr="00F15A55">
        <w:rPr>
          <w:lang w:val="fr-CH"/>
        </w:rPr>
        <w:t>ipation et attirer de grandes</w:t>
      </w:r>
      <w:r w:rsidRPr="00F15A55">
        <w:rPr>
          <w:lang w:val="fr-CH"/>
        </w:rPr>
        <w:t xml:space="preserve"> entreprises, lesquelles sont déjà nombreuses à </w:t>
      </w:r>
      <w:r w:rsidR="008835E2" w:rsidRPr="00F15A55">
        <w:rPr>
          <w:lang w:val="fr-CH"/>
        </w:rPr>
        <w:t>avoir annoncé leur présence</w:t>
      </w:r>
      <w:r w:rsidRPr="00F15A55">
        <w:rPr>
          <w:lang w:val="fr-CH"/>
        </w:rPr>
        <w:t xml:space="preserve"> à la manifestation 2018.</w:t>
      </w:r>
    </w:p>
    <w:p w:rsidR="006112A2" w:rsidRDefault="006112A2" w:rsidP="00277673">
      <w:pPr>
        <w:rPr>
          <w:lang w:val="fr-CH"/>
        </w:rPr>
      </w:pPr>
      <w:r>
        <w:rPr>
          <w:lang w:val="fr-CH"/>
        </w:rPr>
        <w:br w:type="page"/>
      </w:r>
    </w:p>
    <w:p w:rsidR="002373F3" w:rsidRPr="00F15A55" w:rsidRDefault="002373F3" w:rsidP="00277673">
      <w:pPr>
        <w:rPr>
          <w:lang w:val="fr-CH"/>
        </w:rPr>
      </w:pPr>
      <w:r w:rsidRPr="00F15A55">
        <w:rPr>
          <w:lang w:val="fr-CH"/>
        </w:rPr>
        <w:lastRenderedPageBreak/>
        <w:t>1.4</w:t>
      </w:r>
      <w:r w:rsidRPr="00F15A55">
        <w:rPr>
          <w:lang w:val="fr-CH"/>
        </w:rPr>
        <w:tab/>
        <w:t xml:space="preserve">Le Secrétaire général explique que, depuis le point culminant qu'a constitué l'édition </w:t>
      </w:r>
      <w:r w:rsidR="008835E2" w:rsidRPr="00F15A55">
        <w:rPr>
          <w:lang w:val="fr-CH"/>
        </w:rPr>
        <w:t>de 1</w:t>
      </w:r>
      <w:r w:rsidRPr="00F15A55">
        <w:rPr>
          <w:lang w:val="fr-CH"/>
        </w:rPr>
        <w:t>999 d'ITU Telecom World, il est devenu de plus en plus difficile d'encourager la participation du secteur privé. Outre les difficultés économiques qu'il rencontre, le secteur organise des manifestations concurrentes, notamment le Congrès mondial du mobile. Les opérateurs et équipementiers de téléphonie mobile</w:t>
      </w:r>
      <w:r w:rsidR="008835E2" w:rsidRPr="00F15A55">
        <w:rPr>
          <w:lang w:val="fr-CH"/>
        </w:rPr>
        <w:t>,</w:t>
      </w:r>
      <w:r w:rsidRPr="00F15A55">
        <w:rPr>
          <w:lang w:val="fr-CH"/>
        </w:rPr>
        <w:t xml:space="preserve"> qui représente</w:t>
      </w:r>
      <w:r w:rsidR="008835E2" w:rsidRPr="00F15A55">
        <w:rPr>
          <w:lang w:val="fr-CH"/>
        </w:rPr>
        <w:t>nt</w:t>
      </w:r>
      <w:r w:rsidRPr="00F15A55">
        <w:rPr>
          <w:lang w:val="fr-CH"/>
        </w:rPr>
        <w:t xml:space="preserve"> la m</w:t>
      </w:r>
      <w:r w:rsidR="008835E2" w:rsidRPr="00F15A55">
        <w:rPr>
          <w:lang w:val="fr-CH"/>
        </w:rPr>
        <w:t xml:space="preserve">ajorité des membres du Comité </w:t>
      </w:r>
      <w:r w:rsidR="00FB464F">
        <w:rPr>
          <w:lang w:val="fr-CH"/>
        </w:rPr>
        <w:t>ITU </w:t>
      </w:r>
      <w:r w:rsidRPr="00F15A55">
        <w:rPr>
          <w:lang w:val="fr-CH"/>
        </w:rPr>
        <w:t>Telecom</w:t>
      </w:r>
      <w:r w:rsidR="008835E2" w:rsidRPr="00F15A55">
        <w:rPr>
          <w:lang w:val="fr-CH"/>
        </w:rPr>
        <w:t>,</w:t>
      </w:r>
      <w:r w:rsidRPr="00F15A55">
        <w:rPr>
          <w:lang w:val="fr-CH"/>
        </w:rPr>
        <w:t xml:space="preserve"> montre</w:t>
      </w:r>
      <w:r w:rsidR="008835E2" w:rsidRPr="00F15A55">
        <w:rPr>
          <w:lang w:val="fr-CH"/>
        </w:rPr>
        <w:t>nt</w:t>
      </w:r>
      <w:r w:rsidRPr="00F15A55">
        <w:rPr>
          <w:lang w:val="fr-CH"/>
        </w:rPr>
        <w:t xml:space="preserve"> peu d'intérêt pour la manifestation depuis 2009 et n'ont généralement pas donné suite aux invitations aux réunions du Comité, même si le Président du Comité continue de faire preuve d'un grand esprit de coopération. Lorsqu'il a pris ses fonctions en 2015, le Secrétaire général a par conséquent décidé de cesser de consulter le Comité. Le fait de donner une nouvelle orientation aux manifestations ITU Telecom World, qui étai</w:t>
      </w:r>
      <w:r w:rsidR="008835E2" w:rsidRPr="00F15A55">
        <w:rPr>
          <w:lang w:val="fr-CH"/>
        </w:rPr>
        <w:t>en</w:t>
      </w:r>
      <w:r w:rsidRPr="00F15A55">
        <w:rPr>
          <w:lang w:val="fr-CH"/>
        </w:rPr>
        <w:t xml:space="preserve">t au départ des expositions techniques s'adressant aux opérateurs, </w:t>
      </w:r>
      <w:r w:rsidR="008835E2" w:rsidRPr="00F15A55">
        <w:rPr>
          <w:lang w:val="fr-CH"/>
        </w:rPr>
        <w:t>pour l'axer sur l'</w:t>
      </w:r>
      <w:r w:rsidRPr="00F15A55">
        <w:rPr>
          <w:lang w:val="fr-CH"/>
        </w:rPr>
        <w:t xml:space="preserve">appui aux PME du secteur des TIC permettra d'attirer de grandes sociétés </w:t>
      </w:r>
      <w:r w:rsidR="008835E2" w:rsidRPr="00F15A55">
        <w:rPr>
          <w:lang w:val="fr-CH"/>
        </w:rPr>
        <w:t>à la recherche</w:t>
      </w:r>
      <w:r w:rsidRPr="00F15A55">
        <w:rPr>
          <w:lang w:val="fr-CH"/>
        </w:rPr>
        <w:t xml:space="preserve"> de partenariats avec des entreprises plus petites. Il faut impérativement rendre la plate-forme </w:t>
      </w:r>
      <w:r w:rsidR="008835E2" w:rsidRPr="00F15A55">
        <w:rPr>
          <w:lang w:val="fr-CH"/>
        </w:rPr>
        <w:t>attrayante</w:t>
      </w:r>
      <w:r w:rsidRPr="00F15A55">
        <w:rPr>
          <w:lang w:val="fr-CH"/>
        </w:rPr>
        <w:t xml:space="preserve"> autant pour les PME que pour les administrations et les grandes entreprises.</w:t>
      </w:r>
    </w:p>
    <w:p w:rsidR="002373F3" w:rsidRPr="00F15A55" w:rsidRDefault="002373F3" w:rsidP="002373F3">
      <w:pPr>
        <w:rPr>
          <w:lang w:val="fr-CH"/>
        </w:rPr>
      </w:pPr>
      <w:r w:rsidRPr="00F15A55">
        <w:rPr>
          <w:lang w:val="fr-CH"/>
        </w:rPr>
        <w:t>1.5</w:t>
      </w:r>
      <w:r w:rsidRPr="00F15A55">
        <w:rPr>
          <w:lang w:val="fr-CH"/>
        </w:rPr>
        <w:tab/>
        <w:t>Il est pris</w:t>
      </w:r>
      <w:r w:rsidRPr="00F15A55">
        <w:rPr>
          <w:b/>
          <w:bCs/>
          <w:lang w:val="fr-CH"/>
        </w:rPr>
        <w:t xml:space="preserve"> note</w:t>
      </w:r>
      <w:r w:rsidRPr="00F15A55">
        <w:rPr>
          <w:lang w:val="fr-CH"/>
        </w:rPr>
        <w:t xml:space="preserve"> du Document C18/19(Rév.1).</w:t>
      </w:r>
    </w:p>
    <w:p w:rsidR="002373F3" w:rsidRPr="00F15A55" w:rsidRDefault="002373F3" w:rsidP="00277673">
      <w:pPr>
        <w:pStyle w:val="Heading1"/>
        <w:rPr>
          <w:lang w:val="fr-CH"/>
        </w:rPr>
      </w:pPr>
      <w:r w:rsidRPr="00F15A55">
        <w:rPr>
          <w:lang w:val="fr-CH"/>
        </w:rPr>
        <w:t>2</w:t>
      </w:r>
      <w:r w:rsidRPr="00F15A55">
        <w:rPr>
          <w:lang w:val="fr-CH"/>
        </w:rPr>
        <w:tab/>
        <w:t xml:space="preserve">Rapports du Président du Groupe de travail du Conseil sur l'utilisation des </w:t>
      </w:r>
      <w:r w:rsidR="00277673" w:rsidRPr="00F15A55">
        <w:rPr>
          <w:lang w:val="fr-CH"/>
        </w:rPr>
        <w:t xml:space="preserve">six </w:t>
      </w:r>
      <w:r w:rsidRPr="00F15A55">
        <w:rPr>
          <w:lang w:val="fr-CH"/>
        </w:rPr>
        <w:t xml:space="preserve">langues </w:t>
      </w:r>
      <w:r w:rsidR="00277673" w:rsidRPr="00F15A55">
        <w:rPr>
          <w:lang w:val="fr-CH"/>
        </w:rPr>
        <w:t xml:space="preserve">officielles de l'Union </w:t>
      </w:r>
      <w:r w:rsidRPr="00F15A55">
        <w:rPr>
          <w:lang w:val="fr-CH"/>
        </w:rPr>
        <w:t>(GTC-LANG): Rapport du Groupe de travail du Conseil (Document</w:t>
      </w:r>
      <w:r w:rsidR="00277673" w:rsidRPr="00F15A55">
        <w:rPr>
          <w:lang w:val="fr-CH"/>
        </w:rPr>
        <w:t> </w:t>
      </w:r>
      <w:hyperlink r:id="rId18" w:history="1">
        <w:r w:rsidRPr="00F15A55">
          <w:rPr>
            <w:rStyle w:val="Hyperlink"/>
            <w:lang w:val="fr-CH"/>
          </w:rPr>
          <w:t>C18/12</w:t>
        </w:r>
      </w:hyperlink>
      <w:r w:rsidRPr="00F15A55">
        <w:rPr>
          <w:lang w:val="fr-CH"/>
        </w:rPr>
        <w:t>) et rapport sur la mise en oeuvre de la Résolution</w:t>
      </w:r>
      <w:r w:rsidR="00277673" w:rsidRPr="00F15A55">
        <w:rPr>
          <w:lang w:val="fr-CH"/>
        </w:rPr>
        <w:t> </w:t>
      </w:r>
      <w:r w:rsidRPr="00F15A55">
        <w:rPr>
          <w:lang w:val="fr-CH"/>
        </w:rPr>
        <w:t xml:space="preserve">154 (Rév. Busan, 2014) de la Conférence de plénipotentiaires sur l'utilisation des six langues officielles de l'Union sur un pied d'égalité (Document </w:t>
      </w:r>
      <w:hyperlink r:id="rId19" w:history="1">
        <w:r w:rsidRPr="00F15A55">
          <w:rPr>
            <w:rStyle w:val="Hyperlink"/>
            <w:lang w:val="fr-CH"/>
          </w:rPr>
          <w:t>C18/14</w:t>
        </w:r>
      </w:hyperlink>
      <w:r w:rsidRPr="00F15A55">
        <w:rPr>
          <w:lang w:val="fr-CH"/>
        </w:rPr>
        <w:t>)</w:t>
      </w:r>
    </w:p>
    <w:p w:rsidR="002373F3" w:rsidRPr="00F15A55" w:rsidRDefault="002373F3" w:rsidP="0023294D">
      <w:pPr>
        <w:rPr>
          <w:lang w:val="fr-CH"/>
        </w:rPr>
      </w:pPr>
      <w:r w:rsidRPr="00F15A55">
        <w:rPr>
          <w:lang w:val="fr-CH"/>
        </w:rPr>
        <w:t>2.1</w:t>
      </w:r>
      <w:r w:rsidRPr="00F15A55">
        <w:rPr>
          <w:lang w:val="fr-CH"/>
        </w:rPr>
        <w:tab/>
        <w:t>Le Président du GTC-LANG présente les Documents C18/12 et C18/14. Le Groupe de travail a examiné les coûts de traduction des documents ainsi qu'une évaluation des procédures de traduction</w:t>
      </w:r>
      <w:r w:rsidR="00277673" w:rsidRPr="00F15A55">
        <w:rPr>
          <w:lang w:val="fr-CH"/>
        </w:rPr>
        <w:t>,</w:t>
      </w:r>
      <w:r w:rsidRPr="00F15A55">
        <w:rPr>
          <w:lang w:val="fr-CH"/>
        </w:rPr>
        <w:t xml:space="preserve"> et a proposé une classification des documents aux fins de l'évaluation de la qualité. Des essais </w:t>
      </w:r>
      <w:r w:rsidR="00277673" w:rsidRPr="00F15A55">
        <w:rPr>
          <w:lang w:val="fr-CH"/>
        </w:rPr>
        <w:t>dans les domaines de</w:t>
      </w:r>
      <w:r w:rsidRPr="00F15A55">
        <w:rPr>
          <w:lang w:val="fr-CH"/>
        </w:rPr>
        <w:t xml:space="preserve"> l'interprétation à distance, </w:t>
      </w:r>
      <w:r w:rsidR="00277673" w:rsidRPr="00F15A55">
        <w:rPr>
          <w:lang w:val="fr-CH"/>
        </w:rPr>
        <w:t xml:space="preserve">de </w:t>
      </w:r>
      <w:r w:rsidRPr="00F15A55">
        <w:rPr>
          <w:lang w:val="fr-CH"/>
        </w:rPr>
        <w:t xml:space="preserve">la traduction automatique et </w:t>
      </w:r>
      <w:r w:rsidR="00277673" w:rsidRPr="00F15A55">
        <w:rPr>
          <w:lang w:val="fr-CH"/>
        </w:rPr>
        <w:t xml:space="preserve">du </w:t>
      </w:r>
      <w:r w:rsidRPr="00F15A55">
        <w:rPr>
          <w:lang w:val="fr-CH"/>
        </w:rPr>
        <w:t xml:space="preserve">sous-titrage automatique, ainsi qu'un projet pilote relatif à la traduction des pages web avec le concours de certaines administrations sont en cours. Un projet pilote est également en cours de mise en </w:t>
      </w:r>
      <w:r w:rsidR="0023294D" w:rsidRPr="00F15A55">
        <w:rPr>
          <w:lang w:val="fr-CH"/>
        </w:rPr>
        <w:t>oe</w:t>
      </w:r>
      <w:r w:rsidRPr="00F15A55">
        <w:rPr>
          <w:lang w:val="fr-CH"/>
        </w:rPr>
        <w:t xml:space="preserve">uvre concernant le recours à l'intelligence artificielle et à la technologie pour moderniser les services de traduction et d'interprétation à titre de mesure </w:t>
      </w:r>
      <w:r w:rsidR="0023294D" w:rsidRPr="00F15A55">
        <w:rPr>
          <w:lang w:val="fr-CH"/>
        </w:rPr>
        <w:t>de réduction des coûts, sur une</w:t>
      </w:r>
      <w:r w:rsidRPr="00F15A55">
        <w:rPr>
          <w:lang w:val="fr-CH"/>
        </w:rPr>
        <w:t xml:space="preserve"> propos</w:t>
      </w:r>
      <w:r w:rsidR="0023294D" w:rsidRPr="00F15A55">
        <w:rPr>
          <w:lang w:val="fr-CH"/>
        </w:rPr>
        <w:t>ition</w:t>
      </w:r>
      <w:r w:rsidRPr="00F15A55">
        <w:rPr>
          <w:lang w:val="fr-CH"/>
        </w:rPr>
        <w:t xml:space="preserve"> </w:t>
      </w:r>
      <w:r w:rsidR="0023294D" w:rsidRPr="00F15A55">
        <w:rPr>
          <w:lang w:val="fr-CH"/>
        </w:rPr>
        <w:t>de</w:t>
      </w:r>
      <w:r w:rsidRPr="00F15A55">
        <w:rPr>
          <w:lang w:val="fr-CH"/>
        </w:rPr>
        <w:t xml:space="preserve"> la Chine. La Fédération de Russie a élaboré une proposition de révision de la Résolution 154 (Rév. Busan, 2014) de la Conférence de plénipotentiaires, que le Groupe de travail recommande au Conseil de transmettre à la PP-18.</w:t>
      </w:r>
    </w:p>
    <w:p w:rsidR="002373F3" w:rsidRPr="00F15A55" w:rsidRDefault="002373F3" w:rsidP="0023294D">
      <w:pPr>
        <w:rPr>
          <w:lang w:val="fr-CH"/>
        </w:rPr>
      </w:pPr>
      <w:r w:rsidRPr="00F15A55">
        <w:rPr>
          <w:lang w:val="fr-CH"/>
        </w:rPr>
        <w:t>2.2</w:t>
      </w:r>
      <w:r w:rsidRPr="00F15A55">
        <w:rPr>
          <w:lang w:val="fr-CH"/>
        </w:rPr>
        <w:tab/>
        <w:t xml:space="preserve">Les conseillers prennent note avec satisfaction du projet pilote relatif à l'utilisation de l'intelligence artificielle et des projets visant à promouvoir les technologies dans le domaine des langues afin de rationaliser les procédures de traduction et d'interprétation et de réduire les coûts. L'aide fournie par les </w:t>
      </w:r>
      <w:r w:rsidR="005A2135" w:rsidRPr="00F15A55">
        <w:rPr>
          <w:lang w:val="fr-CH"/>
        </w:rPr>
        <w:t>E</w:t>
      </w:r>
      <w:r w:rsidRPr="00F15A55">
        <w:rPr>
          <w:lang w:val="fr-CH"/>
        </w:rPr>
        <w:t>tats Membres pour assurer la traduction du site de l'UIT est la bienvenue, mais il faut impérativement veiller à vérifier que la qualité est suffisante. En tant qu'organisation chargée de l'étude des nouvelles technologies, l'UIT doit montrer l'exemple dans l</w:t>
      </w:r>
      <w:r w:rsidR="0023294D" w:rsidRPr="00F15A55">
        <w:rPr>
          <w:lang w:val="fr-CH"/>
        </w:rPr>
        <w:t>a</w:t>
      </w:r>
      <w:r w:rsidRPr="00F15A55">
        <w:rPr>
          <w:lang w:val="fr-CH"/>
        </w:rPr>
        <w:t xml:space="preserve"> mise en </w:t>
      </w:r>
      <w:r w:rsidR="0023294D" w:rsidRPr="00F15A55">
        <w:rPr>
          <w:lang w:val="fr-CH"/>
        </w:rPr>
        <w:t>oe</w:t>
      </w:r>
      <w:r w:rsidRPr="00F15A55">
        <w:rPr>
          <w:lang w:val="fr-CH"/>
        </w:rPr>
        <w:t>uvre</w:t>
      </w:r>
      <w:r w:rsidR="0023294D" w:rsidRPr="00F15A55">
        <w:rPr>
          <w:lang w:val="fr-CH"/>
        </w:rPr>
        <w:t xml:space="preserve"> desdites technologies</w:t>
      </w:r>
      <w:r w:rsidRPr="00F15A55">
        <w:rPr>
          <w:lang w:val="fr-CH"/>
        </w:rPr>
        <w:t xml:space="preserve">. Un conseiller fait remarquer que l'on </w:t>
      </w:r>
      <w:r w:rsidR="0023294D" w:rsidRPr="00F15A55">
        <w:rPr>
          <w:lang w:val="fr-CH"/>
        </w:rPr>
        <w:t>pourrait</w:t>
      </w:r>
      <w:r w:rsidRPr="00F15A55">
        <w:rPr>
          <w:lang w:val="fr-CH"/>
        </w:rPr>
        <w:t xml:space="preserve"> envisager de réduire la longueur des textes publiés su</w:t>
      </w:r>
      <w:r w:rsidR="0023294D" w:rsidRPr="00F15A55">
        <w:rPr>
          <w:lang w:val="fr-CH"/>
        </w:rPr>
        <w:t>r le site web à titre de mesure de réduction des coûts</w:t>
      </w:r>
      <w:r w:rsidRPr="00F15A55">
        <w:rPr>
          <w:lang w:val="fr-CH"/>
        </w:rPr>
        <w:t>.</w:t>
      </w:r>
    </w:p>
    <w:p w:rsidR="006112A2" w:rsidRDefault="006112A2" w:rsidP="0023294D">
      <w:pPr>
        <w:rPr>
          <w:lang w:val="fr-CH"/>
        </w:rPr>
      </w:pPr>
      <w:r>
        <w:rPr>
          <w:lang w:val="fr-CH"/>
        </w:rPr>
        <w:br w:type="page"/>
      </w:r>
    </w:p>
    <w:p w:rsidR="002373F3" w:rsidRPr="00F15A55" w:rsidRDefault="002373F3" w:rsidP="006112A2">
      <w:pPr>
        <w:rPr>
          <w:lang w:val="fr-CH"/>
        </w:rPr>
      </w:pPr>
      <w:r w:rsidRPr="00F15A55">
        <w:rPr>
          <w:lang w:val="fr-CH"/>
        </w:rPr>
        <w:lastRenderedPageBreak/>
        <w:t>2.3</w:t>
      </w:r>
      <w:r w:rsidRPr="00F15A55">
        <w:rPr>
          <w:lang w:val="fr-CH"/>
        </w:rPr>
        <w:tab/>
        <w:t xml:space="preserve">Un conseiller demande des précisions concernant le rôle </w:t>
      </w:r>
      <w:r w:rsidR="0023294D" w:rsidRPr="00F15A55">
        <w:rPr>
          <w:lang w:val="fr-CH"/>
        </w:rPr>
        <w:t>que jouera le</w:t>
      </w:r>
      <w:r w:rsidRPr="00F15A55">
        <w:rPr>
          <w:lang w:val="fr-CH"/>
        </w:rPr>
        <w:t xml:space="preserve"> Secrétariat général </w:t>
      </w:r>
      <w:r w:rsidR="0023294D" w:rsidRPr="00F15A55">
        <w:rPr>
          <w:lang w:val="fr-CH"/>
        </w:rPr>
        <w:t>si</w:t>
      </w:r>
      <w:r w:rsidRPr="00F15A55">
        <w:rPr>
          <w:lang w:val="fr-CH"/>
        </w:rPr>
        <w:t xml:space="preserve"> la traduction des pages web est assurée par les administrations; les fonctionnaires des services linguistiques de l'UIT devraient être chargés </w:t>
      </w:r>
      <w:r w:rsidR="0023294D" w:rsidRPr="00F15A55">
        <w:rPr>
          <w:lang w:val="fr-CH"/>
        </w:rPr>
        <w:t>d'encadrer</w:t>
      </w:r>
      <w:r w:rsidRPr="00F15A55">
        <w:rPr>
          <w:lang w:val="fr-CH"/>
        </w:rPr>
        <w:t>, selon le principe de diligence due, la traduction et la publication des textes</w:t>
      </w:r>
      <w:r w:rsidR="0023294D" w:rsidRPr="00F15A55">
        <w:rPr>
          <w:lang w:val="fr-CH"/>
        </w:rPr>
        <w:t xml:space="preserve"> sur le site de l'UIT, et non </w:t>
      </w:r>
      <w:r w:rsidRPr="00F15A55">
        <w:rPr>
          <w:lang w:val="fr-CH"/>
        </w:rPr>
        <w:t>assurer simplement une supervision et une assistance comme le laissent entendre les notes de bas de page des Documents</w:t>
      </w:r>
      <w:r w:rsidR="0023294D" w:rsidRPr="00F15A55">
        <w:rPr>
          <w:lang w:val="fr-CH"/>
        </w:rPr>
        <w:t> </w:t>
      </w:r>
      <w:r w:rsidRPr="00F15A55">
        <w:rPr>
          <w:lang w:val="fr-CH"/>
        </w:rPr>
        <w:t>C18/12 et C18/14. Le Secrétariat général de l'UIT devrait continuer d'être responsable et comptable de la qualité des traductions.</w:t>
      </w:r>
    </w:p>
    <w:p w:rsidR="002373F3" w:rsidRPr="00F15A55" w:rsidRDefault="0023294D" w:rsidP="0023294D">
      <w:pPr>
        <w:rPr>
          <w:lang w:val="fr-CH"/>
        </w:rPr>
      </w:pPr>
      <w:r w:rsidRPr="00F15A55">
        <w:rPr>
          <w:lang w:val="fr-CH"/>
        </w:rPr>
        <w:t>2.4</w:t>
      </w:r>
      <w:r w:rsidRPr="00F15A55">
        <w:rPr>
          <w:lang w:val="fr-CH"/>
        </w:rPr>
        <w:tab/>
        <w:t>Le Vice-</w:t>
      </w:r>
      <w:r w:rsidR="002373F3" w:rsidRPr="00F15A55">
        <w:rPr>
          <w:lang w:val="fr-CH"/>
        </w:rPr>
        <w:t xml:space="preserve">Secrétaire général confirme que le principe de diligence due s'appliquera. Même si les traductions ne seront pas </w:t>
      </w:r>
      <w:r w:rsidRPr="00F15A55">
        <w:rPr>
          <w:lang w:val="fr-CH"/>
        </w:rPr>
        <w:t>relues</w:t>
      </w:r>
      <w:r w:rsidR="002373F3" w:rsidRPr="00F15A55">
        <w:rPr>
          <w:lang w:val="fr-CH"/>
        </w:rPr>
        <w:t xml:space="preserve"> mot à mot, le secrétariat sera toujours responsable de la qualité du contenu web. Cette nouvelle méthode permettra néanmoins de multiplier par trois ou quatre le nombre de textes traduits </w:t>
      </w:r>
      <w:r w:rsidRPr="00F15A55">
        <w:rPr>
          <w:lang w:val="fr-CH"/>
        </w:rPr>
        <w:t xml:space="preserve">et </w:t>
      </w:r>
      <w:r w:rsidR="002373F3" w:rsidRPr="00F15A55">
        <w:rPr>
          <w:lang w:val="fr-CH"/>
        </w:rPr>
        <w:t xml:space="preserve">publiés en ligne, sans </w:t>
      </w:r>
      <w:r w:rsidRPr="00F15A55">
        <w:rPr>
          <w:lang w:val="fr-CH"/>
        </w:rPr>
        <w:t>répercussions</w:t>
      </w:r>
      <w:r w:rsidR="002373F3" w:rsidRPr="00F15A55">
        <w:rPr>
          <w:lang w:val="fr-CH"/>
        </w:rPr>
        <w:t xml:space="preserve"> budgétaire</w:t>
      </w:r>
      <w:r w:rsidRPr="00F15A55">
        <w:rPr>
          <w:lang w:val="fr-CH"/>
        </w:rPr>
        <w:t>s</w:t>
      </w:r>
      <w:r w:rsidR="002373F3" w:rsidRPr="00F15A55">
        <w:rPr>
          <w:lang w:val="fr-CH"/>
        </w:rPr>
        <w:t xml:space="preserve"> pour l'organisation. Les résultats du projet pilote seront présentés à la Conférence de plénipotentiaires.</w:t>
      </w:r>
    </w:p>
    <w:p w:rsidR="002373F3" w:rsidRPr="00F15A55" w:rsidRDefault="002373F3" w:rsidP="002373F3">
      <w:pPr>
        <w:rPr>
          <w:lang w:val="fr-CH"/>
        </w:rPr>
      </w:pPr>
      <w:r w:rsidRPr="00F15A55">
        <w:rPr>
          <w:lang w:val="fr-CH"/>
        </w:rPr>
        <w:t>2.5</w:t>
      </w:r>
      <w:r w:rsidRPr="00F15A55">
        <w:rPr>
          <w:lang w:val="fr-CH"/>
        </w:rPr>
        <w:tab/>
        <w:t xml:space="preserve">Le Conseil </w:t>
      </w:r>
      <w:r w:rsidRPr="00F15A55">
        <w:rPr>
          <w:b/>
          <w:bCs/>
          <w:lang w:val="fr-CH"/>
        </w:rPr>
        <w:t>approuve</w:t>
      </w:r>
      <w:r w:rsidRPr="00F15A55">
        <w:rPr>
          <w:lang w:val="fr-CH"/>
        </w:rPr>
        <w:t xml:space="preserve"> le Document C18/12. Il </w:t>
      </w:r>
      <w:r w:rsidRPr="00F15A55">
        <w:rPr>
          <w:b/>
          <w:bCs/>
          <w:lang w:val="fr-CH"/>
        </w:rPr>
        <w:t>prend note</w:t>
      </w:r>
      <w:r w:rsidRPr="00F15A55">
        <w:rPr>
          <w:lang w:val="fr-CH"/>
        </w:rPr>
        <w:t xml:space="preserve"> du Document C18/14, </w:t>
      </w:r>
      <w:r w:rsidRPr="00F15A55">
        <w:rPr>
          <w:b/>
          <w:bCs/>
          <w:lang w:val="fr-CH"/>
        </w:rPr>
        <w:t>approuve</w:t>
      </w:r>
      <w:r w:rsidRPr="00F15A55">
        <w:rPr>
          <w:lang w:val="fr-CH"/>
        </w:rPr>
        <w:t xml:space="preserve"> les recommandations qu'il contient et </w:t>
      </w:r>
      <w:r w:rsidRPr="00F15A55">
        <w:rPr>
          <w:b/>
          <w:bCs/>
          <w:lang w:val="fr-CH"/>
        </w:rPr>
        <w:t>décide</w:t>
      </w:r>
      <w:r w:rsidRPr="00F15A55">
        <w:rPr>
          <w:lang w:val="fr-CH"/>
        </w:rPr>
        <w:t xml:space="preserve"> de transmettre ce document à la PP-18.</w:t>
      </w:r>
    </w:p>
    <w:p w:rsidR="002373F3" w:rsidRPr="00F15A55" w:rsidRDefault="002373F3" w:rsidP="0023294D">
      <w:pPr>
        <w:pStyle w:val="Heading1"/>
        <w:rPr>
          <w:lang w:val="fr-CH"/>
        </w:rPr>
      </w:pPr>
      <w:r w:rsidRPr="00F15A55">
        <w:rPr>
          <w:lang w:val="fr-CH"/>
        </w:rPr>
        <w:t>3</w:t>
      </w:r>
      <w:r w:rsidRPr="00F15A55">
        <w:rPr>
          <w:lang w:val="fr-CH"/>
        </w:rPr>
        <w:tab/>
        <w:t>Projets de plans opérationnels quadriennaux pour 2019-2022 (Documents</w:t>
      </w:r>
      <w:r w:rsidR="0023294D" w:rsidRPr="00F15A55">
        <w:rPr>
          <w:lang w:val="fr-CH"/>
        </w:rPr>
        <w:t> </w:t>
      </w:r>
      <w:hyperlink r:id="rId20" w:history="1">
        <w:r w:rsidRPr="00F15A55">
          <w:rPr>
            <w:rStyle w:val="Hyperlink"/>
            <w:lang w:val="fr-CH"/>
          </w:rPr>
          <w:t>C18/28(Rév.1)</w:t>
        </w:r>
      </w:hyperlink>
      <w:r w:rsidRPr="00F15A55">
        <w:rPr>
          <w:lang w:val="fr-CH"/>
        </w:rPr>
        <w:t xml:space="preserve">, </w:t>
      </w:r>
      <w:hyperlink r:id="rId21" w:history="1">
        <w:r w:rsidRPr="00F15A55">
          <w:rPr>
            <w:rStyle w:val="Hyperlink"/>
            <w:lang w:val="fr-CH"/>
          </w:rPr>
          <w:t>C18/29</w:t>
        </w:r>
      </w:hyperlink>
      <w:r w:rsidRPr="00F15A55">
        <w:rPr>
          <w:lang w:val="fr-CH"/>
        </w:rPr>
        <w:t xml:space="preserve">, </w:t>
      </w:r>
      <w:hyperlink r:id="rId22" w:history="1">
        <w:r w:rsidRPr="00F15A55">
          <w:rPr>
            <w:rStyle w:val="Hyperlink"/>
            <w:lang w:val="fr-CH"/>
          </w:rPr>
          <w:t>C18/30</w:t>
        </w:r>
      </w:hyperlink>
      <w:r w:rsidRPr="00F15A55">
        <w:rPr>
          <w:lang w:val="fr-CH"/>
        </w:rPr>
        <w:t xml:space="preserve">, </w:t>
      </w:r>
      <w:hyperlink r:id="rId23" w:history="1">
        <w:r w:rsidRPr="00F15A55">
          <w:rPr>
            <w:rStyle w:val="Hyperlink"/>
            <w:lang w:val="fr-CH"/>
          </w:rPr>
          <w:t>C18/31</w:t>
        </w:r>
      </w:hyperlink>
      <w:r w:rsidRPr="00F15A55">
        <w:rPr>
          <w:lang w:val="fr-CH"/>
        </w:rPr>
        <w:t xml:space="preserve"> et </w:t>
      </w:r>
      <w:hyperlink r:id="rId24" w:history="1">
        <w:r w:rsidRPr="00F15A55">
          <w:rPr>
            <w:rStyle w:val="Hyperlink"/>
            <w:lang w:val="fr-CH"/>
          </w:rPr>
          <w:t>C18/32</w:t>
        </w:r>
      </w:hyperlink>
      <w:r w:rsidRPr="00F15A55">
        <w:rPr>
          <w:lang w:val="fr-CH"/>
        </w:rPr>
        <w:t>)</w:t>
      </w:r>
    </w:p>
    <w:p w:rsidR="002373F3" w:rsidRPr="00F15A55" w:rsidRDefault="002373F3" w:rsidP="00677BE7">
      <w:pPr>
        <w:rPr>
          <w:lang w:val="fr-CH"/>
        </w:rPr>
      </w:pPr>
      <w:r w:rsidRPr="00F15A55">
        <w:rPr>
          <w:lang w:val="fr-CH"/>
        </w:rPr>
        <w:t>3.1</w:t>
      </w:r>
      <w:r w:rsidRPr="00F15A55">
        <w:rPr>
          <w:lang w:val="fr-CH"/>
        </w:rPr>
        <w:tab/>
        <w:t xml:space="preserve">Le Vice-Secrétaire général présente le Document C18/32, qui contient le projet de Résolution approuvant les projets de plans opérationnels quadriennaux glissants des Secteurs et du Secrétariat général pour la période 2019-2022. Tous ces plans opérationnels </w:t>
      </w:r>
      <w:r w:rsidR="00677BE7" w:rsidRPr="00F15A55">
        <w:rPr>
          <w:lang w:val="fr-CH"/>
        </w:rPr>
        <w:t>sont</w:t>
      </w:r>
      <w:r w:rsidRPr="00F15A55">
        <w:rPr>
          <w:lang w:val="fr-CH"/>
        </w:rPr>
        <w:t xml:space="preserve"> élaborés </w:t>
      </w:r>
      <w:r w:rsidR="00677BE7" w:rsidRPr="00F15A55">
        <w:rPr>
          <w:lang w:val="fr-CH"/>
        </w:rPr>
        <w:t>selon une méthode et un format rationnalisés conforme</w:t>
      </w:r>
      <w:r w:rsidR="006112A2">
        <w:rPr>
          <w:lang w:val="fr-CH"/>
        </w:rPr>
        <w:t>s</w:t>
      </w:r>
      <w:r w:rsidR="00677BE7" w:rsidRPr="00F15A55">
        <w:rPr>
          <w:lang w:val="fr-CH"/>
        </w:rPr>
        <w:t xml:space="preserve"> au </w:t>
      </w:r>
      <w:r w:rsidRPr="00F15A55">
        <w:rPr>
          <w:lang w:val="fr-CH"/>
        </w:rPr>
        <w:t>Plan stratégique pour la période</w:t>
      </w:r>
      <w:r w:rsidR="00677BE7" w:rsidRPr="00F15A55">
        <w:rPr>
          <w:lang w:val="fr-CH"/>
        </w:rPr>
        <w:t> </w:t>
      </w:r>
      <w:r w:rsidRPr="00F15A55">
        <w:rPr>
          <w:lang w:val="fr-CH"/>
        </w:rPr>
        <w:t>2016</w:t>
      </w:r>
      <w:r w:rsidR="00677BE7" w:rsidRPr="00F15A55">
        <w:rPr>
          <w:lang w:val="fr-CH"/>
        </w:rPr>
        <w:noBreakHyphen/>
      </w:r>
      <w:r w:rsidRPr="00F15A55">
        <w:rPr>
          <w:lang w:val="fr-CH"/>
        </w:rPr>
        <w:t xml:space="preserve">2019. Chaque plan a été examiné par le groupe consultatif du Secteur concerné tandis que le Plan opérationnel du Secrétariat général </w:t>
      </w:r>
      <w:r w:rsidR="00677BE7" w:rsidRPr="00F15A55">
        <w:rPr>
          <w:lang w:val="fr-CH"/>
        </w:rPr>
        <w:t>a été examiné par les</w:t>
      </w:r>
      <w:r w:rsidRPr="00F15A55">
        <w:rPr>
          <w:lang w:val="fr-CH"/>
        </w:rPr>
        <w:t xml:space="preserve"> groupes consultatifs des trois Secteurs.</w:t>
      </w:r>
    </w:p>
    <w:p w:rsidR="002373F3" w:rsidRPr="00F15A55" w:rsidRDefault="002373F3" w:rsidP="002373F3">
      <w:pPr>
        <w:rPr>
          <w:lang w:val="fr-CH"/>
        </w:rPr>
      </w:pPr>
      <w:r w:rsidRPr="00F15A55">
        <w:rPr>
          <w:lang w:val="fr-CH"/>
        </w:rPr>
        <w:t>3.2</w:t>
      </w:r>
      <w:r w:rsidRPr="00F15A55">
        <w:rPr>
          <w:lang w:val="fr-CH"/>
        </w:rPr>
        <w:tab/>
        <w:t>L'Adjoint au Directeur du BR présente le plan opérationnel glis</w:t>
      </w:r>
      <w:r w:rsidR="006112A2">
        <w:rPr>
          <w:lang w:val="fr-CH"/>
        </w:rPr>
        <w:t>sant de l'UIT-R pour la période </w:t>
      </w:r>
      <w:r w:rsidRPr="00F15A55">
        <w:rPr>
          <w:lang w:val="fr-CH"/>
        </w:rPr>
        <w:t>2019-2022 (Document C18/28(Rév.1)), l'Adjoint au Dir</w:t>
      </w:r>
      <w:r w:rsidR="006112A2">
        <w:rPr>
          <w:lang w:val="fr-CH"/>
        </w:rPr>
        <w:t>ecteur du TSB présente celui de </w:t>
      </w:r>
      <w:r w:rsidRPr="00F15A55">
        <w:rPr>
          <w:lang w:val="fr-CH"/>
        </w:rPr>
        <w:t>l'UIT-T (Document C18/29), l'Adjoint au Directeur du BDT prés</w:t>
      </w:r>
      <w:r w:rsidR="006112A2">
        <w:rPr>
          <w:lang w:val="fr-CH"/>
        </w:rPr>
        <w:t>ente celui de l'UIT-D (Document </w:t>
      </w:r>
      <w:r w:rsidRPr="00F15A55">
        <w:rPr>
          <w:lang w:val="fr-CH"/>
        </w:rPr>
        <w:t>C18/30) et la Chef du Département de la planification stratégique et des relations avec les membres présente celui du Secrétariat général (Document C18/31).</w:t>
      </w:r>
    </w:p>
    <w:p w:rsidR="002373F3" w:rsidRPr="00F15A55" w:rsidRDefault="002373F3" w:rsidP="002373F3">
      <w:pPr>
        <w:rPr>
          <w:lang w:val="fr-CH"/>
        </w:rPr>
      </w:pPr>
      <w:r w:rsidRPr="00F15A55">
        <w:rPr>
          <w:lang w:val="fr-CH"/>
        </w:rPr>
        <w:t>3.3</w:t>
      </w:r>
      <w:r w:rsidRPr="00F15A55">
        <w:rPr>
          <w:lang w:val="fr-CH"/>
        </w:rPr>
        <w:tab/>
        <w:t>Un conseiller appuie le projet de plan opérationnel de l'UIT-D, en particulier les mesures visant à renforcer les capacités des Etats Membres, en particulier des pays en développement, dans les domaines de l'inclusion numérique, des télécommunications d'urgences, des partenariats publics et de la cybersécurité. Un autre conseiller émet des réserves quant au projet de plan opérationnel du Secteur des radiocommunications (Document C18/28(Rév.1)), en particulier concernant l'allongement du temps de traitement des fiches de notification des réseaux à satellite et le non-respect</w:t>
      </w:r>
      <w:r w:rsidR="00677BE7" w:rsidRPr="00F15A55">
        <w:rPr>
          <w:lang w:val="fr-CH"/>
        </w:rPr>
        <w:t>,</w:t>
      </w:r>
      <w:r w:rsidRPr="00F15A55">
        <w:rPr>
          <w:lang w:val="fr-CH"/>
        </w:rPr>
        <w:t xml:space="preserve"> pendant de longue</w:t>
      </w:r>
      <w:r w:rsidR="00677BE7" w:rsidRPr="00F15A55">
        <w:rPr>
          <w:lang w:val="fr-CH"/>
        </w:rPr>
        <w:t>s</w:t>
      </w:r>
      <w:r w:rsidRPr="00F15A55">
        <w:rPr>
          <w:lang w:val="fr-CH"/>
        </w:rPr>
        <w:t xml:space="preserve"> période</w:t>
      </w:r>
      <w:r w:rsidR="00677BE7" w:rsidRPr="00F15A55">
        <w:rPr>
          <w:lang w:val="fr-CH"/>
        </w:rPr>
        <w:t>s,</w:t>
      </w:r>
      <w:r w:rsidRPr="00F15A55">
        <w:rPr>
          <w:lang w:val="fr-CH"/>
        </w:rPr>
        <w:t xml:space="preserve"> du délai obligatoire établi; à cet égard, il est nécessaire que le BR prenne d'urgence des mesures sur les plans organisationnel et technique pour résoudre ce problème.</w:t>
      </w:r>
    </w:p>
    <w:p w:rsidR="002373F3" w:rsidRPr="00F15A55" w:rsidRDefault="002373F3" w:rsidP="002373F3">
      <w:pPr>
        <w:rPr>
          <w:lang w:val="fr-CH"/>
        </w:rPr>
      </w:pPr>
      <w:r w:rsidRPr="00F15A55">
        <w:rPr>
          <w:lang w:val="fr-CH"/>
        </w:rPr>
        <w:t>3.4</w:t>
      </w:r>
      <w:r w:rsidRPr="00F15A55">
        <w:rPr>
          <w:lang w:val="fr-CH"/>
        </w:rPr>
        <w:tab/>
        <w:t xml:space="preserve">Le Conseil </w:t>
      </w:r>
      <w:r w:rsidRPr="00F15A55">
        <w:rPr>
          <w:b/>
          <w:bCs/>
          <w:lang w:val="fr-CH"/>
        </w:rPr>
        <w:t>approuve</w:t>
      </w:r>
      <w:r w:rsidRPr="00F15A55">
        <w:rPr>
          <w:lang w:val="fr-CH"/>
        </w:rPr>
        <w:t xml:space="preserve"> les plans opérationnels quadriennaux glissants de l'UIT-R, de l'UIT-T, de l'UIT-D et du Secrétariat général et </w:t>
      </w:r>
      <w:r w:rsidRPr="00F15A55">
        <w:rPr>
          <w:b/>
          <w:bCs/>
          <w:lang w:val="fr-CH"/>
        </w:rPr>
        <w:t>adopte</w:t>
      </w:r>
      <w:r w:rsidRPr="00F15A55">
        <w:rPr>
          <w:lang w:val="fr-CH"/>
        </w:rPr>
        <w:t xml:space="preserve"> la Résolution figurant dans le Document C18/32.</w:t>
      </w:r>
    </w:p>
    <w:p w:rsidR="002373F3" w:rsidRPr="00F15A55" w:rsidRDefault="002373F3" w:rsidP="00677BE7">
      <w:pPr>
        <w:pStyle w:val="Heading1"/>
        <w:rPr>
          <w:lang w:val="fr-CH"/>
        </w:rPr>
      </w:pPr>
      <w:r w:rsidRPr="00F15A55">
        <w:rPr>
          <w:lang w:val="fr-CH"/>
        </w:rPr>
        <w:lastRenderedPageBreak/>
        <w:t>4</w:t>
      </w:r>
      <w:r w:rsidRPr="00F15A55">
        <w:rPr>
          <w:lang w:val="fr-CH"/>
        </w:rPr>
        <w:tab/>
        <w:t xml:space="preserve">Journée mondiale des télécommunications et de la société de l'information (Document </w:t>
      </w:r>
      <w:hyperlink r:id="rId25" w:history="1">
        <w:r w:rsidRPr="00F15A55">
          <w:rPr>
            <w:rStyle w:val="Hyperlink"/>
            <w:lang w:val="fr-CH"/>
          </w:rPr>
          <w:t>C18/17</w:t>
        </w:r>
      </w:hyperlink>
      <w:r w:rsidRPr="00F15A55">
        <w:rPr>
          <w:lang w:val="fr-CH"/>
        </w:rPr>
        <w:t>)</w:t>
      </w:r>
    </w:p>
    <w:p w:rsidR="002373F3" w:rsidRPr="00F15A55" w:rsidRDefault="002373F3" w:rsidP="00677BE7">
      <w:pPr>
        <w:rPr>
          <w:lang w:val="fr-CH"/>
        </w:rPr>
      </w:pPr>
      <w:r w:rsidRPr="00F15A55">
        <w:rPr>
          <w:lang w:val="fr-CH"/>
        </w:rPr>
        <w:t>4.1</w:t>
      </w:r>
      <w:r w:rsidRPr="00F15A55">
        <w:rPr>
          <w:lang w:val="fr-CH"/>
        </w:rPr>
        <w:tab/>
        <w:t>La représentante du secrétariat présente le rapport du Secrétaire général sur la Journée mondiale des télécommunications et de la société de l'information figurant dans le Document</w:t>
      </w:r>
      <w:r w:rsidR="00677BE7" w:rsidRPr="00F15A55">
        <w:rPr>
          <w:lang w:val="fr-CH"/>
        </w:rPr>
        <w:t> </w:t>
      </w:r>
      <w:r w:rsidRPr="00F15A55">
        <w:rPr>
          <w:lang w:val="fr-CH"/>
        </w:rPr>
        <w:t>C18/17.</w:t>
      </w:r>
    </w:p>
    <w:p w:rsidR="002373F3" w:rsidRPr="00F15A55" w:rsidRDefault="002373F3" w:rsidP="002373F3">
      <w:pPr>
        <w:rPr>
          <w:lang w:val="fr-CH"/>
        </w:rPr>
      </w:pPr>
      <w:r w:rsidRPr="00F15A55">
        <w:rPr>
          <w:lang w:val="fr-CH"/>
        </w:rPr>
        <w:t>4.2</w:t>
      </w:r>
      <w:r w:rsidRPr="00F15A55">
        <w:rPr>
          <w:lang w:val="fr-CH"/>
        </w:rPr>
        <w:tab/>
        <w:t xml:space="preserve">Le Conseil </w:t>
      </w:r>
      <w:r w:rsidRPr="00F15A55">
        <w:rPr>
          <w:b/>
          <w:bCs/>
          <w:lang w:val="fr-CH"/>
        </w:rPr>
        <w:t>prend note</w:t>
      </w:r>
      <w:r w:rsidRPr="00F15A55">
        <w:rPr>
          <w:lang w:val="fr-CH"/>
        </w:rPr>
        <w:t xml:space="preserve"> de la célébration en 2018 de la Journée mondiale des télécommunications et de la société de l'information sur le thème "L'intelligence artificielle au service du bien social" et </w:t>
      </w:r>
      <w:r w:rsidRPr="00F15A55">
        <w:rPr>
          <w:b/>
          <w:bCs/>
          <w:lang w:val="fr-CH"/>
        </w:rPr>
        <w:t>approuve</w:t>
      </w:r>
      <w:r w:rsidRPr="00F15A55">
        <w:rPr>
          <w:lang w:val="fr-CH"/>
        </w:rPr>
        <w:t xml:space="preserve"> le thème "Réduire l'écart en matière de normalisation" pour la Journée mondiale des télécommunications et de la société de l'information en 2019.</w:t>
      </w:r>
    </w:p>
    <w:p w:rsidR="002373F3" w:rsidRPr="00F15A55" w:rsidRDefault="002373F3" w:rsidP="00677BE7">
      <w:pPr>
        <w:pStyle w:val="Heading1"/>
        <w:rPr>
          <w:lang w:val="fr-CH"/>
        </w:rPr>
      </w:pPr>
      <w:r w:rsidRPr="00F15A55">
        <w:rPr>
          <w:lang w:val="fr-CH"/>
        </w:rPr>
        <w:t>5</w:t>
      </w:r>
      <w:r w:rsidRPr="00F15A55">
        <w:rPr>
          <w:lang w:val="fr-CH"/>
        </w:rPr>
        <w:tab/>
        <w:t>Vente des publications de l'UIT et accès en ligne gratui</w:t>
      </w:r>
      <w:r w:rsidR="00FD3488">
        <w:rPr>
          <w:lang w:val="fr-CH"/>
        </w:rPr>
        <w:t>t à ces publications</w:t>
      </w:r>
    </w:p>
    <w:p w:rsidR="002373F3" w:rsidRPr="00F15A55" w:rsidRDefault="002373F3" w:rsidP="00677BE7">
      <w:pPr>
        <w:rPr>
          <w:lang w:val="fr-CH"/>
        </w:rPr>
      </w:pPr>
      <w:r w:rsidRPr="00F15A55">
        <w:rPr>
          <w:lang w:val="fr-CH"/>
        </w:rPr>
        <w:t>5.1</w:t>
      </w:r>
      <w:r w:rsidRPr="00F15A55">
        <w:rPr>
          <w:lang w:val="fr-CH"/>
        </w:rPr>
        <w:tab/>
        <w:t>Le Chef du Département de la gestion des ressources financières présente le rapport du Secrétaire général su</w:t>
      </w:r>
      <w:r w:rsidR="00677BE7" w:rsidRPr="00F15A55">
        <w:rPr>
          <w:lang w:val="fr-CH"/>
        </w:rPr>
        <w:t>r la vente des publications de l</w:t>
      </w:r>
      <w:r w:rsidRPr="00F15A55">
        <w:rPr>
          <w:lang w:val="fr-CH"/>
        </w:rPr>
        <w:t xml:space="preserve">'UIT et l'accès en ligne gratuit à ces publications figurant dans le Document C18/21. L'accès en ligne gratuit aux publications de l'UIT a été considérablement élargi et concerne désormais également les bases de données sur les statistiques et les indicateurs, qui sont accessibles gratuitement; grâce à la parution </w:t>
      </w:r>
      <w:r w:rsidR="00677BE7" w:rsidRPr="00F15A55">
        <w:rPr>
          <w:lang w:val="fr-CH"/>
        </w:rPr>
        <w:t xml:space="preserve">en 2017 </w:t>
      </w:r>
      <w:r w:rsidRPr="00F15A55">
        <w:rPr>
          <w:lang w:val="fr-CH"/>
        </w:rPr>
        <w:t>de nouvelles éditions de documents importants relatifs au service maritime, les recettes des ventes ont atteint 19,5 millions CHF. Il est proposé de faire figurer</w:t>
      </w:r>
      <w:r w:rsidR="00677BE7" w:rsidRPr="00F15A55">
        <w:rPr>
          <w:lang w:val="fr-CH"/>
        </w:rPr>
        <w:t>,</w:t>
      </w:r>
      <w:r w:rsidRPr="00F15A55">
        <w:rPr>
          <w:lang w:val="fr-CH"/>
        </w:rPr>
        <w:t xml:space="preserve"> à l'avenir</w:t>
      </w:r>
      <w:r w:rsidR="00677BE7" w:rsidRPr="00F15A55">
        <w:rPr>
          <w:lang w:val="fr-CH"/>
        </w:rPr>
        <w:t>, ces informations dans le r</w:t>
      </w:r>
      <w:r w:rsidRPr="00F15A55">
        <w:rPr>
          <w:lang w:val="fr-CH"/>
        </w:rPr>
        <w:t>apport annuel sur l'activité de l'Union (Document 35), afin qu'il ne soit plus nécessaire d'élaborer un rapport séparé.</w:t>
      </w:r>
    </w:p>
    <w:p w:rsidR="002373F3" w:rsidRPr="00F15A55" w:rsidRDefault="002373F3" w:rsidP="00677BE7">
      <w:pPr>
        <w:rPr>
          <w:lang w:val="fr-CH"/>
        </w:rPr>
      </w:pPr>
      <w:r w:rsidRPr="00F15A55">
        <w:rPr>
          <w:lang w:val="fr-CH"/>
        </w:rPr>
        <w:t>5.2</w:t>
      </w:r>
      <w:r w:rsidRPr="00F15A55">
        <w:rPr>
          <w:lang w:val="fr-CH"/>
        </w:rPr>
        <w:tab/>
        <w:t>Les conseillers prennent note avec satisfaction de l'élargissement de l'accès en ligne gratuit aux publications et de son absence de répercussions financières</w:t>
      </w:r>
      <w:r w:rsidR="00677BE7" w:rsidRPr="00F15A55">
        <w:rPr>
          <w:lang w:val="fr-CH"/>
        </w:rPr>
        <w:t>,</w:t>
      </w:r>
      <w:r w:rsidRPr="00F15A55">
        <w:rPr>
          <w:lang w:val="fr-CH"/>
        </w:rPr>
        <w:t xml:space="preserve"> et un conseiller évoque la possibilité d'insérer des filigranes dans les nouvelles publications relatives au service maritime afin d'empêcher les copies illicites; de </w:t>
      </w:r>
      <w:r w:rsidR="00677BE7" w:rsidRPr="00F15A55">
        <w:rPr>
          <w:lang w:val="fr-CH"/>
        </w:rPr>
        <w:t xml:space="preserve">telles </w:t>
      </w:r>
      <w:r w:rsidRPr="00F15A55">
        <w:rPr>
          <w:lang w:val="fr-CH"/>
        </w:rPr>
        <w:t>mesures peu</w:t>
      </w:r>
      <w:r w:rsidR="00677BE7" w:rsidRPr="00F15A55">
        <w:rPr>
          <w:lang w:val="fr-CH"/>
        </w:rPr>
        <w:t>ven</w:t>
      </w:r>
      <w:r w:rsidRPr="00F15A55">
        <w:rPr>
          <w:lang w:val="fr-CH"/>
        </w:rPr>
        <w:t xml:space="preserve">t contribuer à accroître les recettes provenant des ventes. </w:t>
      </w:r>
    </w:p>
    <w:p w:rsidR="00677BE7" w:rsidRPr="00F15A55" w:rsidRDefault="002373F3" w:rsidP="00677BE7">
      <w:pPr>
        <w:rPr>
          <w:lang w:val="fr-CH"/>
        </w:rPr>
      </w:pPr>
      <w:r w:rsidRPr="00F15A55">
        <w:rPr>
          <w:lang w:val="fr-CH"/>
        </w:rPr>
        <w:t>5.3</w:t>
      </w:r>
      <w:r w:rsidRPr="00F15A55">
        <w:rPr>
          <w:lang w:val="fr-CH"/>
        </w:rPr>
        <w:tab/>
        <w:t xml:space="preserve">Le Conseil </w:t>
      </w:r>
      <w:r w:rsidRPr="00F15A55">
        <w:rPr>
          <w:b/>
          <w:bCs/>
          <w:lang w:val="fr-CH"/>
        </w:rPr>
        <w:t>prend note</w:t>
      </w:r>
      <w:r w:rsidRPr="00F15A55">
        <w:rPr>
          <w:lang w:val="fr-CH"/>
        </w:rPr>
        <w:t xml:space="preserve"> du Document C18/21.</w:t>
      </w:r>
    </w:p>
    <w:p w:rsidR="00480988" w:rsidRPr="00F15A55" w:rsidRDefault="002373F3" w:rsidP="00FD3488">
      <w:pPr>
        <w:tabs>
          <w:tab w:val="clear" w:pos="567"/>
          <w:tab w:val="clear" w:pos="1134"/>
          <w:tab w:val="clear" w:pos="1701"/>
          <w:tab w:val="clear" w:pos="2268"/>
          <w:tab w:val="clear" w:pos="2835"/>
          <w:tab w:val="center" w:pos="7230"/>
        </w:tabs>
        <w:spacing w:before="840"/>
        <w:rPr>
          <w:lang w:val="fr-CH"/>
        </w:rPr>
      </w:pPr>
      <w:r w:rsidRPr="00F15A55">
        <w:rPr>
          <w:lang w:val="fr-CH"/>
        </w:rPr>
        <w:t>Le Secrétaire général:</w:t>
      </w:r>
      <w:r w:rsidRPr="00F15A55">
        <w:rPr>
          <w:lang w:val="fr-CH"/>
        </w:rPr>
        <w:tab/>
        <w:t>Le Président:</w:t>
      </w:r>
      <w:r w:rsidR="00677BE7" w:rsidRPr="00F15A55">
        <w:rPr>
          <w:lang w:val="fr-CH"/>
        </w:rPr>
        <w:br/>
      </w:r>
      <w:r w:rsidRPr="00F15A55">
        <w:rPr>
          <w:lang w:val="fr-CH"/>
        </w:rPr>
        <w:t>H. ZHAO</w:t>
      </w:r>
      <w:r w:rsidRPr="00F15A55">
        <w:rPr>
          <w:lang w:val="fr-CH"/>
        </w:rPr>
        <w:tab/>
        <w:t>R. ISMAILOV</w:t>
      </w:r>
    </w:p>
    <w:sectPr w:rsidR="00480988" w:rsidRPr="00F15A55" w:rsidSect="005C3890">
      <w:headerReference w:type="even" r:id="rId26"/>
      <w:headerReference w:type="default" r:id="rId27"/>
      <w:footerReference w:type="even" r:id="rId28"/>
      <w:footerReference w:type="default" r:id="rId29"/>
      <w:footerReference w:type="first" r:id="rId30"/>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080" w:rsidRDefault="003A1080">
      <w:r>
        <w:separator/>
      </w:r>
    </w:p>
  </w:endnote>
  <w:endnote w:type="continuationSeparator" w:id="0">
    <w:p w:rsidR="003A1080" w:rsidRDefault="003A1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3D60A5">
    <w:pPr>
      <w:pStyle w:val="Footer"/>
    </w:pPr>
    <w:fldSimple w:instr=" FILENAME \p \* MERGEFORMAT ">
      <w:r w:rsidR="00B643B8">
        <w:t>P:\FRA\SG\CONSEIL\C18\100\104F.docx</w:t>
      </w:r>
    </w:fldSimple>
    <w:r w:rsidR="00732045">
      <w:tab/>
    </w:r>
    <w:r w:rsidR="002F1B76">
      <w:fldChar w:fldCharType="begin"/>
    </w:r>
    <w:r w:rsidR="00732045">
      <w:instrText xml:space="preserve"> savedate \@ dd.MM.yy </w:instrText>
    </w:r>
    <w:r w:rsidR="002F1B76">
      <w:fldChar w:fldCharType="separate"/>
    </w:r>
    <w:r w:rsidR="004A0E8C">
      <w:t>22.05.18</w:t>
    </w:r>
    <w:r w:rsidR="002F1B76">
      <w:fldChar w:fldCharType="end"/>
    </w:r>
    <w:r w:rsidR="00732045">
      <w:tab/>
    </w:r>
    <w:r w:rsidR="002F1B76">
      <w:fldChar w:fldCharType="begin"/>
    </w:r>
    <w:r w:rsidR="00732045">
      <w:instrText xml:space="preserve"> printdate \@ dd.MM.yy </w:instrText>
    </w:r>
    <w:r w:rsidR="002F1B76">
      <w:fldChar w:fldCharType="separate"/>
    </w:r>
    <w:r w:rsidR="00B643B8">
      <w:t>18.05.18</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4A0E8C" w:rsidRDefault="003D60A5" w:rsidP="002373F3">
    <w:pPr>
      <w:pStyle w:val="Footer"/>
      <w:rPr>
        <w:color w:val="D9D9D9" w:themeColor="background1" w:themeShade="D9"/>
      </w:rPr>
    </w:pPr>
    <w:r w:rsidRPr="004A0E8C">
      <w:rPr>
        <w:color w:val="D9D9D9" w:themeColor="background1" w:themeShade="D9"/>
      </w:rPr>
      <w:fldChar w:fldCharType="begin"/>
    </w:r>
    <w:r w:rsidRPr="004A0E8C">
      <w:rPr>
        <w:color w:val="D9D9D9" w:themeColor="background1" w:themeShade="D9"/>
      </w:rPr>
      <w:instrText xml:space="preserve"> FILENAME \p \* MERGEFORMAT </w:instrText>
    </w:r>
    <w:r w:rsidRPr="004A0E8C">
      <w:rPr>
        <w:color w:val="D9D9D9" w:themeColor="background1" w:themeShade="D9"/>
      </w:rPr>
      <w:fldChar w:fldCharType="separate"/>
    </w:r>
    <w:r w:rsidR="00B643B8" w:rsidRPr="004A0E8C">
      <w:rPr>
        <w:color w:val="D9D9D9" w:themeColor="background1" w:themeShade="D9"/>
      </w:rPr>
      <w:t>P:\FRA\SG\CONSEIL\C18\100\104F.docx</w:t>
    </w:r>
    <w:r w:rsidRPr="004A0E8C">
      <w:rPr>
        <w:color w:val="D9D9D9" w:themeColor="background1" w:themeShade="D9"/>
      </w:rPr>
      <w:fldChar w:fldCharType="end"/>
    </w:r>
    <w:r w:rsidR="002373F3" w:rsidRPr="004A0E8C">
      <w:rPr>
        <w:color w:val="D9D9D9" w:themeColor="background1" w:themeShade="D9"/>
      </w:rPr>
      <w:t xml:space="preserve"> (435435)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080" w:rsidRDefault="003A1080">
      <w:r>
        <w:t>____________________</w:t>
      </w:r>
    </w:p>
  </w:footnote>
  <w:footnote w:type="continuationSeparator" w:id="0">
    <w:p w:rsidR="003A1080" w:rsidRDefault="003A10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4A0E8C">
      <w:rPr>
        <w:noProof/>
      </w:rPr>
      <w:t>2</w:t>
    </w:r>
    <w:r>
      <w:rPr>
        <w:noProof/>
      </w:rPr>
      <w:fldChar w:fldCharType="end"/>
    </w:r>
  </w:p>
  <w:p w:rsidR="00732045" w:rsidRDefault="00732045" w:rsidP="00480988">
    <w:pPr>
      <w:pStyle w:val="Header"/>
    </w:pPr>
    <w:r>
      <w:t>C1</w:t>
    </w:r>
    <w:r w:rsidR="003C3FAE">
      <w:t>8</w:t>
    </w:r>
    <w:r>
      <w:t>/</w:t>
    </w:r>
    <w:r w:rsidR="00480988">
      <w:t>104</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080"/>
    <w:rsid w:val="000061EE"/>
    <w:rsid w:val="000D0D0A"/>
    <w:rsid w:val="00103163"/>
    <w:rsid w:val="00115D93"/>
    <w:rsid w:val="001247A8"/>
    <w:rsid w:val="001378C0"/>
    <w:rsid w:val="0018694A"/>
    <w:rsid w:val="001A3287"/>
    <w:rsid w:val="001A6508"/>
    <w:rsid w:val="001D4C31"/>
    <w:rsid w:val="001E4D21"/>
    <w:rsid w:val="00207CD1"/>
    <w:rsid w:val="0023294D"/>
    <w:rsid w:val="002373F3"/>
    <w:rsid w:val="002477A2"/>
    <w:rsid w:val="00263A51"/>
    <w:rsid w:val="00267E02"/>
    <w:rsid w:val="00277673"/>
    <w:rsid w:val="002A5D44"/>
    <w:rsid w:val="002E0BC4"/>
    <w:rsid w:val="002F1B76"/>
    <w:rsid w:val="0033568E"/>
    <w:rsid w:val="00355FF5"/>
    <w:rsid w:val="00361350"/>
    <w:rsid w:val="003A1080"/>
    <w:rsid w:val="003C3FAE"/>
    <w:rsid w:val="003D60A5"/>
    <w:rsid w:val="004038CB"/>
    <w:rsid w:val="0040546F"/>
    <w:rsid w:val="0042404A"/>
    <w:rsid w:val="0044618F"/>
    <w:rsid w:val="00454E22"/>
    <w:rsid w:val="0046769A"/>
    <w:rsid w:val="00475FB3"/>
    <w:rsid w:val="00480988"/>
    <w:rsid w:val="004A0E8C"/>
    <w:rsid w:val="004C37A9"/>
    <w:rsid w:val="004F259E"/>
    <w:rsid w:val="00511F1D"/>
    <w:rsid w:val="00520F36"/>
    <w:rsid w:val="00540615"/>
    <w:rsid w:val="00540A6D"/>
    <w:rsid w:val="00571EEA"/>
    <w:rsid w:val="00575417"/>
    <w:rsid w:val="005768E1"/>
    <w:rsid w:val="005A2135"/>
    <w:rsid w:val="005B1938"/>
    <w:rsid w:val="005C3890"/>
    <w:rsid w:val="005F7BFE"/>
    <w:rsid w:val="00600017"/>
    <w:rsid w:val="006112A2"/>
    <w:rsid w:val="006235CA"/>
    <w:rsid w:val="006643AB"/>
    <w:rsid w:val="00677BE7"/>
    <w:rsid w:val="007210CD"/>
    <w:rsid w:val="00732045"/>
    <w:rsid w:val="007369DB"/>
    <w:rsid w:val="007956C2"/>
    <w:rsid w:val="007A187E"/>
    <w:rsid w:val="007B4CE3"/>
    <w:rsid w:val="007C72C2"/>
    <w:rsid w:val="007D4436"/>
    <w:rsid w:val="007F257A"/>
    <w:rsid w:val="007F3665"/>
    <w:rsid w:val="00800037"/>
    <w:rsid w:val="00861D73"/>
    <w:rsid w:val="008835E2"/>
    <w:rsid w:val="008A4E87"/>
    <w:rsid w:val="008D76E6"/>
    <w:rsid w:val="0092392D"/>
    <w:rsid w:val="0093234A"/>
    <w:rsid w:val="009C307F"/>
    <w:rsid w:val="00A2113E"/>
    <w:rsid w:val="00A23A51"/>
    <w:rsid w:val="00A24607"/>
    <w:rsid w:val="00A25CD3"/>
    <w:rsid w:val="00A82767"/>
    <w:rsid w:val="00AA332F"/>
    <w:rsid w:val="00AA7BBB"/>
    <w:rsid w:val="00AB64A8"/>
    <w:rsid w:val="00AC0266"/>
    <w:rsid w:val="00AD24EC"/>
    <w:rsid w:val="00B309F9"/>
    <w:rsid w:val="00B32B60"/>
    <w:rsid w:val="00B61619"/>
    <w:rsid w:val="00B643B8"/>
    <w:rsid w:val="00BB4545"/>
    <w:rsid w:val="00BD5873"/>
    <w:rsid w:val="00C04BE3"/>
    <w:rsid w:val="00C25D29"/>
    <w:rsid w:val="00C27A7C"/>
    <w:rsid w:val="00CA08ED"/>
    <w:rsid w:val="00CF183B"/>
    <w:rsid w:val="00D375CD"/>
    <w:rsid w:val="00D553A2"/>
    <w:rsid w:val="00D774D3"/>
    <w:rsid w:val="00D904E8"/>
    <w:rsid w:val="00DA08C3"/>
    <w:rsid w:val="00DB5A3E"/>
    <w:rsid w:val="00DC22AA"/>
    <w:rsid w:val="00DF74DD"/>
    <w:rsid w:val="00E25AD0"/>
    <w:rsid w:val="00EB6350"/>
    <w:rsid w:val="00F15A55"/>
    <w:rsid w:val="00F15B57"/>
    <w:rsid w:val="00F427DB"/>
    <w:rsid w:val="00FA5EB1"/>
    <w:rsid w:val="00FA7439"/>
    <w:rsid w:val="00FB464F"/>
    <w:rsid w:val="00FC4EC0"/>
    <w:rsid w:val="00FD3488"/>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32E209F-9B45-4DFD-9077-B14F4155D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8-CL-C-0012/en" TargetMode="External"/><Relationship Id="rId13" Type="http://schemas.openxmlformats.org/officeDocument/2006/relationships/hyperlink" Target="https://www.itu.int/md/S18-CL-C-0031/en" TargetMode="External"/><Relationship Id="rId18" Type="http://schemas.openxmlformats.org/officeDocument/2006/relationships/hyperlink" Target="https://www.itu.int/md/S18-CL-C-0012/en"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s://www.itu.int/md/S18-CL-C-0029/en" TargetMode="External"/><Relationship Id="rId7" Type="http://schemas.openxmlformats.org/officeDocument/2006/relationships/hyperlink" Target="https://www.itu.int/md/S18-CL-C-0019/en" TargetMode="External"/><Relationship Id="rId12" Type="http://schemas.openxmlformats.org/officeDocument/2006/relationships/hyperlink" Target="https://www.itu.int/md/S18-CL-C-0030/en" TargetMode="External"/><Relationship Id="rId17" Type="http://schemas.openxmlformats.org/officeDocument/2006/relationships/hyperlink" Target="https://www.itu.int/md/S18-CL-C-0019/en" TargetMode="External"/><Relationship Id="rId25" Type="http://schemas.openxmlformats.org/officeDocument/2006/relationships/hyperlink" Target="https://www.itu.int/md/S18-CL-C-0017/en" TargetMode="External"/><Relationship Id="rId2" Type="http://schemas.openxmlformats.org/officeDocument/2006/relationships/settings" Target="settings.xml"/><Relationship Id="rId16" Type="http://schemas.openxmlformats.org/officeDocument/2006/relationships/hyperlink" Target="https://www.itu.int/md/S18-CL-C-0021/en" TargetMode="External"/><Relationship Id="rId20" Type="http://schemas.openxmlformats.org/officeDocument/2006/relationships/hyperlink" Target="https://www.itu.int/md/S18-CL-C-0028/en" TargetMode="External"/><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S18-CL-C-0029/en" TargetMode="External"/><Relationship Id="rId24" Type="http://schemas.openxmlformats.org/officeDocument/2006/relationships/hyperlink" Target="https://www.itu.int/md/S18-CL-C-0032/en"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itu.int/md/S18-CL-C-0017/en" TargetMode="External"/><Relationship Id="rId23" Type="http://schemas.openxmlformats.org/officeDocument/2006/relationships/hyperlink" Target="https://www.itu.int/md/S18-CL-C-0031/en" TargetMode="External"/><Relationship Id="rId28" Type="http://schemas.openxmlformats.org/officeDocument/2006/relationships/footer" Target="footer1.xml"/><Relationship Id="rId10" Type="http://schemas.openxmlformats.org/officeDocument/2006/relationships/hyperlink" Target="https://www.itu.int/md/S18-CL-C-0028/en" TargetMode="External"/><Relationship Id="rId19" Type="http://schemas.openxmlformats.org/officeDocument/2006/relationships/hyperlink" Target="https://www.itu.int/md/S18-CL-C-0014/en"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itu.int/md/S18-CL-C-0014/en" TargetMode="External"/><Relationship Id="rId14" Type="http://schemas.openxmlformats.org/officeDocument/2006/relationships/hyperlink" Target="https://www.itu.int/md/S18-CL-C-0032/en" TargetMode="External"/><Relationship Id="rId22" Type="http://schemas.openxmlformats.org/officeDocument/2006/relationships/hyperlink" Target="https://www.itu.int/md/S18-CL-C-0030/en" TargetMode="External"/><Relationship Id="rId27" Type="http://schemas.openxmlformats.org/officeDocument/2006/relationships/header" Target="header2.xml"/><Relationship Id="rId30"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PF_C18.dotx</Template>
  <TotalTime>0</TotalTime>
  <Pages>5</Pages>
  <Words>2064</Words>
  <Characters>12735</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14770</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 rendu de la première séance plénière</dc:title>
  <dc:subject>Conseil 2018</dc:subject>
  <dc:creator>Gozel, Elsa</dc:creator>
  <cp:keywords>C2018, C18</cp:keywords>
  <dc:description/>
  <cp:lastModifiedBy>Brouard, Ricarda</cp:lastModifiedBy>
  <cp:revision>2</cp:revision>
  <cp:lastPrinted>2018-05-18T09:09:00Z</cp:lastPrinted>
  <dcterms:created xsi:type="dcterms:W3CDTF">2018-05-22T08:51:00Z</dcterms:created>
  <dcterms:modified xsi:type="dcterms:W3CDTF">2018-05-22T08:51:00Z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