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623AE3">
            <w:pPr>
              <w:spacing w:before="360" w:after="48" w:line="240" w:lineRule="atLeast"/>
              <w:rPr>
                <w:position w:val="6"/>
              </w:rPr>
            </w:pPr>
            <w:bookmarkStart w:id="0" w:name="dc06"/>
            <w:bookmarkEnd w:id="0"/>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91791B" w:rsidP="00464B6C">
            <w:pPr>
              <w:tabs>
                <w:tab w:val="left" w:pos="851"/>
              </w:tabs>
              <w:spacing w:line="240" w:lineRule="atLeast"/>
              <w:rPr>
                <w:b/>
              </w:rPr>
            </w:pPr>
            <w:bookmarkStart w:id="2" w:name="dmeeting" w:colFirst="0" w:colLast="0"/>
            <w:bookmarkStart w:id="3" w:name="dnum" w:colFirst="1" w:colLast="1"/>
            <w:r>
              <w:rPr>
                <w:b/>
              </w:rPr>
              <w:t>Agenda item: PL 3.3</w:t>
            </w:r>
          </w:p>
        </w:tc>
        <w:tc>
          <w:tcPr>
            <w:tcW w:w="3120" w:type="dxa"/>
          </w:tcPr>
          <w:p w:rsidR="002A2188" w:rsidRPr="00E85629" w:rsidRDefault="002A2188" w:rsidP="00623AE3">
            <w:pPr>
              <w:tabs>
                <w:tab w:val="left" w:pos="851"/>
              </w:tabs>
              <w:spacing w:before="0" w:line="240" w:lineRule="atLeast"/>
              <w:rPr>
                <w:b/>
              </w:rPr>
            </w:pPr>
            <w:r>
              <w:rPr>
                <w:b/>
              </w:rPr>
              <w:t>Document C1</w:t>
            </w:r>
            <w:r w:rsidR="00623AE3">
              <w:rPr>
                <w:b/>
              </w:rPr>
              <w:t>8</w:t>
            </w:r>
            <w:r w:rsidR="0091791B">
              <w:rPr>
                <w:b/>
              </w:rPr>
              <w:t>/99</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91791B" w:rsidP="00623AE3">
            <w:pPr>
              <w:tabs>
                <w:tab w:val="left" w:pos="993"/>
              </w:tabs>
              <w:spacing w:before="0"/>
              <w:rPr>
                <w:b/>
              </w:rPr>
            </w:pPr>
            <w:r>
              <w:rPr>
                <w:b/>
              </w:rPr>
              <w:t>5 April</w:t>
            </w:r>
            <w:r w:rsidR="002A2188">
              <w:rPr>
                <w:b/>
              </w:rPr>
              <w:t xml:space="preserve"> 201</w:t>
            </w:r>
            <w:r w:rsidR="00623AE3">
              <w:rPr>
                <w:b/>
              </w:rPr>
              <w:t>8</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 xml:space="preserve">Original: </w:t>
            </w:r>
            <w:r w:rsidR="0091791B">
              <w:rPr>
                <w:b/>
              </w:rPr>
              <w:t>Spanish</w:t>
            </w:r>
          </w:p>
        </w:tc>
      </w:tr>
      <w:tr w:rsidR="002A2188" w:rsidRPr="00813E5E" w:rsidTr="00464B6C">
        <w:trPr>
          <w:cantSplit/>
        </w:trPr>
        <w:tc>
          <w:tcPr>
            <w:tcW w:w="10031" w:type="dxa"/>
            <w:gridSpan w:val="2"/>
          </w:tcPr>
          <w:p w:rsidR="002A2188" w:rsidRPr="00813E5E" w:rsidRDefault="0091791B" w:rsidP="00464B6C">
            <w:pPr>
              <w:pStyle w:val="Source"/>
            </w:pPr>
            <w:bookmarkStart w:id="6" w:name="dsource" w:colFirst="0" w:colLast="0"/>
            <w:bookmarkEnd w:id="5"/>
            <w:r w:rsidRPr="00E355E2">
              <w:rPr>
                <w:lang w:val="en-US"/>
              </w:rPr>
              <w:t>Note by the Secretary-General</w:t>
            </w:r>
          </w:p>
        </w:tc>
      </w:tr>
      <w:tr w:rsidR="002A2188" w:rsidRPr="00813E5E" w:rsidTr="00464B6C">
        <w:trPr>
          <w:cantSplit/>
        </w:trPr>
        <w:tc>
          <w:tcPr>
            <w:tcW w:w="10031" w:type="dxa"/>
            <w:gridSpan w:val="2"/>
          </w:tcPr>
          <w:p w:rsidR="002A2188" w:rsidRPr="00813E5E" w:rsidRDefault="000F74E8" w:rsidP="00464B6C">
            <w:pPr>
              <w:pStyle w:val="Title1"/>
            </w:pPr>
            <w:bookmarkStart w:id="7" w:name="dtitle1" w:colFirst="0" w:colLast="0"/>
            <w:bookmarkEnd w:id="6"/>
            <w:r>
              <w:t>Contribution from mexico</w:t>
            </w:r>
          </w:p>
        </w:tc>
      </w:tr>
      <w:tr w:rsidR="000F74E8" w:rsidRPr="00813E5E" w:rsidTr="00464B6C">
        <w:trPr>
          <w:cantSplit/>
        </w:trPr>
        <w:tc>
          <w:tcPr>
            <w:tcW w:w="10031" w:type="dxa"/>
            <w:gridSpan w:val="2"/>
          </w:tcPr>
          <w:p w:rsidR="000F74E8" w:rsidRPr="00813E5E" w:rsidRDefault="00EC23B1" w:rsidP="0077410E">
            <w:pPr>
              <w:pStyle w:val="Title2"/>
            </w:pPr>
            <w:r>
              <w:t xml:space="preserve">review of the </w:t>
            </w:r>
            <w:r w:rsidR="0086227D">
              <w:t>regional presence</w:t>
            </w:r>
            <w:r>
              <w:t xml:space="preserve"> of the</w:t>
            </w:r>
            <w:r w:rsidR="0077410E">
              <w:br/>
            </w:r>
            <w:r>
              <w:t xml:space="preserve"> international telecommunication union</w:t>
            </w:r>
          </w:p>
        </w:tc>
      </w:tr>
      <w:bookmarkEnd w:id="7"/>
    </w:tbl>
    <w:p w:rsidR="002A2188" w:rsidRDefault="002A2188" w:rsidP="002A2188"/>
    <w:p w:rsidR="00CD0665" w:rsidRPr="00E355E2" w:rsidRDefault="00CD0665" w:rsidP="00CD0665">
      <w:pPr>
        <w:rPr>
          <w:lang w:val="en-US"/>
        </w:rPr>
      </w:pPr>
      <w:bookmarkStart w:id="8" w:name="lt_pId012"/>
      <w:r w:rsidRPr="00E355E2">
        <w:rPr>
          <w:lang w:val="en-US"/>
        </w:rPr>
        <w:t xml:space="preserve">I have the honour to transmit to the Member States of the Council a contribution submitted by </w:t>
      </w:r>
      <w:r>
        <w:rPr>
          <w:b/>
          <w:bCs/>
          <w:lang w:val="en-US"/>
        </w:rPr>
        <w:t>Mexico</w:t>
      </w:r>
      <w:r w:rsidRPr="00E355E2">
        <w:rPr>
          <w:lang w:val="en-US"/>
        </w:rPr>
        <w:t>.</w:t>
      </w:r>
      <w:bookmarkEnd w:id="8"/>
    </w:p>
    <w:p w:rsidR="00CD0665" w:rsidRPr="00E355E2" w:rsidRDefault="00CD0665" w:rsidP="00CD0665">
      <w:pPr>
        <w:rPr>
          <w:lang w:val="en-US"/>
        </w:rPr>
      </w:pPr>
    </w:p>
    <w:p w:rsidR="00CD0665" w:rsidRPr="00E355E2" w:rsidRDefault="00CD0665" w:rsidP="00CD0665">
      <w:pPr>
        <w:rPr>
          <w:lang w:val="en-US"/>
        </w:rPr>
      </w:pPr>
    </w:p>
    <w:p w:rsidR="00CD0665" w:rsidRPr="00E355E2" w:rsidRDefault="00CD0665" w:rsidP="00CD0665">
      <w:pPr>
        <w:tabs>
          <w:tab w:val="clear" w:pos="567"/>
          <w:tab w:val="clear" w:pos="1134"/>
          <w:tab w:val="clear" w:pos="1701"/>
          <w:tab w:val="clear" w:pos="2268"/>
          <w:tab w:val="clear" w:pos="2835"/>
          <w:tab w:val="center" w:pos="7088"/>
        </w:tabs>
        <w:rPr>
          <w:lang w:val="en-US"/>
        </w:rPr>
      </w:pPr>
      <w:r w:rsidRPr="00E355E2">
        <w:rPr>
          <w:lang w:val="en-US"/>
        </w:rPr>
        <w:tab/>
        <w:t>Houlin ZHAO</w:t>
      </w:r>
      <w:r w:rsidRPr="00E355E2">
        <w:rPr>
          <w:lang w:val="en-US"/>
        </w:rPr>
        <w:br/>
      </w:r>
      <w:r w:rsidRPr="00E355E2">
        <w:rPr>
          <w:lang w:val="en-US"/>
        </w:rPr>
        <w:tab/>
        <w:t>Secretary-General</w:t>
      </w:r>
    </w:p>
    <w:p w:rsidR="007B7D5C" w:rsidRDefault="007B7D5C">
      <w:pPr>
        <w:tabs>
          <w:tab w:val="clear" w:pos="567"/>
          <w:tab w:val="clear" w:pos="1134"/>
          <w:tab w:val="clear" w:pos="1701"/>
          <w:tab w:val="clear" w:pos="2268"/>
          <w:tab w:val="clear" w:pos="2835"/>
        </w:tabs>
        <w:overflowPunct/>
        <w:autoSpaceDE/>
        <w:autoSpaceDN/>
        <w:adjustRightInd/>
        <w:spacing w:before="0"/>
        <w:textAlignment w:val="auto"/>
      </w:pPr>
      <w:r>
        <w:br w:type="page"/>
      </w:r>
    </w:p>
    <w:p w:rsidR="0086227D" w:rsidRDefault="007B7D5C" w:rsidP="00183878">
      <w:pPr>
        <w:pStyle w:val="Title1"/>
      </w:pPr>
      <w:r>
        <w:t>CONTRIBUTION FROM MEXICO</w:t>
      </w:r>
    </w:p>
    <w:p w:rsidR="007B7D5C" w:rsidRDefault="00EC23B1" w:rsidP="00183878">
      <w:pPr>
        <w:pStyle w:val="Title2"/>
      </w:pPr>
      <w:r>
        <w:t>REVIEW OF THE</w:t>
      </w:r>
      <w:r w:rsidR="007B7D5C">
        <w:t xml:space="preserve"> REGIONAL PRESENCE</w:t>
      </w:r>
      <w:r>
        <w:t xml:space="preserve"> OF THE INTERNATIONAL TELECOMMUNICATION UNION</w:t>
      </w:r>
    </w:p>
    <w:p w:rsidR="007B7D5C" w:rsidRDefault="007B7D5C" w:rsidP="00183878">
      <w:pPr>
        <w:pStyle w:val="Headingb"/>
      </w:pPr>
      <w:r>
        <w:t>Summary</w:t>
      </w:r>
    </w:p>
    <w:p w:rsidR="007B7D5C" w:rsidRDefault="007B7D5C" w:rsidP="007B7D5C">
      <w:r w:rsidRPr="00183878">
        <w:t>Review of the existing regional presence of the International Telecommunication Union (ITU) further to implementation of the recommendations of the Joint Inspection Unit of the United</w:t>
      </w:r>
      <w:r>
        <w:t xml:space="preserve"> Nations system regarding the “Effectiveness of the ITU </w:t>
      </w:r>
      <w:r w:rsidR="00962471">
        <w:t>Regional P</w:t>
      </w:r>
      <w:r>
        <w:t>resence”.</w:t>
      </w:r>
    </w:p>
    <w:p w:rsidR="007B0893" w:rsidRDefault="007B0893" w:rsidP="00183878">
      <w:pPr>
        <w:pStyle w:val="Headingb"/>
      </w:pPr>
      <w:r>
        <w:t>Action required</w:t>
      </w:r>
    </w:p>
    <w:p w:rsidR="007B0893" w:rsidRDefault="007B0893" w:rsidP="00962471">
      <w:r>
        <w:t>Request the ITU Secretary-General to include in his report on the implementation of Resolution 25 (Rev. Busan 2014) “Strengthening the regional presence” an analysis</w:t>
      </w:r>
      <w:r w:rsidR="00962471">
        <w:t xml:space="preserve"> of those</w:t>
      </w:r>
      <w:r>
        <w:t xml:space="preserve"> recommendations of the Joint Inspection Unit of the United Nations system </w:t>
      </w:r>
      <w:r w:rsidR="00962471">
        <w:t>regarding</w:t>
      </w:r>
      <w:r>
        <w:t xml:space="preserve"> the “Effectiveness of the ITU</w:t>
      </w:r>
      <w:r w:rsidR="00832488">
        <w:t xml:space="preserve"> </w:t>
      </w:r>
      <w:r w:rsidR="00962471">
        <w:t>Regional P</w:t>
      </w:r>
      <w:r>
        <w:t>resence” that have been implemented, and to analyse the possibility of implementing the remaining recommendations through a set work plan.</w:t>
      </w:r>
    </w:p>
    <w:p w:rsidR="007B0893" w:rsidRPr="007B0893" w:rsidRDefault="007B0893" w:rsidP="00D81514">
      <w:r>
        <w:t xml:space="preserve">In addition, the Council is requested to include this information in the report it is to submit to the plenipotentiary conference, and to study whether or not it would be appropriate to set up a working group </w:t>
      </w:r>
      <w:r w:rsidR="008A4E06">
        <w:t xml:space="preserve">on strengthening and </w:t>
      </w:r>
      <w:r w:rsidR="00D81514">
        <w:t>improving</w:t>
      </w:r>
      <w:r w:rsidR="008A4E06">
        <w:t xml:space="preserve"> ITU’s regional presence.</w:t>
      </w:r>
    </w:p>
    <w:p w:rsidR="00BE0940" w:rsidRDefault="00BE0940">
      <w:pPr>
        <w:tabs>
          <w:tab w:val="clear" w:pos="567"/>
          <w:tab w:val="clear" w:pos="1134"/>
          <w:tab w:val="clear" w:pos="1701"/>
          <w:tab w:val="clear" w:pos="2268"/>
          <w:tab w:val="clear" w:pos="2835"/>
        </w:tabs>
        <w:overflowPunct/>
        <w:autoSpaceDE/>
        <w:autoSpaceDN/>
        <w:adjustRightInd/>
        <w:spacing w:before="0"/>
        <w:textAlignment w:val="auto"/>
      </w:pPr>
      <w:bookmarkStart w:id="9" w:name="dstart"/>
      <w:bookmarkStart w:id="10" w:name="dbreak"/>
      <w:bookmarkEnd w:id="9"/>
      <w:bookmarkEnd w:id="10"/>
      <w:r>
        <w:br w:type="page"/>
      </w:r>
    </w:p>
    <w:p w:rsidR="00BE0940" w:rsidRPr="00BE0940" w:rsidRDefault="00BE0940" w:rsidP="00183878">
      <w:pPr>
        <w:pStyle w:val="Title1"/>
      </w:pPr>
      <w:bookmarkStart w:id="11" w:name="lt_pId024"/>
      <w:r w:rsidRPr="00BE0940">
        <w:lastRenderedPageBreak/>
        <w:t>REVIEW OF THE REGIONAL PRESENCE OF THE INTERNATIONAL TELECOMMUNICATION UNION</w:t>
      </w:r>
      <w:r w:rsidR="00183878">
        <w:t xml:space="preserve"> </w:t>
      </w:r>
      <w:r w:rsidRPr="00BE0940">
        <w:t>IN THE AMERICAS REGION</w:t>
      </w:r>
      <w:bookmarkEnd w:id="11"/>
    </w:p>
    <w:p w:rsidR="00BE0940" w:rsidRPr="00E059CF" w:rsidRDefault="00BE0940" w:rsidP="00183878">
      <w:pPr>
        <w:pStyle w:val="Headingb"/>
      </w:pPr>
      <w:bookmarkStart w:id="12" w:name="lt_pId025"/>
      <w:r w:rsidRPr="00E059CF">
        <w:t>Introduc</w:t>
      </w:r>
      <w:bookmarkEnd w:id="12"/>
      <w:r w:rsidRPr="00E059CF">
        <w:t>tion</w:t>
      </w:r>
    </w:p>
    <w:p w:rsidR="00BE0940" w:rsidRPr="004819F2" w:rsidRDefault="00BE0940" w:rsidP="00183878">
      <w:bookmarkStart w:id="13" w:name="lt_pId026"/>
      <w:r w:rsidRPr="004819F2">
        <w:t>Resolution 25 (Rev. Antalya, 2006) of the ITU Plenipotent</w:t>
      </w:r>
      <w:r w:rsidR="0022141A">
        <w:t xml:space="preserve">iary Conference instructed the </w:t>
      </w:r>
      <w:r w:rsidR="00101235" w:rsidRPr="004819F2">
        <w:t xml:space="preserve">Secretary-General of ITU to request the United Nations Joint Inspection Unit </w:t>
      </w:r>
      <w:r w:rsidR="009F3B02" w:rsidRPr="004819F2">
        <w:t xml:space="preserve">(JIU) </w:t>
      </w:r>
      <w:r w:rsidR="00101235" w:rsidRPr="004819F2">
        <w:t>to evaluate the effectiveness of the ITU regional presence</w:t>
      </w:r>
      <w:bookmarkStart w:id="14" w:name="lt_pId027"/>
      <w:bookmarkEnd w:id="13"/>
      <w:r w:rsidR="00101235" w:rsidRPr="004819F2">
        <w:t>.</w:t>
      </w:r>
      <w:r w:rsidR="00101235" w:rsidRPr="00101235">
        <w:t xml:space="preserve"> </w:t>
      </w:r>
      <w:r w:rsidR="00863447" w:rsidRPr="004819F2">
        <w:t>Council-09 was presented with the JIU report entitled “Effectiv</w:t>
      </w:r>
      <w:r w:rsidR="004819F2">
        <w:t>eness of the ITU Regional Presen</w:t>
      </w:r>
      <w:r w:rsidR="00863447" w:rsidRPr="004819F2">
        <w:t>ce” (Document C09/55</w:t>
      </w:r>
      <w:r w:rsidR="004819F2">
        <w:t>)</w:t>
      </w:r>
      <w:r w:rsidR="00863447" w:rsidRPr="004819F2">
        <w:t>, containing a full analysis of the ITU regional offices and making recommendations to improve the eff</w:t>
      </w:r>
      <w:r w:rsidR="004819F2" w:rsidRPr="004819F2">
        <w:t xml:space="preserve">ectiveness of those offices by strengthening the Union’s presence and optimizing the resources available to them. </w:t>
      </w:r>
      <w:bookmarkEnd w:id="14"/>
    </w:p>
    <w:p w:rsidR="00BE0940" w:rsidRPr="0022141A" w:rsidRDefault="004819F2" w:rsidP="00183878">
      <w:bookmarkStart w:id="15" w:name="lt_pId028"/>
      <w:r w:rsidRPr="004819F2">
        <w:t>Subsequently</w:t>
      </w:r>
      <w:r w:rsidR="00BE0940" w:rsidRPr="004819F2">
        <w:t xml:space="preserve">, </w:t>
      </w:r>
      <w:r w:rsidRPr="004819F2">
        <w:t>Resoluti</w:t>
      </w:r>
      <w:r w:rsidR="00105E0A">
        <w:t>on</w:t>
      </w:r>
      <w:r w:rsidRPr="004819F2">
        <w:t xml:space="preserve"> 25 (Rev. Busa</w:t>
      </w:r>
      <w:r w:rsidR="00BE0940" w:rsidRPr="004819F2">
        <w:t>n, 2014)</w:t>
      </w:r>
      <w:r w:rsidRPr="004819F2">
        <w:t xml:space="preserve"> “Strengthening the regional </w:t>
      </w:r>
      <w:proofErr w:type="gramStart"/>
      <w:r w:rsidRPr="004819F2">
        <w:t>presence</w:t>
      </w:r>
      <w:proofErr w:type="gramEnd"/>
      <w:r w:rsidRPr="004819F2">
        <w:t>” instruct</w:t>
      </w:r>
      <w:r w:rsidR="0022141A">
        <w:t>ed</w:t>
      </w:r>
      <w:r w:rsidR="00105E0A">
        <w:t xml:space="preserve"> </w:t>
      </w:r>
      <w:r w:rsidR="00105E0A" w:rsidRPr="0022141A">
        <w:t>th</w:t>
      </w:r>
      <w:r w:rsidRPr="0022141A">
        <w:t>e Secretary-</w:t>
      </w:r>
      <w:r w:rsidR="00BE0940" w:rsidRPr="0022141A">
        <w:t xml:space="preserve">General </w:t>
      </w:r>
      <w:r w:rsidRPr="0022141A">
        <w:t>to submit each year to the Council a report on the resolution’s implementation, and thus</w:t>
      </w:r>
      <w:r w:rsidR="0022141A" w:rsidRPr="0022141A">
        <w:t xml:space="preserve"> </w:t>
      </w:r>
      <w:r w:rsidR="00B553DA">
        <w:t xml:space="preserve">to </w:t>
      </w:r>
      <w:r w:rsidR="0022141A" w:rsidRPr="0022141A">
        <w:t>report</w:t>
      </w:r>
      <w:r w:rsidRPr="0022141A">
        <w:t xml:space="preserve"> to Council-18</w:t>
      </w:r>
      <w:r w:rsidR="00BE0940" w:rsidRPr="0022141A">
        <w:t>.</w:t>
      </w:r>
      <w:bookmarkEnd w:id="15"/>
    </w:p>
    <w:p w:rsidR="00BE0940" w:rsidRDefault="000D280D" w:rsidP="00183878">
      <w:r w:rsidRPr="0022141A">
        <w:t xml:space="preserve">In view of the foregoing, the Administration of Mexico is presenting a compilation of the recommendations issued by JIU in its report “Effectiveness of the ITU Regional Presence” in </w:t>
      </w:r>
      <w:r w:rsidR="0022141A">
        <w:t xml:space="preserve">respect of </w:t>
      </w:r>
      <w:r w:rsidRPr="0022141A">
        <w:t>the Americas region, and is putting forward for the Council’s consideration various measures that</w:t>
      </w:r>
      <w:r>
        <w:t xml:space="preserve"> provide additional information on the progress made in implementing the recommendations.</w:t>
      </w:r>
    </w:p>
    <w:p w:rsidR="00BE0940" w:rsidRPr="000D280D" w:rsidRDefault="00BE0940" w:rsidP="0022141A">
      <w:pPr>
        <w:pStyle w:val="Heading2"/>
      </w:pPr>
      <w:bookmarkStart w:id="16" w:name="lt_pId030"/>
      <w:r w:rsidRPr="000D280D">
        <w:t>I</w:t>
      </w:r>
      <w:bookmarkStart w:id="17" w:name="lt_pId031"/>
      <w:bookmarkEnd w:id="16"/>
      <w:r w:rsidR="0022141A">
        <w:tab/>
      </w:r>
      <w:proofErr w:type="gramStart"/>
      <w:r w:rsidR="000D280D" w:rsidRPr="000D280D">
        <w:t>The</w:t>
      </w:r>
      <w:proofErr w:type="gramEnd"/>
      <w:r w:rsidR="000D280D" w:rsidRPr="000D280D">
        <w:t xml:space="preserve"> JIU report on the “Effectiveness of the ITU Regional Presence”</w:t>
      </w:r>
      <w:bookmarkEnd w:id="17"/>
    </w:p>
    <w:p w:rsidR="00BE0940" w:rsidRPr="00302846" w:rsidRDefault="00AA1F82" w:rsidP="00183878">
      <w:bookmarkStart w:id="18" w:name="lt_pId032"/>
      <w:r w:rsidRPr="00302846">
        <w:t xml:space="preserve">The report concluded that </w:t>
      </w:r>
      <w:r w:rsidR="000849E1" w:rsidRPr="00302846">
        <w:t xml:space="preserve">there was a need to streamline and strengthen the network of </w:t>
      </w:r>
      <w:r w:rsidR="0022141A">
        <w:t xml:space="preserve">existing </w:t>
      </w:r>
      <w:r w:rsidR="000849E1" w:rsidRPr="00302846">
        <w:t xml:space="preserve">area offices </w:t>
      </w:r>
      <w:r w:rsidR="00C3212A" w:rsidRPr="00302846">
        <w:t xml:space="preserve">by merging some of them or providing more human resources, giving due attention to the needs of </w:t>
      </w:r>
      <w:r w:rsidR="00196DE2" w:rsidRPr="00302846">
        <w:t>each of the regions</w:t>
      </w:r>
      <w:r w:rsidR="00C3212A" w:rsidRPr="00302846">
        <w:t>.</w:t>
      </w:r>
      <w:bookmarkEnd w:id="18"/>
    </w:p>
    <w:p w:rsidR="00BE0940" w:rsidRPr="00302846" w:rsidRDefault="001F4F55" w:rsidP="00183878">
      <w:r w:rsidRPr="00302846">
        <w:t xml:space="preserve">Thus, the United Nations Joint Inspection Unit (JIU) made the following recommendations </w:t>
      </w:r>
      <w:r w:rsidR="00621076" w:rsidRPr="00302846">
        <w:t>to improve the working methods and procedures of the regional offices:</w:t>
      </w:r>
    </w:p>
    <w:p w:rsidR="00BE0940" w:rsidRPr="00302846" w:rsidRDefault="0022141A" w:rsidP="0022141A">
      <w:pPr>
        <w:pStyle w:val="enumlev1"/>
      </w:pPr>
      <w:bookmarkStart w:id="19" w:name="lt_pId034"/>
      <w:proofErr w:type="spellStart"/>
      <w:r>
        <w:t>i</w:t>
      </w:r>
      <w:proofErr w:type="spellEnd"/>
      <w:r>
        <w:t>)</w:t>
      </w:r>
      <w:r>
        <w:tab/>
      </w:r>
      <w:r w:rsidR="00621076" w:rsidRPr="00302846">
        <w:t>Rationalize and streamline the existing network of area offices, based on objective criteria, with a view to concentrating human resources in the regional offices</w:t>
      </w:r>
      <w:bookmarkEnd w:id="19"/>
    </w:p>
    <w:p w:rsidR="00BE0940" w:rsidRPr="00302846" w:rsidRDefault="0022141A" w:rsidP="00B553DA">
      <w:pPr>
        <w:pStyle w:val="enumlev1"/>
      </w:pPr>
      <w:r>
        <w:t>ii)</w:t>
      </w:r>
      <w:r>
        <w:tab/>
      </w:r>
      <w:r w:rsidR="00621076" w:rsidRPr="00302846">
        <w:t xml:space="preserve">Periodically review </w:t>
      </w:r>
      <w:r>
        <w:t>the network of area offices</w:t>
      </w:r>
    </w:p>
    <w:p w:rsidR="00203DC5" w:rsidRPr="00302846" w:rsidRDefault="0022141A" w:rsidP="0022141A">
      <w:pPr>
        <w:pStyle w:val="enumlev1"/>
      </w:pPr>
      <w:bookmarkStart w:id="20" w:name="lt_pId036"/>
      <w:r>
        <w:t>iii)</w:t>
      </w:r>
      <w:r>
        <w:tab/>
      </w:r>
      <w:r w:rsidR="00CD6D31" w:rsidRPr="00302846">
        <w:t>A</w:t>
      </w:r>
      <w:r w:rsidR="007E518A" w:rsidRPr="00302846">
        <w:t>pprove a</w:t>
      </w:r>
      <w:r w:rsidR="00CD6D31" w:rsidRPr="00302846">
        <w:t xml:space="preserve"> clearly formulated mandate for the ITU regional presence with specific </w:t>
      </w:r>
      <w:r w:rsidR="007E518A" w:rsidRPr="00302846">
        <w:t>mandates</w:t>
      </w:r>
      <w:r w:rsidR="00CD6D31" w:rsidRPr="00302846">
        <w:t xml:space="preserve"> for </w:t>
      </w:r>
      <w:r w:rsidR="007E518A" w:rsidRPr="00302846">
        <w:t xml:space="preserve">each of </w:t>
      </w:r>
      <w:r w:rsidR="00CD6D31" w:rsidRPr="00302846">
        <w:t>the regional offices</w:t>
      </w:r>
      <w:bookmarkStart w:id="21" w:name="lt_pId037"/>
      <w:bookmarkEnd w:id="20"/>
    </w:p>
    <w:p w:rsidR="00203DC5" w:rsidRPr="00302846" w:rsidRDefault="0022141A" w:rsidP="0022141A">
      <w:pPr>
        <w:pStyle w:val="enumlev1"/>
      </w:pPr>
      <w:bookmarkStart w:id="22" w:name="lt_pId040"/>
      <w:bookmarkEnd w:id="21"/>
      <w:proofErr w:type="gramStart"/>
      <w:r>
        <w:t>iv)</w:t>
      </w:r>
      <w:r>
        <w:tab/>
      </w:r>
      <w:r w:rsidR="00203DC5" w:rsidRPr="00302846">
        <w:t xml:space="preserve">Ensure that the regional offices efficiently and effectively represent ITU as a whole, to which end the Directors of the </w:t>
      </w:r>
      <w:proofErr w:type="spellStart"/>
      <w:r w:rsidR="00203DC5" w:rsidRPr="00302846">
        <w:t>Radiocommunication</w:t>
      </w:r>
      <w:proofErr w:type="spellEnd"/>
      <w:r w:rsidR="00203DC5" w:rsidRPr="00302846">
        <w:t xml:space="preserve"> </w:t>
      </w:r>
      <w:r w:rsidR="00203DC5" w:rsidRPr="00302846">
        <w:lastRenderedPageBreak/>
        <w:t>and Standardization Bureaux should formulate and clearly articulate the expected contributions from the regional offices; improve information sharing on the activities and concerns of their Sectors; and contribute to the enhancement of the human and financial resource capabi</w:t>
      </w:r>
      <w:r>
        <w:t>lities of the regional offices</w:t>
      </w:r>
      <w:proofErr w:type="gramEnd"/>
    </w:p>
    <w:p w:rsidR="00BE0940" w:rsidRPr="00302846" w:rsidRDefault="0022141A" w:rsidP="0022141A">
      <w:pPr>
        <w:pStyle w:val="enumlev1"/>
      </w:pPr>
      <w:r>
        <w:t>v)</w:t>
      </w:r>
      <w:r>
        <w:tab/>
      </w:r>
      <w:r w:rsidR="00F96D34" w:rsidRPr="00302846">
        <w:t>Review the staffing table of the regional presence, including the rationalization of the grade structure</w:t>
      </w:r>
      <w:bookmarkEnd w:id="22"/>
    </w:p>
    <w:p w:rsidR="00BE0940" w:rsidRPr="00302846" w:rsidRDefault="0022141A" w:rsidP="0022141A">
      <w:pPr>
        <w:pStyle w:val="enumlev1"/>
      </w:pPr>
      <w:bookmarkStart w:id="23" w:name="lt_pId041"/>
      <w:proofErr w:type="gramStart"/>
      <w:r>
        <w:t>vi)</w:t>
      </w:r>
      <w:r>
        <w:tab/>
      </w:r>
      <w:r w:rsidR="00C420DB" w:rsidRPr="00302846">
        <w:t>Abolish</w:t>
      </w:r>
      <w:proofErr w:type="gramEnd"/>
      <w:r w:rsidR="00C420DB" w:rsidRPr="00302846">
        <w:t xml:space="preserve"> the practice of delaying the announcement of vacancies and institutionalize a succession planning policy</w:t>
      </w:r>
      <w:bookmarkEnd w:id="23"/>
    </w:p>
    <w:p w:rsidR="00BE0940" w:rsidRPr="00302846" w:rsidRDefault="0022141A" w:rsidP="0022141A">
      <w:pPr>
        <w:pStyle w:val="enumlev1"/>
      </w:pPr>
      <w:bookmarkStart w:id="24" w:name="lt_pId042"/>
      <w:r>
        <w:t>vii)</w:t>
      </w:r>
      <w:r>
        <w:tab/>
      </w:r>
      <w:r w:rsidR="00896316" w:rsidRPr="00302846">
        <w:t>Conduct a training needs assessment for field personnel to enhance their skills and facilitate continuous learning and career development opportunities</w:t>
      </w:r>
      <w:bookmarkEnd w:id="24"/>
    </w:p>
    <w:p w:rsidR="00BE0940" w:rsidRPr="00302846" w:rsidRDefault="0022141A" w:rsidP="0022141A">
      <w:pPr>
        <w:pStyle w:val="enumlev1"/>
      </w:pPr>
      <w:bookmarkStart w:id="25" w:name="lt_pId043"/>
      <w:r>
        <w:t>viii)</w:t>
      </w:r>
      <w:r>
        <w:tab/>
      </w:r>
      <w:r w:rsidR="00F31628" w:rsidRPr="00302846">
        <w:t>E</w:t>
      </w:r>
      <w:r w:rsidR="007C00FE" w:rsidRPr="00302846">
        <w:t>nsure</w:t>
      </w:r>
      <w:r w:rsidR="00F31628" w:rsidRPr="00302846">
        <w:t xml:space="preserve"> the ITU st</w:t>
      </w:r>
      <w:r w:rsidR="007C00FE" w:rsidRPr="00302846">
        <w:t>aff mobility policy both</w:t>
      </w:r>
      <w:r w:rsidR="00F31628" w:rsidRPr="00302846">
        <w:t xml:space="preserve"> between field offices and between headquarters and the field offices</w:t>
      </w:r>
      <w:bookmarkEnd w:id="25"/>
    </w:p>
    <w:p w:rsidR="00BE0940" w:rsidRPr="00302846" w:rsidRDefault="0022141A" w:rsidP="0022141A">
      <w:pPr>
        <w:pStyle w:val="enumlev1"/>
      </w:pPr>
      <w:bookmarkStart w:id="26" w:name="lt_pId044"/>
      <w:r>
        <w:t>ix)</w:t>
      </w:r>
      <w:r>
        <w:tab/>
      </w:r>
      <w:r w:rsidR="008C0299" w:rsidRPr="00302846">
        <w:t>Ensure that the activities requested of the regional offices match the human and financial resources available</w:t>
      </w:r>
      <w:bookmarkEnd w:id="26"/>
    </w:p>
    <w:p w:rsidR="00BE0940" w:rsidRPr="00302846" w:rsidRDefault="0022141A" w:rsidP="0022141A">
      <w:pPr>
        <w:pStyle w:val="enumlev1"/>
      </w:pPr>
      <w:bookmarkStart w:id="27" w:name="lt_pId045"/>
      <w:r>
        <w:t>x)</w:t>
      </w:r>
      <w:r>
        <w:tab/>
      </w:r>
      <w:r w:rsidR="00A80CDB" w:rsidRPr="00302846">
        <w:t xml:space="preserve">Submit to the Council an action plan, with clear timelines, on the specific measures to </w:t>
      </w:r>
      <w:proofErr w:type="gramStart"/>
      <w:r w:rsidR="00A80CDB" w:rsidRPr="00302846">
        <w:t>be taken</w:t>
      </w:r>
      <w:proofErr w:type="gramEnd"/>
      <w:r w:rsidR="00A80CDB" w:rsidRPr="00302846">
        <w:t xml:space="preserve"> toward the delegation of authority to the regional offices</w:t>
      </w:r>
      <w:bookmarkEnd w:id="27"/>
    </w:p>
    <w:p w:rsidR="00BE0940" w:rsidRPr="00302846" w:rsidRDefault="0022141A" w:rsidP="0022141A">
      <w:pPr>
        <w:pStyle w:val="enumlev1"/>
      </w:pPr>
      <w:bookmarkStart w:id="28" w:name="lt_pId046"/>
      <w:r>
        <w:t>xi)</w:t>
      </w:r>
      <w:r>
        <w:tab/>
      </w:r>
      <w:r w:rsidR="00F124F2" w:rsidRPr="00302846">
        <w:t xml:space="preserve">Review the existing financial and administrative </w:t>
      </w:r>
      <w:proofErr w:type="gramStart"/>
      <w:r w:rsidR="00F124F2" w:rsidRPr="00302846">
        <w:t>rules and regulations, including the monitoring</w:t>
      </w:r>
      <w:proofErr w:type="gramEnd"/>
      <w:r w:rsidR="00F124F2" w:rsidRPr="00302846">
        <w:t xml:space="preserve"> and accountability systems, with a view to ensuring adequate regulation of delegated authorit</w:t>
      </w:r>
      <w:bookmarkEnd w:id="28"/>
      <w:r>
        <w:t>y</w:t>
      </w:r>
    </w:p>
    <w:p w:rsidR="00BE0940" w:rsidRPr="00302846" w:rsidRDefault="0022141A" w:rsidP="0022141A">
      <w:pPr>
        <w:pStyle w:val="enumlev1"/>
      </w:pPr>
      <w:bookmarkStart w:id="29" w:name="lt_pId047"/>
      <w:r>
        <w:t>xii)</w:t>
      </w:r>
      <w:r>
        <w:tab/>
      </w:r>
      <w:r w:rsidR="00F51840" w:rsidRPr="00302846">
        <w:t>Ensure that the activities of the regional offices are included in the work programme of the Internal Audit Unit</w:t>
      </w:r>
      <w:bookmarkEnd w:id="29"/>
    </w:p>
    <w:p w:rsidR="00BE0940" w:rsidRPr="00302846" w:rsidRDefault="0022141A" w:rsidP="0022141A">
      <w:pPr>
        <w:pStyle w:val="enumlev1"/>
        <w:spacing w:before="240"/>
      </w:pPr>
      <w:bookmarkStart w:id="30" w:name="lt_pId048"/>
      <w:r>
        <w:t>xiii)</w:t>
      </w:r>
      <w:r>
        <w:tab/>
      </w:r>
      <w:r w:rsidR="007C2BF5" w:rsidRPr="00302846">
        <w:t>Delineate the distribution of work between headquarters and the regional offices</w:t>
      </w:r>
      <w:bookmarkEnd w:id="30"/>
    </w:p>
    <w:p w:rsidR="00BE0940" w:rsidRPr="00302846" w:rsidRDefault="0022141A" w:rsidP="0022141A">
      <w:pPr>
        <w:pStyle w:val="enumlev1"/>
      </w:pPr>
      <w:bookmarkStart w:id="31" w:name="lt_pId049"/>
      <w:r>
        <w:t>xiv)</w:t>
      </w:r>
      <w:r>
        <w:tab/>
      </w:r>
      <w:r w:rsidR="003A0CEF" w:rsidRPr="00302846">
        <w:t xml:space="preserve">The </w:t>
      </w:r>
      <w:r w:rsidR="00BE0940" w:rsidRPr="00302846">
        <w:t xml:space="preserve">Director </w:t>
      </w:r>
      <w:r w:rsidR="003A0CEF" w:rsidRPr="00302846">
        <w:t>of BDT should determine a set of performance indicators, and conduct systematic performance evaluations of the activities of the regional offices.</w:t>
      </w:r>
      <w:bookmarkEnd w:id="31"/>
    </w:p>
    <w:p w:rsidR="00BE0940" w:rsidRPr="00302846" w:rsidRDefault="0022141A" w:rsidP="0022141A">
      <w:pPr>
        <w:pStyle w:val="enumlev1"/>
      </w:pPr>
      <w:bookmarkStart w:id="32" w:name="lt_pId050"/>
      <w:r>
        <w:t>xv)</w:t>
      </w:r>
      <w:r>
        <w:tab/>
      </w:r>
      <w:r w:rsidR="00E059CF" w:rsidRPr="00302846">
        <w:t>Review the internal working and operational procedures with a view to streamlining and simplifying them; ensure the involvement of heads of regional offices in the review process</w:t>
      </w:r>
      <w:r>
        <w:t xml:space="preserve"> </w:t>
      </w:r>
      <w:r w:rsidR="00E059CF" w:rsidRPr="00302846">
        <w:t>and inform the Council of the outcome</w:t>
      </w:r>
      <w:bookmarkEnd w:id="32"/>
    </w:p>
    <w:p w:rsidR="00BE0940" w:rsidRPr="004053A8" w:rsidRDefault="0022141A" w:rsidP="0022141A">
      <w:pPr>
        <w:pStyle w:val="enumlev1"/>
      </w:pPr>
      <w:bookmarkStart w:id="33" w:name="lt_pId052"/>
      <w:r>
        <w:lastRenderedPageBreak/>
        <w:t>xvi)</w:t>
      </w:r>
      <w:r>
        <w:tab/>
      </w:r>
      <w:r w:rsidR="00DB06B8" w:rsidRPr="00302846">
        <w:t>Review the mandate and functions of the Projects and Initiatives Department with a view to securing a shared vision of project development with the regional offices</w:t>
      </w:r>
      <w:bookmarkEnd w:id="33"/>
    </w:p>
    <w:p w:rsidR="00BE0940" w:rsidRPr="004053A8" w:rsidRDefault="0022141A" w:rsidP="0022141A">
      <w:pPr>
        <w:pStyle w:val="enumlev1"/>
      </w:pPr>
      <w:bookmarkStart w:id="34" w:name="lt_pId053"/>
      <w:r>
        <w:t>xvii)</w:t>
      </w:r>
      <w:r>
        <w:tab/>
      </w:r>
      <w:r w:rsidR="00A4250F" w:rsidRPr="004053A8">
        <w:t>In the framework of the adoption of the next strategic plan, assess and articulate a clear vision of the development activities of ITU, including the content, form and volume of activities</w:t>
      </w:r>
      <w:bookmarkEnd w:id="34"/>
    </w:p>
    <w:p w:rsidR="00BE0940" w:rsidRPr="00302846" w:rsidRDefault="0022141A" w:rsidP="0022141A">
      <w:pPr>
        <w:pStyle w:val="enumlev1"/>
      </w:pPr>
      <w:bookmarkStart w:id="35" w:name="lt_pId054"/>
      <w:r>
        <w:t>xviii)</w:t>
      </w:r>
      <w:r>
        <w:tab/>
      </w:r>
      <w:r w:rsidR="001C5A45" w:rsidRPr="00302846">
        <w:t>Foster cooperation between the regional offices and United Nations development organizations in the field to elaborate and implement action plans to incorporate information and communication technologies into development programmes with a view to enhancing development cooperation and coordination</w:t>
      </w:r>
      <w:bookmarkEnd w:id="35"/>
    </w:p>
    <w:p w:rsidR="00BE0940" w:rsidRPr="00302846" w:rsidRDefault="0022141A" w:rsidP="0022141A">
      <w:pPr>
        <w:pStyle w:val="enumlev1"/>
      </w:pPr>
      <w:bookmarkStart w:id="36" w:name="lt_pId055"/>
      <w:r>
        <w:t>xix)</w:t>
      </w:r>
      <w:r>
        <w:tab/>
      </w:r>
      <w:r w:rsidR="00972B6F">
        <w:t>The regional offices should e</w:t>
      </w:r>
      <w:r w:rsidR="0004371E" w:rsidRPr="00302846">
        <w:t>laborate and implement strategic action plans to strengthen partnerships with the private sector.</w:t>
      </w:r>
      <w:bookmarkEnd w:id="36"/>
    </w:p>
    <w:p w:rsidR="00BE0940" w:rsidRPr="004053A8" w:rsidRDefault="00BE0940" w:rsidP="0022141A">
      <w:pPr>
        <w:pStyle w:val="Heading2"/>
      </w:pPr>
      <w:bookmarkStart w:id="37" w:name="lt_pId056"/>
      <w:r w:rsidRPr="004053A8">
        <w:t>II</w:t>
      </w:r>
      <w:bookmarkStart w:id="38" w:name="lt_pId057"/>
      <w:bookmarkEnd w:id="37"/>
      <w:r w:rsidR="0022141A">
        <w:tab/>
      </w:r>
      <w:r w:rsidR="00302846" w:rsidRPr="004053A8">
        <w:t>Present situation regarding the regional offices</w:t>
      </w:r>
      <w:bookmarkEnd w:id="38"/>
    </w:p>
    <w:p w:rsidR="000B1DFE" w:rsidRPr="000B1DFE" w:rsidRDefault="000B1DFE" w:rsidP="00183878">
      <w:bookmarkStart w:id="39" w:name="lt_pId058"/>
      <w:r w:rsidRPr="000B1DFE">
        <w:t xml:space="preserve">The Secretary-General’s report to Council-18 on “Strengthening the regional presence” indicates that in 2017 efforts were made to </w:t>
      </w:r>
      <w:r>
        <w:t xml:space="preserve">improve the ITU regional presence </w:t>
      </w:r>
      <w:r w:rsidR="00B919E4">
        <w:t>through measures designed to meet the requirements of each region and provide quality products and services.</w:t>
      </w:r>
    </w:p>
    <w:p w:rsidR="00B919E4" w:rsidRPr="002564CC" w:rsidRDefault="00036059" w:rsidP="00183878">
      <w:bookmarkStart w:id="40" w:name="lt_pId059"/>
      <w:bookmarkEnd w:id="39"/>
      <w:r w:rsidRPr="002564CC">
        <w:t xml:space="preserve">It </w:t>
      </w:r>
      <w:proofErr w:type="gramStart"/>
      <w:r w:rsidRPr="002564CC">
        <w:t>is noted</w:t>
      </w:r>
      <w:proofErr w:type="gramEnd"/>
      <w:r w:rsidRPr="002564CC">
        <w:t xml:space="preserve"> that </w:t>
      </w:r>
      <w:r w:rsidR="002564CC" w:rsidRPr="00316A6B">
        <w:rPr>
          <w:szCs w:val="24"/>
        </w:rPr>
        <w:t>the implementation of the BDT operational plan included 239 actions for a total implementation level of 2.4 million CHF</w:t>
      </w:r>
      <w:r w:rsidR="004C48F0">
        <w:rPr>
          <w:szCs w:val="24"/>
        </w:rPr>
        <w:t>,</w:t>
      </w:r>
      <w:r w:rsidR="002564CC">
        <w:rPr>
          <w:szCs w:val="24"/>
        </w:rPr>
        <w:t xml:space="preserve"> while t</w:t>
      </w:r>
      <w:r w:rsidR="002564CC" w:rsidRPr="00316A6B">
        <w:rPr>
          <w:szCs w:val="24"/>
        </w:rPr>
        <w:t xml:space="preserve">he implementation level of technical cooperation projects amounted to 9.4 million </w:t>
      </w:r>
      <w:r w:rsidR="002564CC">
        <w:rPr>
          <w:szCs w:val="24"/>
        </w:rPr>
        <w:t>USD</w:t>
      </w:r>
      <w:r w:rsidR="002564CC" w:rsidRPr="00316A6B">
        <w:rPr>
          <w:szCs w:val="24"/>
        </w:rPr>
        <w:t xml:space="preserve"> for 48 projects</w:t>
      </w:r>
      <w:r w:rsidR="004C48F0">
        <w:rPr>
          <w:szCs w:val="24"/>
        </w:rPr>
        <w:t>.</w:t>
      </w:r>
    </w:p>
    <w:p w:rsidR="004C48F0" w:rsidRPr="009766A6" w:rsidRDefault="004C48F0" w:rsidP="00183878">
      <w:bookmarkStart w:id="41" w:name="lt_pId060"/>
      <w:bookmarkEnd w:id="40"/>
      <w:r w:rsidRPr="009766A6">
        <w:t xml:space="preserve">The report also </w:t>
      </w:r>
      <w:r w:rsidR="009766A6" w:rsidRPr="009766A6">
        <w:t xml:space="preserve">makes clear how each of the ITU Sectors contributed to implementation of the strategic and operational plans of ITU-R, ITU-T and the General Secretariat. </w:t>
      </w:r>
      <w:r w:rsidR="009766A6">
        <w:t xml:space="preserve">For example, the </w:t>
      </w:r>
      <w:proofErr w:type="spellStart"/>
      <w:r w:rsidR="009766A6">
        <w:t>Radiocommunication</w:t>
      </w:r>
      <w:proofErr w:type="spellEnd"/>
      <w:r w:rsidR="009766A6">
        <w:t xml:space="preserve"> Bureau and BDT organized </w:t>
      </w:r>
      <w:r w:rsidR="009766A6" w:rsidRPr="00EE5777">
        <w:rPr>
          <w:rFonts w:asciiTheme="minorHAnsi" w:hAnsiTheme="minorHAnsi"/>
          <w:bCs/>
          <w:szCs w:val="24"/>
        </w:rPr>
        <w:t>spectrum-related workshops, seminars, meetings, and capacity-building activities</w:t>
      </w:r>
      <w:r w:rsidR="009766A6">
        <w:rPr>
          <w:rFonts w:asciiTheme="minorHAnsi" w:hAnsiTheme="minorHAnsi"/>
          <w:bCs/>
          <w:szCs w:val="24"/>
        </w:rPr>
        <w:t xml:space="preserve">, especially for the developing countries. At the same time, with the Telecommunication Standardization Bureau focus </w:t>
      </w:r>
      <w:proofErr w:type="gramStart"/>
      <w:r w:rsidR="00972B6F">
        <w:rPr>
          <w:rFonts w:asciiTheme="minorHAnsi" w:hAnsiTheme="minorHAnsi"/>
          <w:bCs/>
          <w:szCs w:val="24"/>
        </w:rPr>
        <w:t>is</w:t>
      </w:r>
      <w:r w:rsidR="009766A6">
        <w:rPr>
          <w:rFonts w:asciiTheme="minorHAnsi" w:hAnsiTheme="minorHAnsi"/>
          <w:bCs/>
          <w:szCs w:val="24"/>
        </w:rPr>
        <w:t xml:space="preserve"> placed</w:t>
      </w:r>
      <w:proofErr w:type="gramEnd"/>
      <w:r w:rsidR="009766A6">
        <w:rPr>
          <w:rFonts w:asciiTheme="minorHAnsi" w:hAnsiTheme="minorHAnsi"/>
          <w:bCs/>
          <w:szCs w:val="24"/>
        </w:rPr>
        <w:t xml:space="preserve"> on </w:t>
      </w:r>
      <w:r w:rsidR="005706E2">
        <w:rPr>
          <w:rFonts w:asciiTheme="minorHAnsi" w:hAnsiTheme="minorHAnsi"/>
          <w:bCs/>
          <w:szCs w:val="24"/>
        </w:rPr>
        <w:t xml:space="preserve">the ITU-T study group regional groups, and on the various forums held on different topics such as </w:t>
      </w:r>
      <w:proofErr w:type="spellStart"/>
      <w:r w:rsidR="005706E2">
        <w:rPr>
          <w:rFonts w:asciiTheme="minorHAnsi" w:hAnsiTheme="minorHAnsi"/>
          <w:bCs/>
          <w:szCs w:val="24"/>
        </w:rPr>
        <w:t>IoT</w:t>
      </w:r>
      <w:proofErr w:type="spellEnd"/>
      <w:r w:rsidR="005706E2">
        <w:rPr>
          <w:rFonts w:asciiTheme="minorHAnsi" w:hAnsiTheme="minorHAnsi"/>
          <w:bCs/>
          <w:szCs w:val="24"/>
        </w:rPr>
        <w:t>, artificial intelligence, and so forth.</w:t>
      </w:r>
    </w:p>
    <w:p w:rsidR="00987ED3" w:rsidRPr="00BC70F6" w:rsidRDefault="00987ED3" w:rsidP="00183878">
      <w:bookmarkStart w:id="42" w:name="lt_pId063"/>
      <w:bookmarkEnd w:id="41"/>
      <w:r w:rsidRPr="00BC70F6">
        <w:t xml:space="preserve">The report also </w:t>
      </w:r>
      <w:r w:rsidR="00BC70F6" w:rsidRPr="00BC70F6">
        <w:t xml:space="preserve">analyses the structure and </w:t>
      </w:r>
      <w:r w:rsidR="00BC70F6">
        <w:t>staffing level in each region. In this regard, it is recognized that the st</w:t>
      </w:r>
      <w:r w:rsidR="00B553DA">
        <w:t>ructure and staffing level take</w:t>
      </w:r>
      <w:r w:rsidR="00BC70F6">
        <w:t xml:space="preserve"> into consideration the JIU recommendations while at the same time the capacity </w:t>
      </w:r>
      <w:r w:rsidR="00BC70F6" w:rsidRPr="00EE5777">
        <w:rPr>
          <w:rFonts w:asciiTheme="minorHAnsi" w:hAnsiTheme="minorHAnsi"/>
          <w:szCs w:val="24"/>
        </w:rPr>
        <w:t>of regional and area office</w:t>
      </w:r>
      <w:r w:rsidR="00BC70F6">
        <w:rPr>
          <w:rFonts w:asciiTheme="minorHAnsi" w:hAnsiTheme="minorHAnsi"/>
          <w:szCs w:val="24"/>
        </w:rPr>
        <w:t>s</w:t>
      </w:r>
      <w:r w:rsidR="00BC70F6" w:rsidRPr="00EE5777">
        <w:rPr>
          <w:rFonts w:asciiTheme="minorHAnsi" w:hAnsiTheme="minorHAnsi"/>
          <w:szCs w:val="24"/>
        </w:rPr>
        <w:t xml:space="preserve"> continues to be strengthened through the recruitment of associate technical experts and support staff under regional initiatives and projects</w:t>
      </w:r>
      <w:r w:rsidR="00B553DA">
        <w:rPr>
          <w:rFonts w:asciiTheme="minorHAnsi" w:hAnsiTheme="minorHAnsi"/>
          <w:szCs w:val="24"/>
        </w:rPr>
        <w:t>.</w:t>
      </w:r>
    </w:p>
    <w:p w:rsidR="00BC70F6" w:rsidRPr="006F73AE" w:rsidRDefault="006F73AE" w:rsidP="00183878">
      <w:bookmarkStart w:id="43" w:name="lt_pId065"/>
      <w:bookmarkEnd w:id="42"/>
      <w:r w:rsidRPr="006F73AE">
        <w:lastRenderedPageBreak/>
        <w:t xml:space="preserve">Lastly, it is worth noting the </w:t>
      </w:r>
      <w:r>
        <w:t xml:space="preserve">satisfaction survey on the ITU regional presence, for which 129 responses </w:t>
      </w:r>
      <w:proofErr w:type="gramStart"/>
      <w:r>
        <w:t>were received</w:t>
      </w:r>
      <w:proofErr w:type="gramEnd"/>
      <w:r>
        <w:t xml:space="preserve"> from Member States</w:t>
      </w:r>
      <w:r w:rsidR="002752A9">
        <w:t xml:space="preserve">, Sector Members, Associates, </w:t>
      </w:r>
      <w:r w:rsidR="00972B6F">
        <w:t>A</w:t>
      </w:r>
      <w:r w:rsidR="002752A9">
        <w:t>cademia and international and regional organizations.</w:t>
      </w:r>
    </w:p>
    <w:p w:rsidR="00BE0940" w:rsidRPr="002752A9" w:rsidRDefault="002752A9" w:rsidP="00183878">
      <w:bookmarkStart w:id="44" w:name="lt_pId066"/>
      <w:bookmarkEnd w:id="43"/>
      <w:r w:rsidRPr="002752A9">
        <w:t xml:space="preserve">The </w:t>
      </w:r>
      <w:r w:rsidR="00972B6F">
        <w:t xml:space="preserve">following salient </w:t>
      </w:r>
      <w:r w:rsidRPr="002752A9">
        <w:t xml:space="preserve">results </w:t>
      </w:r>
      <w:proofErr w:type="gramStart"/>
      <w:r w:rsidR="00972B6F">
        <w:t xml:space="preserve">were </w:t>
      </w:r>
      <w:r w:rsidRPr="002752A9">
        <w:t>obtained</w:t>
      </w:r>
      <w:proofErr w:type="gramEnd"/>
      <w:r w:rsidR="00BE0940" w:rsidRPr="005E4465">
        <w:t>:</w:t>
      </w:r>
      <w:bookmarkEnd w:id="44"/>
    </w:p>
    <w:p w:rsidR="00BE0940" w:rsidRPr="004053A8" w:rsidRDefault="00972B6F" w:rsidP="00972B6F">
      <w:pPr>
        <w:pStyle w:val="enumlev1"/>
      </w:pPr>
      <w:bookmarkStart w:id="45" w:name="lt_pId067"/>
      <w:r w:rsidRPr="00972B6F">
        <w:rPr>
          <w:rStyle w:val="Hyperlink"/>
          <w:color w:val="auto"/>
          <w:szCs w:val="24"/>
          <w:u w:val="none"/>
        </w:rPr>
        <w:t>•</w:t>
      </w:r>
      <w:r>
        <w:rPr>
          <w:rStyle w:val="Hyperlink"/>
          <w:color w:val="auto"/>
          <w:szCs w:val="24"/>
          <w:u w:val="none"/>
        </w:rPr>
        <w:tab/>
      </w:r>
      <w:r w:rsidR="005E4465" w:rsidRPr="008C41FF">
        <w:rPr>
          <w:rStyle w:val="Hyperlink"/>
          <w:color w:val="auto"/>
          <w:szCs w:val="24"/>
          <w:u w:val="none"/>
        </w:rPr>
        <w:t xml:space="preserve">The vast majority of the participants in the survey indicated that they were familiar with the activities of ITU, including at the regional level, and </w:t>
      </w:r>
      <w:proofErr w:type="gramStart"/>
      <w:r w:rsidR="005E4465" w:rsidRPr="008C41FF">
        <w:rPr>
          <w:rStyle w:val="Hyperlink"/>
          <w:color w:val="auto"/>
          <w:szCs w:val="24"/>
          <w:u w:val="none"/>
        </w:rPr>
        <w:t>considered</w:t>
      </w:r>
      <w:proofErr w:type="gramEnd"/>
      <w:r w:rsidR="005E4465" w:rsidRPr="008C41FF">
        <w:rPr>
          <w:rStyle w:val="Hyperlink"/>
          <w:color w:val="auto"/>
          <w:szCs w:val="24"/>
          <w:u w:val="none"/>
        </w:rPr>
        <w:t xml:space="preserve"> </w:t>
      </w:r>
      <w:r w:rsidR="00A905A4" w:rsidRPr="008C41FF">
        <w:rPr>
          <w:rStyle w:val="Hyperlink"/>
          <w:color w:val="auto"/>
          <w:szCs w:val="24"/>
          <w:u w:val="none"/>
        </w:rPr>
        <w:t>the staffing level of the regional and a</w:t>
      </w:r>
      <w:r w:rsidR="005E4465" w:rsidRPr="008C41FF">
        <w:rPr>
          <w:rStyle w:val="Hyperlink"/>
          <w:color w:val="auto"/>
          <w:szCs w:val="24"/>
          <w:u w:val="none"/>
        </w:rPr>
        <w:t>rea offices appropriate</w:t>
      </w:r>
      <w:r w:rsidR="00A905A4" w:rsidRPr="008C41FF">
        <w:rPr>
          <w:rStyle w:val="Hyperlink"/>
          <w:color w:val="auto"/>
          <w:szCs w:val="24"/>
          <w:u w:val="none"/>
        </w:rPr>
        <w:t xml:space="preserve">, </w:t>
      </w:r>
      <w:r w:rsidR="008C41FF" w:rsidRPr="008C41FF">
        <w:rPr>
          <w:rStyle w:val="Hyperlink"/>
          <w:color w:val="auto"/>
          <w:szCs w:val="24"/>
          <w:u w:val="none"/>
        </w:rPr>
        <w:t>although it was pointed out that, with the increased number of activities, sta</w:t>
      </w:r>
      <w:r w:rsidR="008C41FF">
        <w:rPr>
          <w:rStyle w:val="Hyperlink"/>
          <w:color w:val="auto"/>
          <w:szCs w:val="24"/>
          <w:u w:val="none"/>
        </w:rPr>
        <w:t>ffing in the offices should</w:t>
      </w:r>
      <w:r w:rsidR="008C41FF" w:rsidRPr="008C41FF">
        <w:rPr>
          <w:rStyle w:val="Hyperlink"/>
          <w:color w:val="auto"/>
          <w:szCs w:val="24"/>
          <w:u w:val="none"/>
        </w:rPr>
        <w:t xml:space="preserve"> be increased.</w:t>
      </w:r>
      <w:bookmarkEnd w:id="45"/>
    </w:p>
    <w:p w:rsidR="00BE0940" w:rsidRPr="004053A8" w:rsidRDefault="00972B6F" w:rsidP="00972B6F">
      <w:pPr>
        <w:pStyle w:val="enumlev1"/>
      </w:pPr>
      <w:bookmarkStart w:id="46" w:name="lt_pId068"/>
      <w:r w:rsidRPr="00972B6F">
        <w:rPr>
          <w:rStyle w:val="Hyperlink"/>
          <w:color w:val="auto"/>
          <w:szCs w:val="24"/>
          <w:u w:val="none"/>
        </w:rPr>
        <w:t>•</w:t>
      </w:r>
      <w:r>
        <w:rPr>
          <w:rStyle w:val="Hyperlink"/>
          <w:color w:val="auto"/>
          <w:szCs w:val="24"/>
          <w:u w:val="none"/>
        </w:rPr>
        <w:tab/>
      </w:r>
      <w:r w:rsidR="00A724EA" w:rsidRPr="00A724EA">
        <w:rPr>
          <w:rStyle w:val="Hyperlink"/>
          <w:color w:val="auto"/>
          <w:szCs w:val="24"/>
          <w:u w:val="none"/>
        </w:rPr>
        <w:t xml:space="preserve">The vast majority of the participants in the survey indicated that they are in regular contact with ITU, at least several times a month or more, and that the quality </w:t>
      </w:r>
      <w:r w:rsidR="00A724EA">
        <w:rPr>
          <w:rStyle w:val="Hyperlink"/>
          <w:color w:val="auto"/>
          <w:szCs w:val="24"/>
          <w:u w:val="none"/>
        </w:rPr>
        <w:t>of responses to inquiries</w:t>
      </w:r>
      <w:r w:rsidR="00A724EA" w:rsidRPr="00A724EA">
        <w:rPr>
          <w:rStyle w:val="Hyperlink"/>
          <w:color w:val="auto"/>
          <w:szCs w:val="24"/>
          <w:u w:val="none"/>
        </w:rPr>
        <w:t xml:space="preserve"> </w:t>
      </w:r>
      <w:proofErr w:type="gramStart"/>
      <w:r w:rsidR="00A724EA" w:rsidRPr="00A724EA">
        <w:rPr>
          <w:rStyle w:val="Hyperlink"/>
          <w:color w:val="auto"/>
          <w:szCs w:val="24"/>
          <w:u w:val="none"/>
        </w:rPr>
        <w:t>is generally deemed</w:t>
      </w:r>
      <w:proofErr w:type="gramEnd"/>
      <w:r w:rsidR="00A724EA" w:rsidRPr="00A724EA">
        <w:rPr>
          <w:rStyle w:val="Hyperlink"/>
          <w:color w:val="auto"/>
          <w:szCs w:val="24"/>
          <w:u w:val="none"/>
        </w:rPr>
        <w:t xml:space="preserve"> </w:t>
      </w:r>
      <w:r>
        <w:rPr>
          <w:rStyle w:val="Hyperlink"/>
          <w:color w:val="auto"/>
          <w:szCs w:val="24"/>
          <w:u w:val="none"/>
        </w:rPr>
        <w:t>of higher quality</w:t>
      </w:r>
      <w:r w:rsidR="00A724EA" w:rsidRPr="00A724EA">
        <w:rPr>
          <w:rStyle w:val="Hyperlink"/>
          <w:color w:val="auto"/>
          <w:szCs w:val="24"/>
          <w:u w:val="none"/>
        </w:rPr>
        <w:t xml:space="preserve">. </w:t>
      </w:r>
      <w:r w:rsidR="00A724EA" w:rsidRPr="004053A8">
        <w:rPr>
          <w:rStyle w:val="Hyperlink"/>
          <w:color w:val="auto"/>
          <w:szCs w:val="24"/>
          <w:u w:val="none"/>
        </w:rPr>
        <w:t>The regional offices come second in terms of contact points.</w:t>
      </w:r>
      <w:bookmarkEnd w:id="46"/>
    </w:p>
    <w:p w:rsidR="00BE0940" w:rsidRPr="009F6286" w:rsidRDefault="00972B6F" w:rsidP="00972B6F">
      <w:pPr>
        <w:pStyle w:val="enumlev1"/>
      </w:pPr>
      <w:bookmarkStart w:id="47" w:name="lt_pId070"/>
      <w:r w:rsidRPr="00972B6F">
        <w:rPr>
          <w:rStyle w:val="Hyperlink"/>
          <w:color w:val="auto"/>
          <w:szCs w:val="24"/>
          <w:u w:val="none"/>
        </w:rPr>
        <w:t>•</w:t>
      </w:r>
      <w:r>
        <w:rPr>
          <w:rStyle w:val="Hyperlink"/>
          <w:color w:val="auto"/>
          <w:szCs w:val="24"/>
          <w:u w:val="none"/>
        </w:rPr>
        <w:tab/>
      </w:r>
      <w:r w:rsidR="009F6286" w:rsidRPr="009F6286">
        <w:rPr>
          <w:rFonts w:eastAsia="Arial Unicode MS" w:cstheme="minorHAnsi"/>
        </w:rPr>
        <w:t>Most participants consider that</w:t>
      </w:r>
      <w:r w:rsidR="009F6286">
        <w:rPr>
          <w:rFonts w:eastAsia="Arial Unicode MS" w:cstheme="minorHAnsi"/>
        </w:rPr>
        <w:t xml:space="preserve"> the activities of the regional</w:t>
      </w:r>
      <w:r w:rsidR="009F6286" w:rsidRPr="009F6286">
        <w:rPr>
          <w:rFonts w:eastAsia="Arial Unicode MS" w:cstheme="minorHAnsi"/>
        </w:rPr>
        <w:t xml:space="preserve"> offices are pertinent and that there is no duplication with the activities undertaken by </w:t>
      </w:r>
      <w:r w:rsidR="009F6286">
        <w:rPr>
          <w:rFonts w:cs="Arial"/>
          <w:color w:val="000000"/>
          <w:sz w:val="22"/>
          <w:szCs w:val="22"/>
        </w:rPr>
        <w:t>other international/</w:t>
      </w:r>
      <w:r w:rsidR="009F6286" w:rsidRPr="009F6286">
        <w:rPr>
          <w:rFonts w:cs="Arial"/>
          <w:color w:val="000000"/>
          <w:sz w:val="22"/>
          <w:szCs w:val="22"/>
        </w:rPr>
        <w:t>national organizations</w:t>
      </w:r>
      <w:r w:rsidR="009F6286" w:rsidRPr="009F6286">
        <w:rPr>
          <w:rFonts w:cs="Arial"/>
          <w:color w:val="000000"/>
        </w:rPr>
        <w:t xml:space="preserve">. The majority of participants consider that the regional initiatives are properly addressed by the </w:t>
      </w:r>
      <w:r w:rsidR="009F6286">
        <w:rPr>
          <w:rFonts w:eastAsia="Arial Unicode MS" w:cstheme="minorHAnsi"/>
        </w:rPr>
        <w:t>regional</w:t>
      </w:r>
      <w:r w:rsidR="009F6286" w:rsidRPr="009F6286">
        <w:rPr>
          <w:rFonts w:eastAsia="Arial Unicode MS" w:cstheme="minorHAnsi"/>
        </w:rPr>
        <w:t xml:space="preserve"> offices and that they posi</w:t>
      </w:r>
      <w:r w:rsidR="009F6286">
        <w:rPr>
          <w:rFonts w:eastAsia="Arial Unicode MS" w:cstheme="minorHAnsi"/>
        </w:rPr>
        <w:t xml:space="preserve">tively contribute to the </w:t>
      </w:r>
      <w:proofErr w:type="spellStart"/>
      <w:r w:rsidR="009F6286">
        <w:rPr>
          <w:rFonts w:eastAsia="Arial Unicode MS" w:cstheme="minorHAnsi"/>
        </w:rPr>
        <w:t>fulfill</w:t>
      </w:r>
      <w:r w:rsidR="009F6286" w:rsidRPr="009F6286">
        <w:rPr>
          <w:rFonts w:eastAsia="Arial Unicode MS" w:cstheme="minorHAnsi"/>
        </w:rPr>
        <w:t>ment</w:t>
      </w:r>
      <w:proofErr w:type="spellEnd"/>
      <w:r w:rsidR="009F6286" w:rsidRPr="009F6286">
        <w:rPr>
          <w:rFonts w:eastAsia="Arial Unicode MS" w:cstheme="minorHAnsi"/>
        </w:rPr>
        <w:t xml:space="preserve"> of the objectives and outcomes of the strategic plan</w:t>
      </w:r>
      <w:r w:rsidR="009F6286" w:rsidRPr="009F6286">
        <w:t xml:space="preserve">. However, the view </w:t>
      </w:r>
      <w:proofErr w:type="gramStart"/>
      <w:r w:rsidR="009F6286" w:rsidRPr="009F6286">
        <w:t>is also held</w:t>
      </w:r>
      <w:proofErr w:type="gramEnd"/>
      <w:r w:rsidR="009F6286" w:rsidRPr="009F6286">
        <w:t xml:space="preserve"> that </w:t>
      </w:r>
      <w:r w:rsidR="002760A3">
        <w:t>the regional offices</w:t>
      </w:r>
      <w:r w:rsidR="002760A3" w:rsidRPr="002760A3">
        <w:rPr>
          <w:rFonts w:eastAsia="Arial Unicode MS" w:cstheme="minorHAnsi"/>
        </w:rPr>
        <w:t xml:space="preserve"> do not properly represent all the </w:t>
      </w:r>
      <w:r w:rsidRPr="002760A3">
        <w:rPr>
          <w:rFonts w:eastAsia="Arial Unicode MS" w:cstheme="minorHAnsi"/>
        </w:rPr>
        <w:t>S</w:t>
      </w:r>
      <w:r w:rsidR="002760A3" w:rsidRPr="002760A3">
        <w:rPr>
          <w:rFonts w:eastAsia="Arial Unicode MS" w:cstheme="minorHAnsi"/>
        </w:rPr>
        <w:t>ectors of the</w:t>
      </w:r>
      <w:r>
        <w:rPr>
          <w:rFonts w:eastAsia="Arial Unicode MS" w:cstheme="minorHAnsi"/>
        </w:rPr>
        <w:t xml:space="preserve"> Union</w:t>
      </w:r>
      <w:r w:rsidR="009F6286" w:rsidRPr="009F6286">
        <w:t xml:space="preserve">. </w:t>
      </w:r>
      <w:bookmarkEnd w:id="47"/>
    </w:p>
    <w:p w:rsidR="00BE0940" w:rsidRPr="00972B6F" w:rsidRDefault="00972B6F" w:rsidP="00972B6F">
      <w:pPr>
        <w:pStyle w:val="enumlev1"/>
        <w:rPr>
          <w:szCs w:val="24"/>
        </w:rPr>
      </w:pPr>
      <w:bookmarkStart w:id="48" w:name="lt_pId072"/>
      <w:proofErr w:type="gramStart"/>
      <w:r w:rsidRPr="00972B6F">
        <w:rPr>
          <w:rStyle w:val="Hyperlink"/>
          <w:color w:val="auto"/>
          <w:szCs w:val="24"/>
          <w:u w:val="none"/>
        </w:rPr>
        <w:t>•</w:t>
      </w:r>
      <w:r>
        <w:rPr>
          <w:rStyle w:val="Hyperlink"/>
          <w:color w:val="auto"/>
          <w:szCs w:val="24"/>
          <w:u w:val="none"/>
        </w:rPr>
        <w:tab/>
      </w:r>
      <w:r w:rsidR="000E1341" w:rsidRPr="00972B6F">
        <w:rPr>
          <w:rFonts w:eastAsia="Arial Unicode MS" w:cstheme="minorHAnsi"/>
          <w:szCs w:val="24"/>
        </w:rPr>
        <w:t>Only</w:t>
      </w:r>
      <w:proofErr w:type="gramEnd"/>
      <w:r w:rsidR="000E1341" w:rsidRPr="00972B6F">
        <w:rPr>
          <w:rFonts w:eastAsia="Arial Unicode MS" w:cstheme="minorHAnsi"/>
          <w:szCs w:val="24"/>
        </w:rPr>
        <w:t xml:space="preserve"> half of the participant</w:t>
      </w:r>
      <w:r w:rsidRPr="00972B6F">
        <w:rPr>
          <w:rFonts w:eastAsia="Arial Unicode MS" w:cstheme="minorHAnsi"/>
          <w:szCs w:val="24"/>
        </w:rPr>
        <w:t>s</w:t>
      </w:r>
      <w:r w:rsidR="000E1341" w:rsidRPr="00972B6F">
        <w:rPr>
          <w:rFonts w:eastAsia="Arial Unicode MS" w:cstheme="minorHAnsi"/>
          <w:szCs w:val="24"/>
        </w:rPr>
        <w:t xml:space="preserve"> in the survey are familiar with </w:t>
      </w:r>
      <w:r w:rsidR="000E1341" w:rsidRPr="00972B6F">
        <w:rPr>
          <w:rFonts w:cs="Arial"/>
          <w:color w:val="000000"/>
          <w:szCs w:val="24"/>
        </w:rPr>
        <w:t>the ITU website for regional offices information and consider that the quality and pertinence of the information on ITU regional presence provided on the ITU website are of higher quality</w:t>
      </w:r>
      <w:bookmarkStart w:id="49" w:name="lt_pId073"/>
      <w:bookmarkEnd w:id="48"/>
      <w:r w:rsidR="000E1341" w:rsidRPr="00972B6F">
        <w:rPr>
          <w:szCs w:val="24"/>
        </w:rPr>
        <w:t xml:space="preserve">. </w:t>
      </w:r>
      <w:r w:rsidR="000E1341" w:rsidRPr="00972B6F">
        <w:rPr>
          <w:rFonts w:cs="Arial"/>
          <w:color w:val="000000"/>
          <w:szCs w:val="24"/>
        </w:rPr>
        <w:t>However, the majority of the participants in the survey considered that the ITU website should have specific regional focus for news and events in the relevant language</w:t>
      </w:r>
      <w:bookmarkEnd w:id="49"/>
      <w:r w:rsidR="000E1341" w:rsidRPr="00972B6F">
        <w:rPr>
          <w:rFonts w:cs="Arial"/>
          <w:color w:val="000000"/>
          <w:szCs w:val="24"/>
        </w:rPr>
        <w:t>.</w:t>
      </w:r>
    </w:p>
    <w:p w:rsidR="00BE0940" w:rsidRPr="00972B6F" w:rsidRDefault="00BE0940" w:rsidP="00972B6F">
      <w:pPr>
        <w:pStyle w:val="Headingb"/>
      </w:pPr>
      <w:bookmarkStart w:id="50" w:name="lt_pId074"/>
      <w:r w:rsidRPr="00972B6F">
        <w:t>Prop</w:t>
      </w:r>
      <w:bookmarkEnd w:id="50"/>
      <w:r w:rsidR="00E352B2" w:rsidRPr="00972B6F">
        <w:t>osal</w:t>
      </w:r>
    </w:p>
    <w:p w:rsidR="00BE0940" w:rsidRPr="004053A8" w:rsidRDefault="008E63AA" w:rsidP="00183878">
      <w:bookmarkStart w:id="51" w:name="lt_pId075"/>
      <w:r w:rsidRPr="008E63AA">
        <w:t>Although th</w:t>
      </w:r>
      <w:r>
        <w:t>e ITU regional presence has evol</w:t>
      </w:r>
      <w:r w:rsidRPr="008E63AA">
        <w:t xml:space="preserve">ved positively over recent years </w:t>
      </w:r>
      <w:proofErr w:type="gramStart"/>
      <w:r w:rsidRPr="008E63AA">
        <w:t>as a result</w:t>
      </w:r>
      <w:proofErr w:type="gramEnd"/>
      <w:r w:rsidRPr="008E63AA">
        <w:t xml:space="preserve"> of implementation of various of the JIU recommendations, greater benefits </w:t>
      </w:r>
      <w:r w:rsidR="00972B6F">
        <w:t>would</w:t>
      </w:r>
      <w:r w:rsidRPr="008E63AA">
        <w:t xml:space="preserve"> definitely be reaped </w:t>
      </w:r>
      <w:r w:rsidR="00972B6F">
        <w:t>by further</w:t>
      </w:r>
      <w:r w:rsidRPr="008E63AA">
        <w:t xml:space="preserve"> implement</w:t>
      </w:r>
      <w:r w:rsidR="00972B6F">
        <w:t>ing</w:t>
      </w:r>
      <w:r w:rsidRPr="008E63AA">
        <w:t xml:space="preserve"> the remaining rec</w:t>
      </w:r>
      <w:r w:rsidR="00972B6F">
        <w:t>ommendations</w:t>
      </w:r>
      <w:r w:rsidRPr="008E63AA">
        <w:t>.</w:t>
      </w:r>
      <w:bookmarkEnd w:id="51"/>
    </w:p>
    <w:p w:rsidR="00BE0940" w:rsidRDefault="00901756" w:rsidP="00183878">
      <w:bookmarkStart w:id="52" w:name="lt_pId076"/>
      <w:r w:rsidRPr="007F3CA1">
        <w:t xml:space="preserve">The Mexican Administration is therefore of the view that </w:t>
      </w:r>
      <w:r w:rsidR="007F3CA1" w:rsidRPr="007F3CA1">
        <w:t xml:space="preserve">further steps should be taken to implement Resolution 25, particularly in regard to the following </w:t>
      </w:r>
      <w:r w:rsidR="007F3CA1" w:rsidRPr="007F3CA1">
        <w:rPr>
          <w:i/>
          <w:iCs/>
        </w:rPr>
        <w:t xml:space="preserve">resolves </w:t>
      </w:r>
      <w:r w:rsidR="007F3CA1" w:rsidRPr="007F3CA1">
        <w:t>secti</w:t>
      </w:r>
      <w:bookmarkEnd w:id="52"/>
      <w:r w:rsidR="007F3CA1" w:rsidRPr="007F3CA1">
        <w:t>ons:</w:t>
      </w:r>
    </w:p>
    <w:p w:rsidR="007F3CA1" w:rsidRPr="00972B6F" w:rsidRDefault="007F3CA1" w:rsidP="00972B6F">
      <w:pPr>
        <w:pStyle w:val="enumlev1"/>
        <w:rPr>
          <w:i/>
          <w:iCs/>
          <w:lang w:eastAsia="zh-CN"/>
        </w:rPr>
      </w:pPr>
      <w:r w:rsidRPr="00972B6F">
        <w:rPr>
          <w:i/>
          <w:iCs/>
          <w:lang w:eastAsia="zh-CN"/>
        </w:rPr>
        <w:lastRenderedPageBreak/>
        <w:t>1</w:t>
      </w:r>
      <w:r w:rsidR="00972B6F" w:rsidRPr="00972B6F">
        <w:rPr>
          <w:i/>
          <w:iCs/>
          <w:lang w:eastAsia="zh-CN"/>
        </w:rPr>
        <w:t>)</w:t>
      </w:r>
      <w:r w:rsidRPr="00972B6F">
        <w:rPr>
          <w:i/>
          <w:iCs/>
          <w:lang w:eastAsia="zh-CN"/>
        </w:rPr>
        <w:tab/>
      </w:r>
      <w:proofErr w:type="gramStart"/>
      <w:r w:rsidRPr="00972B6F">
        <w:rPr>
          <w:i/>
          <w:iCs/>
          <w:lang w:eastAsia="zh-CN"/>
        </w:rPr>
        <w:t>to</w:t>
      </w:r>
      <w:proofErr w:type="gramEnd"/>
      <w:r w:rsidRPr="00972B6F">
        <w:rPr>
          <w:i/>
          <w:iCs/>
          <w:lang w:eastAsia="zh-CN"/>
        </w:rPr>
        <w:t xml:space="preserve"> continue the review of the strengthening of ITU regional presence in the interval between two consecutive plenipotentiary conferences;</w:t>
      </w:r>
    </w:p>
    <w:p w:rsidR="007F3CA1" w:rsidRPr="00972B6F" w:rsidRDefault="007F3CA1" w:rsidP="00972B6F">
      <w:pPr>
        <w:pStyle w:val="enumlev1"/>
        <w:rPr>
          <w:i/>
          <w:iCs/>
          <w:lang w:eastAsia="zh-CN"/>
        </w:rPr>
      </w:pPr>
      <w:r w:rsidRPr="00972B6F">
        <w:rPr>
          <w:i/>
          <w:iCs/>
          <w:lang w:eastAsia="zh-CN"/>
        </w:rPr>
        <w:t>2</w:t>
      </w:r>
      <w:r w:rsidR="00972B6F" w:rsidRPr="00972B6F">
        <w:rPr>
          <w:i/>
          <w:iCs/>
          <w:lang w:eastAsia="zh-CN"/>
        </w:rPr>
        <w:t>)</w:t>
      </w:r>
      <w:r w:rsidRPr="00972B6F">
        <w:rPr>
          <w:i/>
          <w:iCs/>
          <w:lang w:eastAsia="zh-CN"/>
        </w:rPr>
        <w:tab/>
      </w:r>
      <w:proofErr w:type="gramStart"/>
      <w:r w:rsidRPr="00972B6F">
        <w:rPr>
          <w:i/>
          <w:iCs/>
          <w:lang w:eastAsia="zh-CN"/>
        </w:rPr>
        <w:t>to</w:t>
      </w:r>
      <w:proofErr w:type="gramEnd"/>
      <w:r w:rsidRPr="00972B6F">
        <w:rPr>
          <w:i/>
          <w:iCs/>
          <w:lang w:eastAsia="zh-CN"/>
        </w:rPr>
        <w:t xml:space="preserve"> strengthen the functions of the regional offices so that they can play a part in the implementation of programmes and projects in the framework of the regional initiatives, within the resources allocated by the financial plan;</w:t>
      </w:r>
    </w:p>
    <w:p w:rsidR="008558FD" w:rsidRPr="00972B6F" w:rsidRDefault="007F3CA1" w:rsidP="00972B6F">
      <w:pPr>
        <w:pStyle w:val="enumlev1"/>
        <w:rPr>
          <w:i/>
          <w:iCs/>
          <w:lang w:eastAsia="zh-CN"/>
        </w:rPr>
      </w:pPr>
      <w:r w:rsidRPr="00972B6F">
        <w:rPr>
          <w:i/>
          <w:iCs/>
          <w:lang w:eastAsia="zh-CN"/>
        </w:rPr>
        <w:t>3</w:t>
      </w:r>
      <w:r w:rsidR="00972B6F" w:rsidRPr="00972B6F">
        <w:rPr>
          <w:i/>
          <w:iCs/>
          <w:lang w:eastAsia="zh-CN"/>
        </w:rPr>
        <w:t>)</w:t>
      </w:r>
      <w:r w:rsidRPr="00972B6F">
        <w:rPr>
          <w:i/>
          <w:iCs/>
          <w:lang w:eastAsia="zh-CN"/>
        </w:rPr>
        <w:tab/>
      </w:r>
      <w:proofErr w:type="gramStart"/>
      <w:r w:rsidRPr="00972B6F">
        <w:rPr>
          <w:i/>
          <w:iCs/>
          <w:lang w:eastAsia="zh-CN"/>
        </w:rPr>
        <w:t>that</w:t>
      </w:r>
      <w:proofErr w:type="gramEnd"/>
      <w:r w:rsidRPr="00972B6F">
        <w:rPr>
          <w:i/>
          <w:iCs/>
          <w:lang w:eastAsia="zh-CN"/>
        </w:rPr>
        <w:t xml:space="preserve"> regional offices play a key role in facilitating discussions on regional matters and the dissemination of information and results of activities of all three Sectors of the Union, while avoiding the duplication of such functions </w:t>
      </w:r>
      <w:r w:rsidR="009E4527" w:rsidRPr="00972B6F">
        <w:rPr>
          <w:i/>
          <w:iCs/>
          <w:lang w:eastAsia="zh-CN"/>
        </w:rPr>
        <w:t>with headquarters.</w:t>
      </w:r>
      <w:bookmarkStart w:id="53" w:name="lt_pId083"/>
    </w:p>
    <w:p w:rsidR="00BE0940" w:rsidRPr="009313F8" w:rsidRDefault="008558FD" w:rsidP="00183878">
      <w:pPr>
        <w:rPr>
          <w:lang w:eastAsia="zh-CN"/>
        </w:rPr>
      </w:pPr>
      <w:r>
        <w:rPr>
          <w:lang w:eastAsia="zh-CN"/>
        </w:rPr>
        <w:t>Thus, the Mexican Administration proposes that the Council request the Secretary-General to include in his report on the implementation of Revolution 25 (Rev.</w:t>
      </w:r>
      <w:r w:rsidR="0088435A">
        <w:rPr>
          <w:lang w:eastAsia="zh-CN"/>
        </w:rPr>
        <w:t xml:space="preserve"> </w:t>
      </w:r>
      <w:r>
        <w:rPr>
          <w:lang w:eastAsia="zh-CN"/>
        </w:rPr>
        <w:t xml:space="preserve">Busan, 2014) “Strengthening the regional presence” an analysis of the recommendations of the Joint Inspection Unit of the United Nations system, and to analyse the possibility of implementing the remaining </w:t>
      </w:r>
      <w:r w:rsidR="00972B6F">
        <w:rPr>
          <w:lang w:eastAsia="zh-CN"/>
        </w:rPr>
        <w:t xml:space="preserve">recommendations </w:t>
      </w:r>
      <w:r w:rsidR="009313F8">
        <w:rPr>
          <w:lang w:eastAsia="zh-CN"/>
        </w:rPr>
        <w:t>through a set work plan. The following recommendations are particularly salient</w:t>
      </w:r>
      <w:bookmarkStart w:id="54" w:name="lt_pId084"/>
      <w:bookmarkEnd w:id="53"/>
      <w:r w:rsidR="00BE0940" w:rsidRPr="0088435A">
        <w:t>:</w:t>
      </w:r>
      <w:bookmarkEnd w:id="54"/>
    </w:p>
    <w:p w:rsidR="00BE0940" w:rsidRPr="0088435A" w:rsidRDefault="00972B6F" w:rsidP="00972B6F">
      <w:pPr>
        <w:pStyle w:val="enumlev1"/>
      </w:pPr>
      <w:bookmarkStart w:id="55" w:name="lt_pId085"/>
      <w:r>
        <w:t>•</w:t>
      </w:r>
      <w:r>
        <w:tab/>
        <w:t>Reduction in</w:t>
      </w:r>
      <w:r w:rsidR="00D76257" w:rsidRPr="0088435A">
        <w:t xml:space="preserve"> the number of offices in the Americas </w:t>
      </w:r>
      <w:r w:rsidR="0088435A" w:rsidRPr="0088435A">
        <w:t>regio</w:t>
      </w:r>
      <w:r w:rsidR="00D76257" w:rsidRPr="0088435A">
        <w:t>n, in order to make better use of available resources</w:t>
      </w:r>
      <w:bookmarkEnd w:id="55"/>
    </w:p>
    <w:p w:rsidR="00BE0940" w:rsidRPr="0088435A" w:rsidRDefault="00972B6F" w:rsidP="00972B6F">
      <w:pPr>
        <w:pStyle w:val="enumlev1"/>
      </w:pPr>
      <w:bookmarkStart w:id="56" w:name="lt_pId086"/>
      <w:r>
        <w:t>•</w:t>
      </w:r>
      <w:r>
        <w:tab/>
      </w:r>
      <w:r>
        <w:t>Analysis of</w:t>
      </w:r>
      <w:r w:rsidR="00D76257" w:rsidRPr="0088435A">
        <w:t xml:space="preserve"> whether the regional offices should be under the supervision </w:t>
      </w:r>
      <w:r w:rsidR="0088435A">
        <w:t>and</w:t>
      </w:r>
      <w:r w:rsidR="00D76257" w:rsidRPr="0088435A">
        <w:t xml:space="preserve"> mandate of the General Secretariat rather than BDT, since the intention is for the regional offices to </w:t>
      </w:r>
      <w:r w:rsidR="0088435A">
        <w:t>re</w:t>
      </w:r>
      <w:r w:rsidR="00D76257" w:rsidRPr="0088435A">
        <w:t>present ITU as a whole and not solely BDT</w:t>
      </w:r>
      <w:bookmarkEnd w:id="56"/>
    </w:p>
    <w:p w:rsidR="00BE0940" w:rsidRPr="0088435A" w:rsidRDefault="00972B6F" w:rsidP="00972B6F">
      <w:pPr>
        <w:pStyle w:val="enumlev1"/>
      </w:pPr>
      <w:bookmarkStart w:id="57" w:name="lt_pId087"/>
      <w:r>
        <w:t>•</w:t>
      </w:r>
      <w:r>
        <w:tab/>
      </w:r>
      <w:r w:rsidR="00442BD3" w:rsidRPr="0088435A">
        <w:t>Study</w:t>
      </w:r>
      <w:r w:rsidR="00D76257" w:rsidRPr="0088435A">
        <w:t xml:space="preserve"> </w:t>
      </w:r>
      <w:r>
        <w:t xml:space="preserve">of </w:t>
      </w:r>
      <w:r w:rsidR="00D76257" w:rsidRPr="0088435A">
        <w:t xml:space="preserve">measures to increase the participation of ITU-T and ITU-R by, for example, recruiting </w:t>
      </w:r>
      <w:r w:rsidR="00442BD3" w:rsidRPr="0088435A">
        <w:t xml:space="preserve">staff specialized in the requirements of each </w:t>
      </w:r>
      <w:r w:rsidR="0088435A" w:rsidRPr="0088435A">
        <w:t>regio</w:t>
      </w:r>
      <w:r w:rsidR="00442BD3" w:rsidRPr="0088435A">
        <w:t>n, thus ensuring that the regional offices properly represent all Sectors of ITU</w:t>
      </w:r>
      <w:bookmarkEnd w:id="57"/>
    </w:p>
    <w:p w:rsidR="00BE0940" w:rsidRPr="004053A8" w:rsidRDefault="00972B6F" w:rsidP="00972B6F">
      <w:pPr>
        <w:pStyle w:val="enumlev1"/>
      </w:pPr>
      <w:bookmarkStart w:id="58" w:name="lt_pId088"/>
      <w:r>
        <w:t>•</w:t>
      </w:r>
      <w:r>
        <w:tab/>
      </w:r>
      <w:r>
        <w:t>P</w:t>
      </w:r>
      <w:r w:rsidR="00A3510D" w:rsidRPr="007B6061">
        <w:t>ertinence of the ITU website having specific regional focus for news and events in each region in the relevant language.</w:t>
      </w:r>
      <w:bookmarkEnd w:id="58"/>
    </w:p>
    <w:p w:rsidR="00BE0940" w:rsidRPr="004053A8" w:rsidRDefault="007B6061" w:rsidP="00183878">
      <w:bookmarkStart w:id="59" w:name="lt_pId089"/>
      <w:r w:rsidRPr="007B6061">
        <w:t xml:space="preserve">Lastly, the Council </w:t>
      </w:r>
      <w:proofErr w:type="gramStart"/>
      <w:r w:rsidRPr="007B6061">
        <w:t>is invited</w:t>
      </w:r>
      <w:proofErr w:type="gramEnd"/>
      <w:r w:rsidRPr="007B6061">
        <w:t xml:space="preserve"> to include this information </w:t>
      </w:r>
      <w:r>
        <w:t>in its repor</w:t>
      </w:r>
      <w:r w:rsidRPr="007B6061">
        <w:t>t to the plenipotentiary conference and e</w:t>
      </w:r>
      <w:r>
        <w:t>xamine whether it would be appro</w:t>
      </w:r>
      <w:r w:rsidRPr="007B6061">
        <w:t>priate to set up a working group on strengthening and improving the ITU regional presence.</w:t>
      </w:r>
      <w:bookmarkEnd w:id="59"/>
    </w:p>
    <w:p w:rsidR="00972B6F" w:rsidRDefault="00972B6F" w:rsidP="0032202E">
      <w:pPr>
        <w:pStyle w:val="Reasons"/>
      </w:pPr>
    </w:p>
    <w:p w:rsidR="00972B6F" w:rsidRDefault="00972B6F" w:rsidP="0032202E">
      <w:pPr>
        <w:pStyle w:val="Reasons"/>
      </w:pPr>
    </w:p>
    <w:p w:rsidR="00972B6F" w:rsidRDefault="00972B6F">
      <w:pPr>
        <w:jc w:val="center"/>
      </w:pPr>
      <w:r>
        <w:t>______________</w:t>
      </w:r>
    </w:p>
    <w:sectPr w:rsidR="00972B6F" w:rsidSect="004D1851">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6DE" w:rsidRDefault="00D636DE">
      <w:r>
        <w:separator/>
      </w:r>
    </w:p>
  </w:endnote>
  <w:endnote w:type="continuationSeparator" w:id="0">
    <w:p w:rsidR="00D636DE" w:rsidRDefault="00D6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3DA" w:rsidRDefault="00B553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10E" w:rsidRPr="0077410E" w:rsidRDefault="0077410E" w:rsidP="00B553DA">
    <w:pPr>
      <w:pStyle w:val="Footer"/>
      <w:rPr>
        <w:lang w:val="fr-CH"/>
      </w:rPr>
    </w:pPr>
    <w:r>
      <w:fldChar w:fldCharType="begin"/>
    </w:r>
    <w:r w:rsidRPr="0077410E">
      <w:rPr>
        <w:lang w:val="fr-CH"/>
      </w:rPr>
      <w:instrText xml:space="preserve"> FILENAME \p  \* MERGEFORMAT </w:instrText>
    </w:r>
    <w:r>
      <w:fldChar w:fldCharType="separate"/>
    </w:r>
    <w:r w:rsidRPr="0077410E">
      <w:rPr>
        <w:lang w:val="fr-CH"/>
      </w:rPr>
      <w:t>P:\ENG\SG\CONSEIL\C18\000\099E.docx</w:t>
    </w:r>
    <w:r>
      <w:fldChar w:fldCharType="end"/>
    </w:r>
    <w:r w:rsidRPr="0077410E">
      <w:rPr>
        <w:lang w:val="fr-CH"/>
      </w:rPr>
      <w:t xml:space="preserve"> (434536)</w:t>
    </w:r>
    <w:r w:rsidR="00B553DA" w:rsidRPr="0077410E">
      <w:rPr>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bookmarkStart w:id="60" w:name="_GoBack"/>
    <w:bookmarkEnd w:id="6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6DE" w:rsidRDefault="00D636DE">
      <w:r>
        <w:t>____________________</w:t>
      </w:r>
    </w:p>
  </w:footnote>
  <w:footnote w:type="continuationSeparator" w:id="0">
    <w:p w:rsidR="00D636DE" w:rsidRDefault="00D63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3DA" w:rsidRDefault="00B553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1779CF">
      <w:rPr>
        <w:noProof/>
      </w:rPr>
      <w:t>6</w:t>
    </w:r>
    <w:r>
      <w:rPr>
        <w:noProof/>
      </w:rPr>
      <w:fldChar w:fldCharType="end"/>
    </w:r>
  </w:p>
  <w:p w:rsidR="00322D0D" w:rsidRPr="00623AE3" w:rsidRDefault="00623AE3" w:rsidP="001430C1">
    <w:pPr>
      <w:pStyle w:val="Header"/>
      <w:rPr>
        <w:bCs/>
      </w:rPr>
    </w:pPr>
    <w:r w:rsidRPr="00623AE3">
      <w:rPr>
        <w:bCs/>
      </w:rPr>
      <w:t>C18/</w:t>
    </w:r>
    <w:r w:rsidR="001430C1">
      <w:rPr>
        <w:bCs/>
      </w:rPr>
      <w:t>99</w:t>
    </w:r>
    <w:r w:rsidRPr="00623AE3">
      <w:rPr>
        <w:bC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3DA" w:rsidRDefault="00B553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1C01E1C"/>
    <w:multiLevelType w:val="hybridMultilevel"/>
    <w:tmpl w:val="5EB83876"/>
    <w:lvl w:ilvl="0" w:tplc="C69E1D6A">
      <w:start w:val="1"/>
      <w:numFmt w:val="bullet"/>
      <w:lvlText w:val=""/>
      <w:lvlJc w:val="left"/>
      <w:pPr>
        <w:ind w:left="1080" w:hanging="360"/>
      </w:pPr>
      <w:rPr>
        <w:rFonts w:ascii="Wingdings" w:hAnsi="Wingdings" w:hint="default"/>
      </w:rPr>
    </w:lvl>
    <w:lvl w:ilvl="1" w:tplc="DD721C52" w:tentative="1">
      <w:start w:val="1"/>
      <w:numFmt w:val="bullet"/>
      <w:lvlText w:val="o"/>
      <w:lvlJc w:val="left"/>
      <w:pPr>
        <w:ind w:left="1800" w:hanging="360"/>
      </w:pPr>
      <w:rPr>
        <w:rFonts w:ascii="Courier New" w:hAnsi="Courier New" w:cs="Courier New" w:hint="default"/>
      </w:rPr>
    </w:lvl>
    <w:lvl w:ilvl="2" w:tplc="E816194C" w:tentative="1">
      <w:start w:val="1"/>
      <w:numFmt w:val="bullet"/>
      <w:lvlText w:val=""/>
      <w:lvlJc w:val="left"/>
      <w:pPr>
        <w:ind w:left="2520" w:hanging="360"/>
      </w:pPr>
      <w:rPr>
        <w:rFonts w:ascii="Wingdings" w:hAnsi="Wingdings" w:hint="default"/>
      </w:rPr>
    </w:lvl>
    <w:lvl w:ilvl="3" w:tplc="C4BE2476" w:tentative="1">
      <w:start w:val="1"/>
      <w:numFmt w:val="bullet"/>
      <w:lvlText w:val=""/>
      <w:lvlJc w:val="left"/>
      <w:pPr>
        <w:ind w:left="3240" w:hanging="360"/>
      </w:pPr>
      <w:rPr>
        <w:rFonts w:ascii="Symbol" w:hAnsi="Symbol" w:hint="default"/>
      </w:rPr>
    </w:lvl>
    <w:lvl w:ilvl="4" w:tplc="3920CD6A" w:tentative="1">
      <w:start w:val="1"/>
      <w:numFmt w:val="bullet"/>
      <w:lvlText w:val="o"/>
      <w:lvlJc w:val="left"/>
      <w:pPr>
        <w:ind w:left="3960" w:hanging="360"/>
      </w:pPr>
      <w:rPr>
        <w:rFonts w:ascii="Courier New" w:hAnsi="Courier New" w:cs="Courier New" w:hint="default"/>
      </w:rPr>
    </w:lvl>
    <w:lvl w:ilvl="5" w:tplc="DCB468D4" w:tentative="1">
      <w:start w:val="1"/>
      <w:numFmt w:val="bullet"/>
      <w:lvlText w:val=""/>
      <w:lvlJc w:val="left"/>
      <w:pPr>
        <w:ind w:left="4680" w:hanging="360"/>
      </w:pPr>
      <w:rPr>
        <w:rFonts w:ascii="Wingdings" w:hAnsi="Wingdings" w:hint="default"/>
      </w:rPr>
    </w:lvl>
    <w:lvl w:ilvl="6" w:tplc="17FA1768" w:tentative="1">
      <w:start w:val="1"/>
      <w:numFmt w:val="bullet"/>
      <w:lvlText w:val=""/>
      <w:lvlJc w:val="left"/>
      <w:pPr>
        <w:ind w:left="5400" w:hanging="360"/>
      </w:pPr>
      <w:rPr>
        <w:rFonts w:ascii="Symbol" w:hAnsi="Symbol" w:hint="default"/>
      </w:rPr>
    </w:lvl>
    <w:lvl w:ilvl="7" w:tplc="4D807FD8" w:tentative="1">
      <w:start w:val="1"/>
      <w:numFmt w:val="bullet"/>
      <w:lvlText w:val="o"/>
      <w:lvlJc w:val="left"/>
      <w:pPr>
        <w:ind w:left="6120" w:hanging="360"/>
      </w:pPr>
      <w:rPr>
        <w:rFonts w:ascii="Courier New" w:hAnsi="Courier New" w:cs="Courier New" w:hint="default"/>
      </w:rPr>
    </w:lvl>
    <w:lvl w:ilvl="8" w:tplc="041CEDCE" w:tentative="1">
      <w:start w:val="1"/>
      <w:numFmt w:val="bullet"/>
      <w:lvlText w:val=""/>
      <w:lvlJc w:val="left"/>
      <w:pPr>
        <w:ind w:left="6840" w:hanging="360"/>
      </w:pPr>
      <w:rPr>
        <w:rFonts w:ascii="Wingdings" w:hAnsi="Wingdings" w:hint="default"/>
      </w:rPr>
    </w:lvl>
  </w:abstractNum>
  <w:abstractNum w:abstractNumId="2" w15:restartNumberingAfterBreak="0">
    <w:nsid w:val="518803C7"/>
    <w:multiLevelType w:val="hybridMultilevel"/>
    <w:tmpl w:val="05BECB28"/>
    <w:lvl w:ilvl="0" w:tplc="83F0F8EA">
      <w:start w:val="1"/>
      <w:numFmt w:val="bullet"/>
      <w:lvlText w:val=""/>
      <w:lvlJc w:val="left"/>
      <w:pPr>
        <w:ind w:left="720" w:hanging="360"/>
      </w:pPr>
      <w:rPr>
        <w:rFonts w:ascii="Symbol" w:hAnsi="Symbol" w:hint="default"/>
      </w:rPr>
    </w:lvl>
    <w:lvl w:ilvl="1" w:tplc="BB8C916A" w:tentative="1">
      <w:start w:val="1"/>
      <w:numFmt w:val="bullet"/>
      <w:lvlText w:val="o"/>
      <w:lvlJc w:val="left"/>
      <w:pPr>
        <w:ind w:left="1440" w:hanging="360"/>
      </w:pPr>
      <w:rPr>
        <w:rFonts w:ascii="Courier New" w:hAnsi="Courier New" w:cs="Courier New" w:hint="default"/>
      </w:rPr>
    </w:lvl>
    <w:lvl w:ilvl="2" w:tplc="0F2EDEA6" w:tentative="1">
      <w:start w:val="1"/>
      <w:numFmt w:val="bullet"/>
      <w:lvlText w:val=""/>
      <w:lvlJc w:val="left"/>
      <w:pPr>
        <w:ind w:left="2160" w:hanging="360"/>
      </w:pPr>
      <w:rPr>
        <w:rFonts w:ascii="Wingdings" w:hAnsi="Wingdings" w:hint="default"/>
      </w:rPr>
    </w:lvl>
    <w:lvl w:ilvl="3" w:tplc="40789978" w:tentative="1">
      <w:start w:val="1"/>
      <w:numFmt w:val="bullet"/>
      <w:lvlText w:val=""/>
      <w:lvlJc w:val="left"/>
      <w:pPr>
        <w:ind w:left="2880" w:hanging="360"/>
      </w:pPr>
      <w:rPr>
        <w:rFonts w:ascii="Symbol" w:hAnsi="Symbol" w:hint="default"/>
      </w:rPr>
    </w:lvl>
    <w:lvl w:ilvl="4" w:tplc="094E5756" w:tentative="1">
      <w:start w:val="1"/>
      <w:numFmt w:val="bullet"/>
      <w:lvlText w:val="o"/>
      <w:lvlJc w:val="left"/>
      <w:pPr>
        <w:ind w:left="3600" w:hanging="360"/>
      </w:pPr>
      <w:rPr>
        <w:rFonts w:ascii="Courier New" w:hAnsi="Courier New" w:cs="Courier New" w:hint="default"/>
      </w:rPr>
    </w:lvl>
    <w:lvl w:ilvl="5" w:tplc="FA7896CE" w:tentative="1">
      <w:start w:val="1"/>
      <w:numFmt w:val="bullet"/>
      <w:lvlText w:val=""/>
      <w:lvlJc w:val="left"/>
      <w:pPr>
        <w:ind w:left="4320" w:hanging="360"/>
      </w:pPr>
      <w:rPr>
        <w:rFonts w:ascii="Wingdings" w:hAnsi="Wingdings" w:hint="default"/>
      </w:rPr>
    </w:lvl>
    <w:lvl w:ilvl="6" w:tplc="C462671C" w:tentative="1">
      <w:start w:val="1"/>
      <w:numFmt w:val="bullet"/>
      <w:lvlText w:val=""/>
      <w:lvlJc w:val="left"/>
      <w:pPr>
        <w:ind w:left="5040" w:hanging="360"/>
      </w:pPr>
      <w:rPr>
        <w:rFonts w:ascii="Symbol" w:hAnsi="Symbol" w:hint="default"/>
      </w:rPr>
    </w:lvl>
    <w:lvl w:ilvl="7" w:tplc="FD3EE6D4" w:tentative="1">
      <w:start w:val="1"/>
      <w:numFmt w:val="bullet"/>
      <w:lvlText w:val="o"/>
      <w:lvlJc w:val="left"/>
      <w:pPr>
        <w:ind w:left="5760" w:hanging="360"/>
      </w:pPr>
      <w:rPr>
        <w:rFonts w:ascii="Courier New" w:hAnsi="Courier New" w:cs="Courier New" w:hint="default"/>
      </w:rPr>
    </w:lvl>
    <w:lvl w:ilvl="8" w:tplc="D5CA264A" w:tentative="1">
      <w:start w:val="1"/>
      <w:numFmt w:val="bullet"/>
      <w:lvlText w:val=""/>
      <w:lvlJc w:val="left"/>
      <w:pPr>
        <w:ind w:left="6480" w:hanging="360"/>
      </w:pPr>
      <w:rPr>
        <w:rFonts w:ascii="Wingdings" w:hAnsi="Wingdings" w:hint="default"/>
      </w:rPr>
    </w:lvl>
  </w:abstractNum>
  <w:abstractNum w:abstractNumId="3" w15:restartNumberingAfterBreak="0">
    <w:nsid w:val="79895EED"/>
    <w:multiLevelType w:val="hybridMultilevel"/>
    <w:tmpl w:val="EF3EC0E2"/>
    <w:lvl w:ilvl="0" w:tplc="9468D522">
      <w:start w:val="1"/>
      <w:numFmt w:val="lowerRoman"/>
      <w:lvlText w:val="%1."/>
      <w:lvlJc w:val="right"/>
      <w:pPr>
        <w:ind w:left="720" w:hanging="360"/>
      </w:pPr>
    </w:lvl>
    <w:lvl w:ilvl="1" w:tplc="EFB8012E" w:tentative="1">
      <w:start w:val="1"/>
      <w:numFmt w:val="lowerLetter"/>
      <w:lvlText w:val="%2."/>
      <w:lvlJc w:val="left"/>
      <w:pPr>
        <w:ind w:left="1440" w:hanging="360"/>
      </w:pPr>
    </w:lvl>
    <w:lvl w:ilvl="2" w:tplc="B508701E" w:tentative="1">
      <w:start w:val="1"/>
      <w:numFmt w:val="lowerRoman"/>
      <w:lvlText w:val="%3."/>
      <w:lvlJc w:val="right"/>
      <w:pPr>
        <w:ind w:left="2160" w:hanging="180"/>
      </w:pPr>
    </w:lvl>
    <w:lvl w:ilvl="3" w:tplc="BC2C792E" w:tentative="1">
      <w:start w:val="1"/>
      <w:numFmt w:val="decimal"/>
      <w:lvlText w:val="%4."/>
      <w:lvlJc w:val="left"/>
      <w:pPr>
        <w:ind w:left="2880" w:hanging="360"/>
      </w:pPr>
    </w:lvl>
    <w:lvl w:ilvl="4" w:tplc="7E807BC0" w:tentative="1">
      <w:start w:val="1"/>
      <w:numFmt w:val="lowerLetter"/>
      <w:lvlText w:val="%5."/>
      <w:lvlJc w:val="left"/>
      <w:pPr>
        <w:ind w:left="3600" w:hanging="360"/>
      </w:pPr>
    </w:lvl>
    <w:lvl w:ilvl="5" w:tplc="0B9017F6" w:tentative="1">
      <w:start w:val="1"/>
      <w:numFmt w:val="lowerRoman"/>
      <w:lvlText w:val="%6."/>
      <w:lvlJc w:val="right"/>
      <w:pPr>
        <w:ind w:left="4320" w:hanging="180"/>
      </w:pPr>
    </w:lvl>
    <w:lvl w:ilvl="6" w:tplc="B1940CA4" w:tentative="1">
      <w:start w:val="1"/>
      <w:numFmt w:val="decimal"/>
      <w:lvlText w:val="%7."/>
      <w:lvlJc w:val="left"/>
      <w:pPr>
        <w:ind w:left="5040" w:hanging="360"/>
      </w:pPr>
    </w:lvl>
    <w:lvl w:ilvl="7" w:tplc="2F289E86" w:tentative="1">
      <w:start w:val="1"/>
      <w:numFmt w:val="lowerLetter"/>
      <w:lvlText w:val="%8."/>
      <w:lvlJc w:val="left"/>
      <w:pPr>
        <w:ind w:left="5760" w:hanging="360"/>
      </w:pPr>
    </w:lvl>
    <w:lvl w:ilvl="8" w:tplc="E2B4CD6E"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6DE"/>
    <w:rsid w:val="000210D4"/>
    <w:rsid w:val="00036059"/>
    <w:rsid w:val="0004371E"/>
    <w:rsid w:val="00063016"/>
    <w:rsid w:val="00066795"/>
    <w:rsid w:val="00076AF6"/>
    <w:rsid w:val="000849E1"/>
    <w:rsid w:val="00085CF2"/>
    <w:rsid w:val="000B1705"/>
    <w:rsid w:val="000B1DFE"/>
    <w:rsid w:val="000D280D"/>
    <w:rsid w:val="000D75B2"/>
    <w:rsid w:val="000E1341"/>
    <w:rsid w:val="000F74E8"/>
    <w:rsid w:val="00101235"/>
    <w:rsid w:val="00105E0A"/>
    <w:rsid w:val="001121F5"/>
    <w:rsid w:val="001400DC"/>
    <w:rsid w:val="00140CE1"/>
    <w:rsid w:val="001430C1"/>
    <w:rsid w:val="0017539C"/>
    <w:rsid w:val="00175AC2"/>
    <w:rsid w:val="0017609F"/>
    <w:rsid w:val="001779CF"/>
    <w:rsid w:val="00183878"/>
    <w:rsid w:val="00196DE2"/>
    <w:rsid w:val="001C5A45"/>
    <w:rsid w:val="001C628E"/>
    <w:rsid w:val="001E0F7B"/>
    <w:rsid w:val="001F4F55"/>
    <w:rsid w:val="00203DC5"/>
    <w:rsid w:val="002119FD"/>
    <w:rsid w:val="002130E0"/>
    <w:rsid w:val="0022141A"/>
    <w:rsid w:val="0025226E"/>
    <w:rsid w:val="002564CC"/>
    <w:rsid w:val="00264425"/>
    <w:rsid w:val="00265875"/>
    <w:rsid w:val="0027303B"/>
    <w:rsid w:val="002752A9"/>
    <w:rsid w:val="002760A3"/>
    <w:rsid w:val="0028109B"/>
    <w:rsid w:val="002A2188"/>
    <w:rsid w:val="002B1F58"/>
    <w:rsid w:val="002C1C7A"/>
    <w:rsid w:val="0030160F"/>
    <w:rsid w:val="00302846"/>
    <w:rsid w:val="00322D0D"/>
    <w:rsid w:val="003942D4"/>
    <w:rsid w:val="003958A8"/>
    <w:rsid w:val="003A0CEF"/>
    <w:rsid w:val="003C2533"/>
    <w:rsid w:val="0040435A"/>
    <w:rsid w:val="004053A8"/>
    <w:rsid w:val="00416A24"/>
    <w:rsid w:val="00431D9E"/>
    <w:rsid w:val="00433CE8"/>
    <w:rsid w:val="00434A5C"/>
    <w:rsid w:val="00442BD3"/>
    <w:rsid w:val="004544D9"/>
    <w:rsid w:val="004819F2"/>
    <w:rsid w:val="00490E72"/>
    <w:rsid w:val="00491157"/>
    <w:rsid w:val="004921C8"/>
    <w:rsid w:val="004C48F0"/>
    <w:rsid w:val="004D1851"/>
    <w:rsid w:val="004D599D"/>
    <w:rsid w:val="004E2EA5"/>
    <w:rsid w:val="004E3AEB"/>
    <w:rsid w:val="0050223C"/>
    <w:rsid w:val="005243FF"/>
    <w:rsid w:val="00564FBC"/>
    <w:rsid w:val="005706E2"/>
    <w:rsid w:val="00582442"/>
    <w:rsid w:val="005E4465"/>
    <w:rsid w:val="005F3269"/>
    <w:rsid w:val="00621076"/>
    <w:rsid w:val="00623AE3"/>
    <w:rsid w:val="0064737F"/>
    <w:rsid w:val="006535F1"/>
    <w:rsid w:val="0065557D"/>
    <w:rsid w:val="00662984"/>
    <w:rsid w:val="006716BB"/>
    <w:rsid w:val="006B6680"/>
    <w:rsid w:val="006B6DCC"/>
    <w:rsid w:val="006F73AE"/>
    <w:rsid w:val="00702DEF"/>
    <w:rsid w:val="00706861"/>
    <w:rsid w:val="00734388"/>
    <w:rsid w:val="0075051B"/>
    <w:rsid w:val="0077410E"/>
    <w:rsid w:val="00793188"/>
    <w:rsid w:val="00794D34"/>
    <w:rsid w:val="007B0893"/>
    <w:rsid w:val="007B6061"/>
    <w:rsid w:val="007B7D5C"/>
    <w:rsid w:val="007B7DFE"/>
    <w:rsid w:val="007C00FE"/>
    <w:rsid w:val="007C2BF5"/>
    <w:rsid w:val="007E518A"/>
    <w:rsid w:val="007F3CA1"/>
    <w:rsid w:val="008122E3"/>
    <w:rsid w:val="00813E5E"/>
    <w:rsid w:val="00832488"/>
    <w:rsid w:val="0083581B"/>
    <w:rsid w:val="008558FD"/>
    <w:rsid w:val="0086227D"/>
    <w:rsid w:val="00863447"/>
    <w:rsid w:val="00864AFF"/>
    <w:rsid w:val="0088435A"/>
    <w:rsid w:val="00896316"/>
    <w:rsid w:val="008A4E06"/>
    <w:rsid w:val="008B4A6A"/>
    <w:rsid w:val="008C0299"/>
    <w:rsid w:val="008C41FF"/>
    <w:rsid w:val="008C7E27"/>
    <w:rsid w:val="008E63AA"/>
    <w:rsid w:val="00901756"/>
    <w:rsid w:val="009173EF"/>
    <w:rsid w:val="0091791B"/>
    <w:rsid w:val="009313F8"/>
    <w:rsid w:val="00932906"/>
    <w:rsid w:val="00961B0B"/>
    <w:rsid w:val="00962471"/>
    <w:rsid w:val="00972B6F"/>
    <w:rsid w:val="009766A6"/>
    <w:rsid w:val="00987ED3"/>
    <w:rsid w:val="009B38C3"/>
    <w:rsid w:val="009E17BD"/>
    <w:rsid w:val="009E4527"/>
    <w:rsid w:val="009E485A"/>
    <w:rsid w:val="009F3B02"/>
    <w:rsid w:val="009F6286"/>
    <w:rsid w:val="00A04CEC"/>
    <w:rsid w:val="00A27F92"/>
    <w:rsid w:val="00A32257"/>
    <w:rsid w:val="00A3510D"/>
    <w:rsid w:val="00A36D20"/>
    <w:rsid w:val="00A40B7F"/>
    <w:rsid w:val="00A4240C"/>
    <w:rsid w:val="00A4250F"/>
    <w:rsid w:val="00A55622"/>
    <w:rsid w:val="00A724EA"/>
    <w:rsid w:val="00A80CDB"/>
    <w:rsid w:val="00A83502"/>
    <w:rsid w:val="00A905A4"/>
    <w:rsid w:val="00AA1F82"/>
    <w:rsid w:val="00AB018E"/>
    <w:rsid w:val="00AC4625"/>
    <w:rsid w:val="00AD15B3"/>
    <w:rsid w:val="00AF6E49"/>
    <w:rsid w:val="00B04A67"/>
    <w:rsid w:val="00B0583C"/>
    <w:rsid w:val="00B40A81"/>
    <w:rsid w:val="00B44910"/>
    <w:rsid w:val="00B553DA"/>
    <w:rsid w:val="00B72267"/>
    <w:rsid w:val="00B76EB6"/>
    <w:rsid w:val="00B7737B"/>
    <w:rsid w:val="00B824C8"/>
    <w:rsid w:val="00B919E4"/>
    <w:rsid w:val="00BC251A"/>
    <w:rsid w:val="00BC70F6"/>
    <w:rsid w:val="00BD032B"/>
    <w:rsid w:val="00BE0940"/>
    <w:rsid w:val="00BE2640"/>
    <w:rsid w:val="00C01189"/>
    <w:rsid w:val="00C3212A"/>
    <w:rsid w:val="00C374DE"/>
    <w:rsid w:val="00C420DB"/>
    <w:rsid w:val="00C47AD4"/>
    <w:rsid w:val="00C52D81"/>
    <w:rsid w:val="00C55198"/>
    <w:rsid w:val="00CA6393"/>
    <w:rsid w:val="00CB18FF"/>
    <w:rsid w:val="00CD0665"/>
    <w:rsid w:val="00CD0C08"/>
    <w:rsid w:val="00CD6D31"/>
    <w:rsid w:val="00CE03FB"/>
    <w:rsid w:val="00CE433C"/>
    <w:rsid w:val="00CF33F3"/>
    <w:rsid w:val="00D06183"/>
    <w:rsid w:val="00D22C42"/>
    <w:rsid w:val="00D636DE"/>
    <w:rsid w:val="00D65041"/>
    <w:rsid w:val="00D76257"/>
    <w:rsid w:val="00D81514"/>
    <w:rsid w:val="00DB06B8"/>
    <w:rsid w:val="00DB384B"/>
    <w:rsid w:val="00DC3C43"/>
    <w:rsid w:val="00E059CF"/>
    <w:rsid w:val="00E10E80"/>
    <w:rsid w:val="00E124F0"/>
    <w:rsid w:val="00E352B2"/>
    <w:rsid w:val="00E60F04"/>
    <w:rsid w:val="00E854E4"/>
    <w:rsid w:val="00EB0D6F"/>
    <w:rsid w:val="00EB2232"/>
    <w:rsid w:val="00EC23B1"/>
    <w:rsid w:val="00EC5337"/>
    <w:rsid w:val="00F124F2"/>
    <w:rsid w:val="00F2150A"/>
    <w:rsid w:val="00F231D8"/>
    <w:rsid w:val="00F31628"/>
    <w:rsid w:val="00F46C5F"/>
    <w:rsid w:val="00F51840"/>
    <w:rsid w:val="00F94A63"/>
    <w:rsid w:val="00F96D34"/>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4690A74-0760-43D9-B58A-274E4A48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BE0940"/>
    <w:pPr>
      <w:ind w:left="720"/>
      <w:contextualSpacing/>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0E73D-E5A7-4AB0-9B8C-30D1F105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28</TotalTime>
  <Pages>6</Pages>
  <Words>1828</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12250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C2018, C18</dc:title>
  <dc:subject>Council 2018</dc:subject>
  <dc:creator>Scott, Sarah</dc:creator>
  <cp:keywords/>
  <dc:description/>
  <cp:lastModifiedBy>Currie, Jane</cp:lastModifiedBy>
  <cp:revision>9</cp:revision>
  <cp:lastPrinted>2000-07-18T13:30:00Z</cp:lastPrinted>
  <dcterms:created xsi:type="dcterms:W3CDTF">2018-04-12T07:51:00Z</dcterms:created>
  <dcterms:modified xsi:type="dcterms:W3CDTF">2018-04-12T08:18:00Z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