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D21F11">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D21F11">
              <w:rPr>
                <w:rFonts w:cs="Arial"/>
                <w:b/>
                <w:bCs/>
                <w:sz w:val="26"/>
                <w:szCs w:val="26"/>
                <w:lang w:val="en-US" w:eastAsia="zh-CN"/>
              </w:rPr>
              <w:t>8</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D21F11">
              <w:rPr>
                <w:b/>
                <w:bCs/>
                <w:color w:val="000000"/>
                <w:lang w:eastAsia="zh-CN"/>
              </w:rPr>
              <w:t>8</w:t>
            </w:r>
            <w:r w:rsidR="009625D8" w:rsidRPr="009625D8">
              <w:rPr>
                <w:rFonts w:ascii="SimSun" w:hAnsi="SimSun" w:hint="eastAsia"/>
                <w:b/>
                <w:bCs/>
                <w:color w:val="000000"/>
                <w:lang w:eastAsia="zh-CN"/>
              </w:rPr>
              <w:t>年</w:t>
            </w:r>
            <w:r w:rsidR="00D21F11">
              <w:rPr>
                <w:b/>
                <w:bCs/>
                <w:color w:val="000000"/>
                <w:lang w:eastAsia="zh-CN"/>
              </w:rPr>
              <w:t>4</w:t>
            </w:r>
            <w:r w:rsidR="009625D8" w:rsidRPr="009625D8">
              <w:rPr>
                <w:rFonts w:ascii="SimSun" w:hAnsi="SimSun" w:hint="eastAsia"/>
                <w:b/>
                <w:bCs/>
                <w:color w:val="000000"/>
                <w:lang w:eastAsia="zh-CN"/>
              </w:rPr>
              <w:t>月</w:t>
            </w:r>
            <w:r w:rsidR="00A5354B">
              <w:rPr>
                <w:b/>
                <w:bCs/>
                <w:color w:val="000000"/>
                <w:lang w:eastAsia="zh-CN"/>
              </w:rPr>
              <w:t>1</w:t>
            </w:r>
            <w:r w:rsidR="00D21F11">
              <w:rPr>
                <w:b/>
                <w:bCs/>
                <w:color w:val="000000"/>
                <w:lang w:eastAsia="zh-CN"/>
              </w:rPr>
              <w:t>7</w:t>
            </w:r>
            <w:r w:rsidR="00A5354B">
              <w:rPr>
                <w:b/>
                <w:bCs/>
                <w:color w:val="000000"/>
                <w:lang w:eastAsia="zh-CN"/>
              </w:rPr>
              <w:t>-</w:t>
            </w:r>
            <w:r w:rsidR="009625D8" w:rsidRPr="009625D8">
              <w:rPr>
                <w:b/>
                <w:bCs/>
                <w:color w:val="000000"/>
                <w:lang w:eastAsia="zh-CN"/>
              </w:rPr>
              <w:t>2</w:t>
            </w:r>
            <w:r w:rsidR="00D21F11">
              <w:rPr>
                <w:b/>
                <w:bCs/>
                <w:color w:val="000000"/>
                <w:lang w:eastAsia="zh-CN"/>
              </w:rPr>
              <w:t>7</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864589">
            <w:pPr>
              <w:spacing w:before="0"/>
              <w:jc w:val="right"/>
            </w:pPr>
            <w:bookmarkStart w:id="0" w:name="ditulogo"/>
            <w:bookmarkEnd w:id="0"/>
            <w:r>
              <w:rPr>
                <w:noProof/>
                <w:lang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980312">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EA5613">
              <w:rPr>
                <w:b/>
              </w:rPr>
              <w:t>PL</w:t>
            </w:r>
            <w:r w:rsidR="00B40A53">
              <w:rPr>
                <w:b/>
              </w:rPr>
              <w:t xml:space="preserve"> </w:t>
            </w:r>
            <w:r w:rsidR="00980312">
              <w:rPr>
                <w:b/>
              </w:rPr>
              <w:t>1.1</w:t>
            </w:r>
          </w:p>
        </w:tc>
        <w:tc>
          <w:tcPr>
            <w:tcW w:w="3120" w:type="dxa"/>
          </w:tcPr>
          <w:p w:rsidR="00700D1F" w:rsidRPr="00700D1F" w:rsidRDefault="00700D1F" w:rsidP="00EA5613">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D21F11">
              <w:rPr>
                <w:b/>
                <w:bCs/>
                <w:szCs w:val="24"/>
                <w:lang w:eastAsia="zh-CN"/>
              </w:rPr>
              <w:t>8</w:t>
            </w:r>
            <w:r w:rsidRPr="00FC5386">
              <w:rPr>
                <w:b/>
                <w:bCs/>
                <w:szCs w:val="24"/>
                <w:lang w:eastAsia="zh-CN"/>
              </w:rPr>
              <w:t>/</w:t>
            </w:r>
            <w:r w:rsidR="00980312">
              <w:rPr>
                <w:b/>
                <w:bCs/>
                <w:szCs w:val="24"/>
                <w:lang w:eastAsia="zh-CN"/>
              </w:rPr>
              <w:t>98</w:t>
            </w:r>
            <w:r w:rsidRPr="00FC5386">
              <w:rPr>
                <w:b/>
                <w:bCs/>
                <w:szCs w:val="24"/>
                <w:lang w:eastAsia="zh-CN"/>
              </w:rPr>
              <w:t>-C</w:t>
            </w:r>
          </w:p>
        </w:tc>
      </w:tr>
      <w:bookmarkEnd w:id="1"/>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C0152B">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D21F11">
              <w:rPr>
                <w:b/>
                <w:bCs/>
                <w:szCs w:val="24"/>
                <w:lang w:eastAsia="zh-CN"/>
              </w:rPr>
              <w:t>8</w:t>
            </w:r>
            <w:r w:rsidRPr="00FC5386">
              <w:rPr>
                <w:rFonts w:hint="eastAsia"/>
                <w:b/>
                <w:bCs/>
                <w:szCs w:val="24"/>
                <w:lang w:eastAsia="zh-CN"/>
              </w:rPr>
              <w:t>年</w:t>
            </w:r>
            <w:r w:rsidR="00C0152B">
              <w:rPr>
                <w:rFonts w:asciiTheme="minorHAnsi" w:hAnsiTheme="minorHAnsi" w:cstheme="minorHAnsi"/>
                <w:b/>
                <w:bCs/>
                <w:szCs w:val="24"/>
                <w:lang w:eastAsia="zh-CN"/>
              </w:rPr>
              <w:t>4</w:t>
            </w:r>
            <w:r w:rsidRPr="00FC5386">
              <w:rPr>
                <w:rFonts w:hint="eastAsia"/>
                <w:b/>
                <w:bCs/>
                <w:szCs w:val="24"/>
                <w:lang w:eastAsia="zh-CN"/>
              </w:rPr>
              <w:t>月</w:t>
            </w:r>
            <w:r w:rsidR="00980312">
              <w:rPr>
                <w:rFonts w:asciiTheme="minorHAnsi" w:hAnsiTheme="minorHAnsi" w:cstheme="minorHAnsi"/>
                <w:b/>
                <w:bCs/>
                <w:szCs w:val="24"/>
                <w:lang w:eastAsia="zh-CN"/>
              </w:rPr>
              <w:t>4</w:t>
            </w:r>
            <w:r w:rsidRPr="00FC5386">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0F7713">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E378D8" w:rsidP="00863E04">
            <w:pPr>
              <w:pStyle w:val="Source"/>
              <w:rPr>
                <w:lang w:eastAsia="zh-CN"/>
              </w:rPr>
            </w:pPr>
            <w:r>
              <w:rPr>
                <w:rFonts w:ascii="Times New Roman Bold" w:hAnsi="Times New Roman Bold" w:hint="eastAsia"/>
                <w:lang w:val="fr-CH" w:eastAsia="zh-CN"/>
              </w:rPr>
              <w:t>秘书长的</w:t>
            </w:r>
            <w:r w:rsidR="00863E04">
              <w:rPr>
                <w:rFonts w:ascii="Times New Roman Bold" w:hAnsi="Times New Roman Bold" w:hint="eastAsia"/>
                <w:lang w:eastAsia="zh-CN"/>
              </w:rPr>
              <w:t>说明</w:t>
            </w:r>
          </w:p>
        </w:tc>
      </w:tr>
      <w:tr w:rsidR="00C0152B">
        <w:trPr>
          <w:cantSplit/>
        </w:trPr>
        <w:tc>
          <w:tcPr>
            <w:tcW w:w="10031" w:type="dxa"/>
          </w:tcPr>
          <w:p w:rsidR="000C5E5D" w:rsidRDefault="003A3B1F" w:rsidP="000C5E5D">
            <w:pPr>
              <w:pStyle w:val="Title1"/>
              <w:rPr>
                <w:lang w:eastAsia="zh-CN"/>
              </w:rPr>
            </w:pPr>
            <w:r>
              <w:rPr>
                <w:rFonts w:hint="eastAsia"/>
                <w:lang w:eastAsia="zh-CN"/>
              </w:rPr>
              <w:t>阿拉伯联合酋长国提交的文稿</w:t>
            </w:r>
          </w:p>
          <w:p w:rsidR="00C0152B" w:rsidRPr="001F44C9" w:rsidRDefault="00A479B3" w:rsidP="009B426F">
            <w:pPr>
              <w:pStyle w:val="Title1"/>
              <w:rPr>
                <w:lang w:eastAsia="zh-CN"/>
              </w:rPr>
            </w:pPr>
            <w:r>
              <w:rPr>
                <w:rFonts w:hint="eastAsia"/>
                <w:lang w:eastAsia="zh-CN"/>
              </w:rPr>
              <w:t>国际电联</w:t>
            </w:r>
            <w:r>
              <w:rPr>
                <w:lang w:eastAsia="zh-CN"/>
              </w:rPr>
              <w:t>的跨部门协调</w:t>
            </w:r>
          </w:p>
        </w:tc>
      </w:tr>
    </w:tbl>
    <w:p w:rsidR="00C0152B" w:rsidRPr="001F44C9" w:rsidRDefault="00C0152B" w:rsidP="00C0152B">
      <w:pPr>
        <w:rPr>
          <w:lang w:eastAsia="zh-CN"/>
        </w:rPr>
      </w:pPr>
    </w:p>
    <w:p w:rsidR="00C0152B" w:rsidRPr="001F44C9" w:rsidRDefault="00F77465" w:rsidP="00231E53">
      <w:pPr>
        <w:tabs>
          <w:tab w:val="clear" w:pos="1191"/>
        </w:tabs>
        <w:spacing w:before="360"/>
        <w:ind w:firstLineChars="236" w:firstLine="566"/>
        <w:jc w:val="both"/>
        <w:rPr>
          <w:szCs w:val="24"/>
          <w:lang w:eastAsia="zh-CN"/>
        </w:rPr>
      </w:pPr>
      <w:r>
        <w:rPr>
          <w:rFonts w:hint="eastAsia"/>
          <w:lang w:val="en-US" w:eastAsia="zh-CN"/>
        </w:rPr>
        <w:t>我荣幸地向各理事国转呈</w:t>
      </w:r>
      <w:r>
        <w:rPr>
          <w:rFonts w:hint="eastAsia"/>
          <w:b/>
          <w:bCs/>
          <w:lang w:eastAsia="zh-CN"/>
        </w:rPr>
        <w:t>阿拉伯联合酋长国</w:t>
      </w:r>
      <w:r>
        <w:rPr>
          <w:rFonts w:hint="eastAsia"/>
          <w:lang w:val="en-US" w:eastAsia="zh-CN"/>
        </w:rPr>
        <w:t>提交的一份文稿</w:t>
      </w:r>
      <w:r w:rsidR="00C0152B" w:rsidRPr="001F44C9">
        <w:rPr>
          <w:lang w:eastAsia="zh-CN"/>
        </w:rPr>
        <w:t>。</w:t>
      </w:r>
    </w:p>
    <w:p w:rsidR="00C0152B" w:rsidRPr="001F44C9" w:rsidRDefault="00C0152B" w:rsidP="00C0152B">
      <w:pPr>
        <w:tabs>
          <w:tab w:val="clear" w:pos="794"/>
          <w:tab w:val="clear" w:pos="1191"/>
          <w:tab w:val="clear" w:pos="1588"/>
          <w:tab w:val="clear" w:pos="1985"/>
          <w:tab w:val="left" w:pos="420"/>
          <w:tab w:val="left" w:pos="840"/>
        </w:tabs>
        <w:spacing w:before="360"/>
        <w:jc w:val="both"/>
        <w:rPr>
          <w:szCs w:val="24"/>
          <w:lang w:eastAsia="zh-CN"/>
        </w:rPr>
      </w:pPr>
      <w:r w:rsidRPr="001F44C9">
        <w:rPr>
          <w:szCs w:val="24"/>
          <w:lang w:eastAsia="zh-CN"/>
        </w:rPr>
        <w:tab/>
      </w:r>
      <w:r w:rsidRPr="001F44C9">
        <w:rPr>
          <w:szCs w:val="24"/>
          <w:lang w:eastAsia="zh-CN"/>
        </w:rPr>
        <w:tab/>
      </w:r>
      <w:r w:rsidRPr="001F44C9">
        <w:rPr>
          <w:szCs w:val="24"/>
          <w:lang w:eastAsia="zh-CN"/>
        </w:rPr>
        <w:tab/>
      </w:r>
    </w:p>
    <w:p w:rsidR="00C0152B" w:rsidRPr="001F44C9" w:rsidRDefault="00C0152B" w:rsidP="00C0152B">
      <w:pPr>
        <w:tabs>
          <w:tab w:val="clear" w:pos="794"/>
          <w:tab w:val="clear" w:pos="1191"/>
          <w:tab w:val="clear" w:pos="1588"/>
          <w:tab w:val="clear" w:pos="1985"/>
          <w:tab w:val="center" w:pos="7088"/>
        </w:tabs>
        <w:rPr>
          <w:lang w:eastAsia="zh-CN"/>
        </w:rPr>
      </w:pPr>
      <w:r w:rsidRPr="001F44C9">
        <w:rPr>
          <w:lang w:eastAsia="zh-CN"/>
        </w:rPr>
        <w:tab/>
      </w:r>
      <w:r w:rsidRPr="001F44C9">
        <w:rPr>
          <w:rFonts w:hint="eastAsia"/>
          <w:lang w:eastAsia="zh-CN"/>
        </w:rPr>
        <w:t>秘书长</w:t>
      </w:r>
      <w:r w:rsidRPr="001F44C9">
        <w:rPr>
          <w:lang w:eastAsia="zh-CN"/>
        </w:rPr>
        <w:br/>
      </w:r>
      <w:r w:rsidRPr="001F44C9">
        <w:rPr>
          <w:lang w:eastAsia="zh-CN"/>
        </w:rPr>
        <w:tab/>
      </w:r>
      <w:r w:rsidRPr="001F44C9">
        <w:rPr>
          <w:rFonts w:hint="eastAsia"/>
          <w:lang w:eastAsia="zh-CN"/>
        </w:rPr>
        <w:t>赵厚麟</w:t>
      </w:r>
    </w:p>
    <w:p w:rsidR="00C0152B" w:rsidRPr="001F44C9" w:rsidRDefault="00C0152B" w:rsidP="00C0152B">
      <w:pPr>
        <w:tabs>
          <w:tab w:val="clear" w:pos="794"/>
          <w:tab w:val="clear" w:pos="1191"/>
          <w:tab w:val="clear" w:pos="1588"/>
          <w:tab w:val="clear" w:pos="1985"/>
          <w:tab w:val="center" w:pos="8222"/>
        </w:tabs>
        <w:rPr>
          <w:szCs w:val="22"/>
          <w:lang w:val="fr-FR" w:eastAsia="zh-CN"/>
        </w:rPr>
      </w:pPr>
    </w:p>
    <w:p w:rsidR="00C0152B" w:rsidRPr="001F44C9" w:rsidRDefault="00C0152B" w:rsidP="00C0152B">
      <w:pPr>
        <w:tabs>
          <w:tab w:val="left" w:pos="720"/>
        </w:tabs>
        <w:overflowPunct/>
        <w:autoSpaceDE/>
        <w:adjustRightInd/>
        <w:spacing w:before="0"/>
        <w:rPr>
          <w:lang w:val="fr-FR" w:eastAsia="zh-CN"/>
        </w:rPr>
      </w:pPr>
      <w:r w:rsidRPr="001F44C9">
        <w:rPr>
          <w:lang w:val="fr-FR" w:eastAsia="zh-CN"/>
        </w:rPr>
        <w:br w:type="page"/>
      </w:r>
    </w:p>
    <w:p w:rsidR="00EA5613" w:rsidRDefault="008A57E2" w:rsidP="00EA5613">
      <w:pPr>
        <w:pStyle w:val="Title1"/>
        <w:rPr>
          <w:lang w:eastAsia="zh-CN"/>
        </w:rPr>
      </w:pPr>
      <w:r>
        <w:rPr>
          <w:rFonts w:hint="eastAsia"/>
          <w:lang w:eastAsia="zh-CN"/>
        </w:rPr>
        <w:lastRenderedPageBreak/>
        <w:t>阿拉伯联合酋长国提交的文稿</w:t>
      </w:r>
    </w:p>
    <w:p w:rsidR="00097ECD" w:rsidRPr="00A25B06" w:rsidRDefault="00A479B3" w:rsidP="00097ECD">
      <w:pPr>
        <w:pStyle w:val="Title1"/>
        <w:rPr>
          <w:lang w:eastAsia="zh-CN"/>
        </w:rPr>
      </w:pPr>
      <w:r>
        <w:rPr>
          <w:rFonts w:hint="eastAsia"/>
          <w:lang w:eastAsia="zh-CN"/>
        </w:rPr>
        <w:t>国际电联</w:t>
      </w:r>
      <w:r>
        <w:rPr>
          <w:lang w:eastAsia="zh-CN"/>
        </w:rPr>
        <w:t>的跨部门协调</w:t>
      </w:r>
    </w:p>
    <w:p w:rsidR="00097ECD" w:rsidRDefault="00097ECD" w:rsidP="00487AB2">
      <w:pPr>
        <w:pStyle w:val="Headingb"/>
        <w:spacing w:before="480"/>
        <w:rPr>
          <w:szCs w:val="24"/>
          <w:lang w:eastAsia="zh-CN"/>
        </w:rPr>
      </w:pPr>
      <w:bookmarkStart w:id="2" w:name="lt_pId018"/>
      <w:r>
        <w:rPr>
          <w:rFonts w:hint="eastAsia"/>
          <w:lang w:eastAsia="zh-CN"/>
        </w:rPr>
        <w:t>背景</w:t>
      </w:r>
      <w:bookmarkStart w:id="3" w:name="_GoBack"/>
      <w:bookmarkEnd w:id="2"/>
      <w:bookmarkEnd w:id="3"/>
    </w:p>
    <w:p w:rsidR="00097ECD" w:rsidRPr="00E040E7" w:rsidRDefault="00097ECD" w:rsidP="00097ECD">
      <w:pPr>
        <w:overflowPunct/>
        <w:autoSpaceDE/>
        <w:autoSpaceDN/>
        <w:adjustRightInd/>
        <w:snapToGrid w:val="0"/>
        <w:spacing w:after="120"/>
        <w:jc w:val="both"/>
        <w:textAlignment w:val="auto"/>
        <w:rPr>
          <w:sz w:val="2"/>
          <w:szCs w:val="2"/>
          <w:lang w:eastAsia="zh-CN"/>
        </w:rPr>
      </w:pPr>
    </w:p>
    <w:p w:rsidR="006A3157" w:rsidRPr="00487AB2" w:rsidRDefault="006A3157" w:rsidP="00487AB2">
      <w:pPr>
        <w:ind w:firstLineChars="200" w:firstLine="480"/>
        <w:rPr>
          <w:lang w:eastAsia="zh-CN"/>
        </w:rPr>
      </w:pPr>
      <w:bookmarkStart w:id="4" w:name="lt_pId020"/>
      <w:r w:rsidRPr="00487AB2">
        <w:rPr>
          <w:lang w:eastAsia="zh-CN"/>
        </w:rPr>
        <w:t>2014</w:t>
      </w:r>
      <w:r w:rsidRPr="00487AB2">
        <w:rPr>
          <w:rFonts w:hint="eastAsia"/>
          <w:lang w:eastAsia="zh-CN"/>
        </w:rPr>
        <w:t>年全权</w:t>
      </w:r>
      <w:r w:rsidRPr="00487AB2">
        <w:rPr>
          <w:lang w:eastAsia="zh-CN"/>
        </w:rPr>
        <w:t>代表大会（</w:t>
      </w:r>
      <w:r w:rsidRPr="00487AB2">
        <w:rPr>
          <w:rFonts w:hint="eastAsia"/>
          <w:lang w:eastAsia="zh-CN"/>
        </w:rPr>
        <w:t>PP-14</w:t>
      </w:r>
      <w:r w:rsidRPr="00487AB2">
        <w:rPr>
          <w:lang w:eastAsia="zh-CN"/>
        </w:rPr>
        <w:t>）通过了有关</w:t>
      </w:r>
      <w:r w:rsidRPr="00487AB2">
        <w:rPr>
          <w:rFonts w:ascii="SimSun" w:hAnsi="SimSun"/>
          <w:lang w:eastAsia="zh-CN"/>
        </w:rPr>
        <w:t>“</w:t>
      </w:r>
      <w:r w:rsidRPr="00487AB2">
        <w:rPr>
          <w:rFonts w:hint="eastAsia"/>
          <w:lang w:eastAsia="zh-CN"/>
        </w:rPr>
        <w:t>协调国际电联三个部门工作的战略</w:t>
      </w:r>
      <w:r w:rsidRPr="00487AB2">
        <w:rPr>
          <w:rFonts w:ascii="SimSun" w:hAnsi="SimSun"/>
          <w:lang w:eastAsia="zh-CN"/>
        </w:rPr>
        <w:t>”</w:t>
      </w:r>
      <w:r w:rsidRPr="00487AB2">
        <w:rPr>
          <w:rFonts w:hint="eastAsia"/>
          <w:lang w:eastAsia="zh-CN"/>
        </w:rPr>
        <w:t>的第</w:t>
      </w:r>
      <w:r w:rsidRPr="00487AB2">
        <w:rPr>
          <w:lang w:eastAsia="zh-CN"/>
        </w:rPr>
        <w:t>191</w:t>
      </w:r>
      <w:r w:rsidRPr="00487AB2">
        <w:rPr>
          <w:rFonts w:hint="eastAsia"/>
          <w:lang w:eastAsia="zh-CN"/>
        </w:rPr>
        <w:t>号</w:t>
      </w:r>
      <w:r w:rsidRPr="00487AB2">
        <w:rPr>
          <w:lang w:eastAsia="zh-CN"/>
        </w:rPr>
        <w:t>决议（</w:t>
      </w:r>
      <w:r w:rsidRPr="00487AB2">
        <w:rPr>
          <w:rFonts w:hint="eastAsia"/>
          <w:lang w:eastAsia="zh-CN"/>
        </w:rPr>
        <w:t>2014</w:t>
      </w:r>
      <w:r w:rsidRPr="00487AB2">
        <w:rPr>
          <w:rFonts w:hint="eastAsia"/>
          <w:lang w:eastAsia="zh-CN"/>
        </w:rPr>
        <w:t>年，釜山</w:t>
      </w:r>
      <w:r w:rsidRPr="00487AB2">
        <w:rPr>
          <w:lang w:eastAsia="zh-CN"/>
        </w:rPr>
        <w:t>）。</w:t>
      </w:r>
    </w:p>
    <w:p w:rsidR="006A3157" w:rsidRPr="00487AB2" w:rsidRDefault="006A3157" w:rsidP="00487AB2">
      <w:pPr>
        <w:ind w:firstLineChars="200" w:firstLine="480"/>
        <w:rPr>
          <w:rFonts w:cstheme="minorHAnsi"/>
          <w:szCs w:val="24"/>
          <w:lang w:eastAsia="zh-CN"/>
        </w:rPr>
      </w:pPr>
      <w:r w:rsidRPr="00487AB2">
        <w:rPr>
          <w:rFonts w:cstheme="minorHAnsi"/>
          <w:szCs w:val="24"/>
          <w:lang w:eastAsia="zh-CN"/>
        </w:rPr>
        <w:t>该决议</w:t>
      </w:r>
      <w:r w:rsidRPr="00487AB2">
        <w:rPr>
          <w:rFonts w:ascii="STKaiti" w:eastAsia="STKaiti" w:hAnsi="STKaiti" w:cstheme="minorHAnsi" w:hint="eastAsia"/>
          <w:szCs w:val="24"/>
          <w:lang w:eastAsia="zh-CN"/>
        </w:rPr>
        <w:t>责成</w:t>
      </w:r>
      <w:r w:rsidRPr="00487AB2">
        <w:rPr>
          <w:rFonts w:cstheme="minorHAnsi"/>
          <w:szCs w:val="24"/>
          <w:lang w:eastAsia="zh-CN"/>
        </w:rPr>
        <w:t>秘书长</w:t>
      </w:r>
      <w:r w:rsidRPr="00487AB2">
        <w:rPr>
          <w:rFonts w:cstheme="minorHAnsi" w:hint="eastAsia"/>
          <w:szCs w:val="24"/>
          <w:lang w:eastAsia="zh-CN"/>
        </w:rPr>
        <w:t>确保为在国际电联三个部门共同关心的领域有效且高效地工作，设计一种协调与合作战略，从而避免重复劳动，优化资源使用；以及确保起草一份最新清单，其中包含根据国际电联各届全会和大会职责范围确定的三个部门共同关注的领域。</w:t>
      </w:r>
    </w:p>
    <w:p w:rsidR="006A3157" w:rsidRPr="00487AB2" w:rsidRDefault="006A3157" w:rsidP="00487AB2">
      <w:pPr>
        <w:ind w:firstLineChars="200" w:firstLine="480"/>
        <w:rPr>
          <w:rFonts w:cstheme="minorHAnsi"/>
          <w:szCs w:val="24"/>
          <w:lang w:eastAsia="zh-CN"/>
        </w:rPr>
      </w:pPr>
      <w:r w:rsidRPr="00487AB2">
        <w:rPr>
          <w:rFonts w:cstheme="minorHAnsi"/>
          <w:szCs w:val="24"/>
          <w:lang w:eastAsia="zh-CN"/>
        </w:rPr>
        <w:t>此外，</w:t>
      </w:r>
      <w:r w:rsidRPr="00487AB2">
        <w:rPr>
          <w:rFonts w:cstheme="minorHAnsi" w:hint="eastAsia"/>
          <w:szCs w:val="24"/>
          <w:lang w:eastAsia="zh-CN"/>
        </w:rPr>
        <w:t>决议</w:t>
      </w:r>
      <w:r w:rsidRPr="00487AB2">
        <w:rPr>
          <w:rFonts w:ascii="STKaiti" w:eastAsia="STKaiti" w:hAnsi="STKaiti" w:cstheme="minorHAnsi" w:hint="eastAsia"/>
          <w:szCs w:val="24"/>
          <w:lang w:eastAsia="zh-CN"/>
        </w:rPr>
        <w:t>责成</w:t>
      </w:r>
      <w:r w:rsidR="00FC06D9" w:rsidRPr="00487AB2">
        <w:rPr>
          <w:rFonts w:cstheme="minorHAnsi" w:hint="eastAsia"/>
          <w:szCs w:val="24"/>
          <w:lang w:eastAsia="zh-CN"/>
        </w:rPr>
        <w:t>各局</w:t>
      </w:r>
      <w:r w:rsidRPr="00487AB2">
        <w:rPr>
          <w:rFonts w:cstheme="minorHAnsi"/>
          <w:szCs w:val="24"/>
          <w:lang w:eastAsia="zh-CN"/>
        </w:rPr>
        <w:t>主任</w:t>
      </w:r>
      <w:r w:rsidRPr="00487AB2">
        <w:rPr>
          <w:rFonts w:cstheme="minorHAnsi" w:hint="eastAsia"/>
          <w:szCs w:val="24"/>
          <w:lang w:eastAsia="zh-CN"/>
        </w:rPr>
        <w:t>确保相关顾问组的议程中包含与其它部门的协调，从而提出战略和行动建议，促进共同关注领域的最优发展；以及在跨部门协调活动方面就共同关心的领域向部门顾问组提供支持。</w:t>
      </w:r>
    </w:p>
    <w:p w:rsidR="00097ECD" w:rsidRPr="00487AB2" w:rsidRDefault="006A3157" w:rsidP="00487AB2">
      <w:pPr>
        <w:overflowPunct/>
        <w:autoSpaceDE/>
        <w:autoSpaceDN/>
        <w:adjustRightInd/>
        <w:snapToGrid w:val="0"/>
        <w:ind w:firstLineChars="200" w:firstLine="480"/>
        <w:textAlignment w:val="auto"/>
        <w:rPr>
          <w:b/>
          <w:color w:val="800000"/>
          <w:sz w:val="22"/>
          <w:lang w:eastAsia="zh-CN"/>
        </w:rPr>
      </w:pPr>
      <w:r w:rsidRPr="00487AB2">
        <w:rPr>
          <w:rFonts w:cstheme="minorHAnsi"/>
          <w:szCs w:val="24"/>
          <w:lang w:eastAsia="zh-CN"/>
        </w:rPr>
        <w:t>决议</w:t>
      </w:r>
      <w:r w:rsidRPr="00487AB2">
        <w:rPr>
          <w:rFonts w:cstheme="minorHAnsi" w:hint="eastAsia"/>
          <w:szCs w:val="24"/>
          <w:lang w:eastAsia="zh-CN"/>
        </w:rPr>
        <w:t>亦</w:t>
      </w:r>
      <w:r w:rsidRPr="00487AB2">
        <w:rPr>
          <w:rFonts w:ascii="STKaiti" w:eastAsia="STKaiti" w:hAnsi="STKaiti" w:cstheme="minorHAnsi"/>
          <w:szCs w:val="24"/>
          <w:lang w:eastAsia="zh-CN"/>
        </w:rPr>
        <w:t>责成</w:t>
      </w:r>
      <w:r w:rsidRPr="00487AB2">
        <w:rPr>
          <w:rFonts w:cstheme="minorHAnsi"/>
          <w:szCs w:val="24"/>
          <w:lang w:eastAsia="zh-CN"/>
        </w:rPr>
        <w:t>秘书长和各局主任</w:t>
      </w:r>
      <w:r w:rsidRPr="00487AB2">
        <w:rPr>
          <w:rFonts w:cstheme="minorHAnsi" w:hint="eastAsia"/>
          <w:szCs w:val="24"/>
          <w:lang w:eastAsia="zh-CN"/>
        </w:rPr>
        <w:t>确保汇报不</w:t>
      </w:r>
      <w:r w:rsidRPr="00487AB2">
        <w:rPr>
          <w:rFonts w:cstheme="minorHAnsi"/>
          <w:szCs w:val="24"/>
          <w:lang w:eastAsia="zh-CN"/>
        </w:rPr>
        <w:t>同部门在</w:t>
      </w:r>
      <w:r w:rsidRPr="00487AB2">
        <w:rPr>
          <w:rFonts w:cstheme="minorHAnsi" w:hint="eastAsia"/>
          <w:szCs w:val="24"/>
          <w:lang w:eastAsia="zh-CN"/>
        </w:rPr>
        <w:t>所有此</w:t>
      </w:r>
      <w:r w:rsidRPr="00487AB2">
        <w:rPr>
          <w:rFonts w:cstheme="minorHAnsi"/>
          <w:szCs w:val="24"/>
          <w:lang w:eastAsia="zh-CN"/>
        </w:rPr>
        <w:t>类领域</w:t>
      </w:r>
      <w:r w:rsidRPr="00487AB2">
        <w:rPr>
          <w:rFonts w:cstheme="minorHAnsi" w:hint="eastAsia"/>
          <w:szCs w:val="24"/>
          <w:lang w:eastAsia="zh-CN"/>
        </w:rPr>
        <w:t>开</w:t>
      </w:r>
      <w:r w:rsidRPr="00487AB2">
        <w:rPr>
          <w:rFonts w:cstheme="minorHAnsi"/>
          <w:szCs w:val="24"/>
          <w:lang w:eastAsia="zh-CN"/>
        </w:rPr>
        <w:t>展的协调活动以及取得的成果</w:t>
      </w:r>
      <w:r w:rsidRPr="00487AB2">
        <w:rPr>
          <w:rFonts w:cstheme="minorHAnsi" w:hint="eastAsia"/>
          <w:szCs w:val="24"/>
          <w:lang w:eastAsia="zh-CN"/>
        </w:rPr>
        <w:t>。</w:t>
      </w:r>
      <w:bookmarkEnd w:id="4"/>
    </w:p>
    <w:p w:rsidR="00097ECD" w:rsidRPr="00487AB2" w:rsidRDefault="00A479B3" w:rsidP="00487AB2">
      <w:pPr>
        <w:ind w:firstLineChars="200" w:firstLine="480"/>
        <w:rPr>
          <w:b/>
          <w:color w:val="800000"/>
          <w:sz w:val="22"/>
          <w:szCs w:val="24"/>
          <w:lang w:eastAsia="zh-CN"/>
        </w:rPr>
      </w:pPr>
      <w:bookmarkStart w:id="5" w:name="lt_pId023"/>
      <w:r w:rsidRPr="00487AB2">
        <w:rPr>
          <w:rFonts w:hint="eastAsia"/>
          <w:lang w:eastAsia="zh-CN"/>
        </w:rPr>
        <w:t>据此</w:t>
      </w:r>
      <w:r w:rsidRPr="00487AB2">
        <w:rPr>
          <w:lang w:eastAsia="zh-CN"/>
        </w:rPr>
        <w:t>，理事会</w:t>
      </w:r>
      <w:r w:rsidRPr="00487AB2">
        <w:rPr>
          <w:rFonts w:hint="eastAsia"/>
          <w:lang w:eastAsia="zh-CN"/>
        </w:rPr>
        <w:t>2017</w:t>
      </w:r>
      <w:r w:rsidRPr="00487AB2">
        <w:rPr>
          <w:rFonts w:hint="eastAsia"/>
          <w:lang w:eastAsia="zh-CN"/>
        </w:rPr>
        <w:t>年</w:t>
      </w:r>
      <w:r w:rsidRPr="00487AB2">
        <w:rPr>
          <w:lang w:eastAsia="zh-CN"/>
        </w:rPr>
        <w:t>会议在</w:t>
      </w:r>
      <w:r w:rsidR="00097ECD" w:rsidRPr="00487AB2">
        <w:rPr>
          <w:lang w:eastAsia="zh-CN"/>
        </w:rPr>
        <w:t xml:space="preserve"> C17/38</w:t>
      </w:r>
      <w:r w:rsidRPr="00487AB2">
        <w:rPr>
          <w:rFonts w:hint="eastAsia"/>
          <w:lang w:eastAsia="zh-CN"/>
        </w:rPr>
        <w:t>号</w:t>
      </w:r>
      <w:r w:rsidRPr="00487AB2">
        <w:rPr>
          <w:lang w:eastAsia="zh-CN"/>
        </w:rPr>
        <w:t>文件中强调指出，</w:t>
      </w:r>
      <w:r w:rsidR="006A3157" w:rsidRPr="00487AB2">
        <w:rPr>
          <w:rFonts w:cstheme="minorHAnsi" w:hint="eastAsia"/>
          <w:szCs w:val="24"/>
          <w:lang w:eastAsia="zh-CN"/>
        </w:rPr>
        <w:t>跨部门协调任务组</w:t>
      </w:r>
      <w:r w:rsidR="006A3157" w:rsidRPr="00487AB2">
        <w:rPr>
          <w:rFonts w:hint="eastAsia"/>
          <w:lang w:eastAsia="zh-CN"/>
        </w:rPr>
        <w:t>（</w:t>
      </w:r>
      <w:r w:rsidR="006A3157" w:rsidRPr="00487AB2">
        <w:rPr>
          <w:rFonts w:hint="eastAsia"/>
          <w:lang w:eastAsia="zh-CN"/>
        </w:rPr>
        <w:t>ISC-TF</w:t>
      </w:r>
      <w:r w:rsidR="006A3157" w:rsidRPr="00487AB2">
        <w:rPr>
          <w:rFonts w:hint="eastAsia"/>
          <w:lang w:eastAsia="zh-CN"/>
        </w:rPr>
        <w:t>）</w:t>
      </w:r>
      <w:r w:rsidRPr="00487AB2">
        <w:rPr>
          <w:rFonts w:hint="eastAsia"/>
          <w:lang w:eastAsia="zh-CN"/>
        </w:rPr>
        <w:t>的</w:t>
      </w:r>
      <w:r w:rsidRPr="00487AB2">
        <w:rPr>
          <w:lang w:eastAsia="zh-CN"/>
        </w:rPr>
        <w:t>成立旨在</w:t>
      </w:r>
      <w:r w:rsidR="006A3157" w:rsidRPr="00487AB2">
        <w:rPr>
          <w:rFonts w:cstheme="minorHAnsi" w:hint="eastAsia"/>
          <w:szCs w:val="24"/>
          <w:lang w:eastAsia="zh-CN"/>
        </w:rPr>
        <w:t>促进三个局</w:t>
      </w:r>
      <w:r w:rsidR="00FC06D9" w:rsidRPr="00487AB2">
        <w:rPr>
          <w:rFonts w:cstheme="minorHAnsi" w:hint="eastAsia"/>
          <w:szCs w:val="24"/>
          <w:lang w:eastAsia="zh-CN"/>
        </w:rPr>
        <w:t>和</w:t>
      </w:r>
      <w:r w:rsidR="006A3157" w:rsidRPr="00487AB2">
        <w:rPr>
          <w:rFonts w:cstheme="minorHAnsi" w:hint="eastAsia"/>
          <w:szCs w:val="24"/>
          <w:lang w:eastAsia="zh-CN"/>
        </w:rPr>
        <w:t>总秘书处之间的协调</w:t>
      </w:r>
      <w:r w:rsidR="00FC06D9" w:rsidRPr="00487AB2">
        <w:rPr>
          <w:rFonts w:cstheme="minorHAnsi" w:hint="eastAsia"/>
          <w:szCs w:val="24"/>
          <w:lang w:eastAsia="zh-CN"/>
        </w:rPr>
        <w:t>和</w:t>
      </w:r>
      <w:r w:rsidR="006A3157" w:rsidRPr="00487AB2">
        <w:rPr>
          <w:rFonts w:cstheme="minorHAnsi" w:hint="eastAsia"/>
          <w:szCs w:val="24"/>
          <w:lang w:eastAsia="zh-CN"/>
        </w:rPr>
        <w:t>协作</w:t>
      </w:r>
      <w:r w:rsidR="006A3157" w:rsidRPr="00487AB2">
        <w:rPr>
          <w:rFonts w:hint="eastAsia"/>
          <w:lang w:eastAsia="zh-CN"/>
        </w:rPr>
        <w:t>，避免内部重复</w:t>
      </w:r>
      <w:r w:rsidR="00FC06D9" w:rsidRPr="00487AB2">
        <w:rPr>
          <w:rFonts w:hint="eastAsia"/>
          <w:lang w:eastAsia="zh-CN"/>
        </w:rPr>
        <w:t>工作</w:t>
      </w:r>
      <w:r w:rsidR="006A3157" w:rsidRPr="00487AB2">
        <w:rPr>
          <w:rFonts w:hint="eastAsia"/>
          <w:lang w:eastAsia="zh-CN"/>
        </w:rPr>
        <w:t>并优化资源的利用。</w:t>
      </w:r>
      <w:bookmarkEnd w:id="5"/>
      <w:r w:rsidRPr="00487AB2">
        <w:rPr>
          <w:lang w:eastAsia="zh-CN"/>
        </w:rPr>
        <w:t xml:space="preserve"> </w:t>
      </w:r>
    </w:p>
    <w:p w:rsidR="00097ECD" w:rsidRPr="00736DD2" w:rsidRDefault="00A479B3" w:rsidP="00487AB2">
      <w:pPr>
        <w:ind w:firstLineChars="200" w:firstLine="480"/>
        <w:rPr>
          <w:lang w:eastAsia="zh-CN"/>
        </w:rPr>
      </w:pPr>
      <w:bookmarkStart w:id="6" w:name="lt_pId024"/>
      <w:r w:rsidRPr="00487AB2">
        <w:rPr>
          <w:rFonts w:hint="eastAsia"/>
          <w:lang w:eastAsia="zh-CN"/>
        </w:rPr>
        <w:t>联合国</w:t>
      </w:r>
      <w:r w:rsidRPr="00487AB2">
        <w:rPr>
          <w:lang w:eastAsia="zh-CN"/>
        </w:rPr>
        <w:t>系统联合检查组</w:t>
      </w:r>
      <w:r w:rsidRPr="00487AB2">
        <w:rPr>
          <w:rFonts w:hint="eastAsia"/>
          <w:lang w:eastAsia="zh-CN"/>
        </w:rPr>
        <w:t>2015</w:t>
      </w:r>
      <w:r w:rsidRPr="00487AB2">
        <w:rPr>
          <w:rFonts w:hint="eastAsia"/>
          <w:lang w:eastAsia="zh-CN"/>
        </w:rPr>
        <w:t>年</w:t>
      </w:r>
      <w:r w:rsidRPr="00487AB2">
        <w:rPr>
          <w:lang w:eastAsia="zh-CN"/>
        </w:rPr>
        <w:t>在</w:t>
      </w:r>
      <w:r w:rsidRPr="00487AB2">
        <w:rPr>
          <w:lang w:eastAsia="zh-CN"/>
        </w:rPr>
        <w:t>“</w:t>
      </w:r>
      <w:r w:rsidRPr="00487AB2">
        <w:rPr>
          <w:rFonts w:hint="eastAsia"/>
          <w:lang w:eastAsia="zh-CN"/>
        </w:rPr>
        <w:t>对</w:t>
      </w:r>
      <w:r w:rsidRPr="00487AB2">
        <w:rPr>
          <w:lang w:eastAsia="zh-CN"/>
        </w:rPr>
        <w:t>国际电联进行的管理和行政审查</w:t>
      </w:r>
      <w:r w:rsidRPr="00487AB2">
        <w:rPr>
          <w:lang w:eastAsia="zh-CN"/>
        </w:rPr>
        <w:t>”</w:t>
      </w:r>
      <w:r w:rsidRPr="00487AB2">
        <w:rPr>
          <w:rFonts w:hint="eastAsia"/>
          <w:lang w:eastAsia="zh-CN"/>
        </w:rPr>
        <w:t>中</w:t>
      </w:r>
      <w:r w:rsidRPr="00487AB2">
        <w:rPr>
          <w:lang w:eastAsia="zh-CN"/>
        </w:rPr>
        <w:t>亦建议，有必要按照成员国在第</w:t>
      </w:r>
      <w:r w:rsidRPr="00487AB2">
        <w:rPr>
          <w:rFonts w:hint="eastAsia"/>
          <w:lang w:eastAsia="zh-CN"/>
        </w:rPr>
        <w:t>191</w:t>
      </w:r>
      <w:r w:rsidRPr="00487AB2">
        <w:rPr>
          <w:rFonts w:hint="eastAsia"/>
          <w:lang w:eastAsia="zh-CN"/>
        </w:rPr>
        <w:t>号</w:t>
      </w:r>
      <w:r w:rsidRPr="00487AB2">
        <w:rPr>
          <w:lang w:eastAsia="zh-CN"/>
        </w:rPr>
        <w:t>决议（</w:t>
      </w:r>
      <w:r w:rsidRPr="00487AB2">
        <w:rPr>
          <w:rFonts w:hint="eastAsia"/>
          <w:lang w:eastAsia="zh-CN"/>
        </w:rPr>
        <w:t>2014</w:t>
      </w:r>
      <w:r w:rsidRPr="00487AB2">
        <w:rPr>
          <w:rFonts w:hint="eastAsia"/>
          <w:lang w:eastAsia="zh-CN"/>
        </w:rPr>
        <w:t>年</w:t>
      </w:r>
      <w:r w:rsidRPr="00487AB2">
        <w:rPr>
          <w:lang w:eastAsia="zh-CN"/>
        </w:rPr>
        <w:t>，釜山）</w:t>
      </w:r>
      <w:r w:rsidRPr="00487AB2">
        <w:rPr>
          <w:rFonts w:hint="eastAsia"/>
          <w:lang w:eastAsia="zh-CN"/>
        </w:rPr>
        <w:t>中</w:t>
      </w:r>
      <w:r w:rsidRPr="00487AB2">
        <w:rPr>
          <w:lang w:eastAsia="zh-CN"/>
        </w:rPr>
        <w:t>提出的要求，在总秘书处和三个部门共同</w:t>
      </w:r>
      <w:r w:rsidR="00FC06D9" w:rsidRPr="00487AB2">
        <w:rPr>
          <w:rFonts w:hint="eastAsia"/>
          <w:lang w:eastAsia="zh-CN"/>
        </w:rPr>
        <w:t>关心</w:t>
      </w:r>
      <w:r w:rsidRPr="00487AB2">
        <w:rPr>
          <w:lang w:eastAsia="zh-CN"/>
        </w:rPr>
        <w:t>的</w:t>
      </w:r>
      <w:r w:rsidRPr="00487AB2">
        <w:rPr>
          <w:rFonts w:hint="eastAsia"/>
          <w:lang w:eastAsia="zh-CN"/>
        </w:rPr>
        <w:t>领域</w:t>
      </w:r>
      <w:r w:rsidRPr="00487AB2">
        <w:rPr>
          <w:lang w:eastAsia="zh-CN"/>
        </w:rPr>
        <w:t>制定协调和和协作战略</w:t>
      </w:r>
      <w:r>
        <w:rPr>
          <w:lang w:eastAsia="zh-CN"/>
        </w:rPr>
        <w:t>。</w:t>
      </w:r>
      <w:bookmarkEnd w:id="6"/>
      <w:r>
        <w:rPr>
          <w:lang w:eastAsia="zh-CN"/>
        </w:rPr>
        <w:t xml:space="preserve"> </w:t>
      </w:r>
    </w:p>
    <w:p w:rsidR="00097ECD" w:rsidRDefault="00A479B3" w:rsidP="00487AB2">
      <w:pPr>
        <w:pStyle w:val="Headingb"/>
        <w:spacing w:before="480"/>
        <w:rPr>
          <w:b w:val="0"/>
          <w:szCs w:val="24"/>
          <w:lang w:eastAsia="zh-CN"/>
        </w:rPr>
      </w:pPr>
      <w:r w:rsidRPr="00487AB2">
        <w:rPr>
          <w:rFonts w:hint="eastAsia"/>
          <w:lang w:eastAsia="zh-CN"/>
        </w:rPr>
        <w:t>提案</w:t>
      </w:r>
    </w:p>
    <w:p w:rsidR="00A479B3" w:rsidRDefault="00A479B3" w:rsidP="00487AB2">
      <w:pPr>
        <w:ind w:firstLineChars="200" w:firstLine="480"/>
        <w:rPr>
          <w:lang w:eastAsia="zh-CN"/>
        </w:rPr>
      </w:pPr>
      <w:bookmarkStart w:id="7" w:name="lt_pId026"/>
      <w:r>
        <w:rPr>
          <w:rFonts w:hint="eastAsia"/>
          <w:lang w:eastAsia="zh-CN"/>
        </w:rPr>
        <w:t>阿拉伯</w:t>
      </w:r>
      <w:r>
        <w:rPr>
          <w:lang w:eastAsia="zh-CN"/>
        </w:rPr>
        <w:t>联合酋长国</w:t>
      </w:r>
      <w:r>
        <w:rPr>
          <w:rFonts w:hint="eastAsia"/>
          <w:lang w:eastAsia="zh-CN"/>
        </w:rPr>
        <w:t>对</w:t>
      </w:r>
      <w:r>
        <w:rPr>
          <w:lang w:eastAsia="zh-CN"/>
        </w:rPr>
        <w:t>国际电联秘书处为落实第</w:t>
      </w:r>
      <w:r>
        <w:rPr>
          <w:rFonts w:hint="eastAsia"/>
          <w:lang w:eastAsia="zh-CN"/>
        </w:rPr>
        <w:t>91</w:t>
      </w:r>
      <w:r>
        <w:rPr>
          <w:rFonts w:hint="eastAsia"/>
          <w:lang w:eastAsia="zh-CN"/>
        </w:rPr>
        <w:t>号</w:t>
      </w:r>
      <w:r>
        <w:rPr>
          <w:lang w:eastAsia="zh-CN"/>
        </w:rPr>
        <w:t>决议（</w:t>
      </w:r>
      <w:r>
        <w:rPr>
          <w:rFonts w:hint="eastAsia"/>
          <w:lang w:eastAsia="zh-CN"/>
        </w:rPr>
        <w:t>2014</w:t>
      </w:r>
      <w:r>
        <w:rPr>
          <w:rFonts w:hint="eastAsia"/>
          <w:lang w:eastAsia="zh-CN"/>
        </w:rPr>
        <w:t>年</w:t>
      </w:r>
      <w:r>
        <w:rPr>
          <w:lang w:eastAsia="zh-CN"/>
        </w:rPr>
        <w:t>，釜山）</w:t>
      </w:r>
      <w:r>
        <w:rPr>
          <w:rFonts w:hint="eastAsia"/>
          <w:lang w:eastAsia="zh-CN"/>
        </w:rPr>
        <w:t>做出</w:t>
      </w:r>
      <w:r>
        <w:rPr>
          <w:lang w:eastAsia="zh-CN"/>
        </w:rPr>
        <w:t>的努力以及国际电联三个部门为制定协调战略开展的工作表示赞赏</w:t>
      </w:r>
      <w:r>
        <w:rPr>
          <w:rFonts w:hint="eastAsia"/>
          <w:lang w:eastAsia="zh-CN"/>
        </w:rPr>
        <w:t>，并</w:t>
      </w:r>
      <w:r>
        <w:rPr>
          <w:lang w:eastAsia="zh-CN"/>
        </w:rPr>
        <w:t>提出以下建议：</w:t>
      </w:r>
    </w:p>
    <w:p w:rsidR="00097ECD" w:rsidRDefault="00487AB2" w:rsidP="00487AB2">
      <w:pPr>
        <w:pStyle w:val="enumlev1"/>
        <w:rPr>
          <w:lang w:eastAsia="zh-CN"/>
        </w:rPr>
      </w:pPr>
      <w:bookmarkStart w:id="8" w:name="lt_pId027"/>
      <w:bookmarkEnd w:id="7"/>
      <w:r>
        <w:rPr>
          <w:rFonts w:hint="eastAsia"/>
          <w:lang w:eastAsia="zh-CN"/>
        </w:rPr>
        <w:t>1)</w:t>
      </w:r>
      <w:r>
        <w:rPr>
          <w:lang w:eastAsia="zh-CN"/>
        </w:rPr>
        <w:tab/>
      </w:r>
      <w:r w:rsidR="00A479B3">
        <w:rPr>
          <w:rFonts w:hint="eastAsia"/>
          <w:lang w:eastAsia="zh-CN"/>
        </w:rPr>
        <w:t>国际电联</w:t>
      </w:r>
      <w:r w:rsidR="00A479B3">
        <w:rPr>
          <w:lang w:eastAsia="zh-CN"/>
        </w:rPr>
        <w:t>须</w:t>
      </w:r>
      <w:r w:rsidR="00FC06D9">
        <w:rPr>
          <w:rFonts w:hint="eastAsia"/>
          <w:lang w:eastAsia="zh-CN"/>
        </w:rPr>
        <w:t>继续</w:t>
      </w:r>
      <w:r w:rsidR="00A479B3">
        <w:rPr>
          <w:lang w:eastAsia="zh-CN"/>
        </w:rPr>
        <w:t>对成员国予以鼓励，以便</w:t>
      </w:r>
      <w:r w:rsidR="00A479B3">
        <w:rPr>
          <w:rFonts w:hint="eastAsia"/>
          <w:lang w:eastAsia="zh-CN"/>
        </w:rPr>
        <w:t>在</w:t>
      </w:r>
      <w:r w:rsidR="00FC06D9">
        <w:rPr>
          <w:rFonts w:hint="eastAsia"/>
          <w:lang w:eastAsia="zh-CN"/>
        </w:rPr>
        <w:t>各</w:t>
      </w:r>
      <w:r w:rsidR="00A479B3">
        <w:rPr>
          <w:rFonts w:hint="eastAsia"/>
          <w:lang w:eastAsia="zh-CN"/>
        </w:rPr>
        <w:t>届</w:t>
      </w:r>
      <w:r w:rsidR="00A479B3">
        <w:rPr>
          <w:lang w:eastAsia="zh-CN"/>
        </w:rPr>
        <w:t>大会和全会</w:t>
      </w:r>
      <w:r w:rsidR="00A479B3">
        <w:rPr>
          <w:rFonts w:hint="eastAsia"/>
          <w:lang w:eastAsia="zh-CN"/>
        </w:rPr>
        <w:t>期间</w:t>
      </w:r>
      <w:r w:rsidR="00A479B3">
        <w:rPr>
          <w:lang w:eastAsia="zh-CN"/>
        </w:rPr>
        <w:t>提</w:t>
      </w:r>
      <w:r w:rsidR="00A479B3">
        <w:rPr>
          <w:rFonts w:hint="eastAsia"/>
          <w:lang w:eastAsia="zh-CN"/>
        </w:rPr>
        <w:t>出</w:t>
      </w:r>
      <w:r w:rsidR="00A479B3">
        <w:rPr>
          <w:rFonts w:hint="eastAsia"/>
          <w:lang w:eastAsia="zh-CN"/>
        </w:rPr>
        <w:t>/</w:t>
      </w:r>
      <w:r w:rsidR="00A479B3">
        <w:rPr>
          <w:rFonts w:hint="eastAsia"/>
          <w:lang w:eastAsia="zh-CN"/>
        </w:rPr>
        <w:t>提交</w:t>
      </w:r>
      <w:r w:rsidR="00A479B3">
        <w:rPr>
          <w:lang w:eastAsia="zh-CN"/>
        </w:rPr>
        <w:t>、讨论</w:t>
      </w:r>
      <w:r w:rsidR="00A479B3">
        <w:rPr>
          <w:rFonts w:hint="eastAsia"/>
          <w:lang w:eastAsia="zh-CN"/>
        </w:rPr>
        <w:t>并</w:t>
      </w:r>
      <w:r w:rsidR="00A479B3">
        <w:rPr>
          <w:lang w:eastAsia="zh-CN"/>
        </w:rPr>
        <w:t>通过与</w:t>
      </w:r>
      <w:r w:rsidR="00FC06D9">
        <w:rPr>
          <w:rFonts w:hint="eastAsia"/>
          <w:lang w:eastAsia="zh-CN"/>
        </w:rPr>
        <w:t>同</w:t>
      </w:r>
      <w:r w:rsidR="00A479B3">
        <w:rPr>
          <w:lang w:eastAsia="zh-CN"/>
        </w:rPr>
        <w:t>届大会和全会</w:t>
      </w:r>
      <w:r w:rsidR="0055614B">
        <w:rPr>
          <w:rFonts w:hint="eastAsia"/>
          <w:lang w:eastAsia="zh-CN"/>
        </w:rPr>
        <w:t>（例如</w:t>
      </w:r>
      <w:r w:rsidR="0055614B">
        <w:rPr>
          <w:lang w:eastAsia="zh-CN"/>
        </w:rPr>
        <w:t>，发展</w:t>
      </w:r>
      <w:r w:rsidR="0055614B">
        <w:rPr>
          <w:rFonts w:hint="eastAsia"/>
          <w:lang w:eastAsia="zh-CN"/>
        </w:rPr>
        <w:t>、</w:t>
      </w:r>
      <w:r w:rsidR="0055614B">
        <w:rPr>
          <w:lang w:eastAsia="zh-CN"/>
        </w:rPr>
        <w:t>标准化</w:t>
      </w:r>
      <w:r w:rsidR="0055614B">
        <w:rPr>
          <w:rFonts w:hint="eastAsia"/>
          <w:lang w:eastAsia="zh-CN"/>
        </w:rPr>
        <w:t>或</w:t>
      </w:r>
      <w:r w:rsidR="0055614B">
        <w:rPr>
          <w:lang w:eastAsia="zh-CN"/>
        </w:rPr>
        <w:t>无线电</w:t>
      </w:r>
      <w:r w:rsidR="0055614B">
        <w:rPr>
          <w:rFonts w:hint="eastAsia"/>
          <w:lang w:eastAsia="zh-CN"/>
        </w:rPr>
        <w:t>）</w:t>
      </w:r>
      <w:r w:rsidR="00A479B3">
        <w:rPr>
          <w:lang w:eastAsia="zh-CN"/>
        </w:rPr>
        <w:t>特别相关的议题。</w:t>
      </w:r>
      <w:bookmarkEnd w:id="8"/>
      <w:r w:rsidR="0055614B">
        <w:rPr>
          <w:lang w:eastAsia="zh-CN"/>
        </w:rPr>
        <w:t xml:space="preserve"> </w:t>
      </w:r>
    </w:p>
    <w:p w:rsidR="00097ECD" w:rsidRPr="00B917E9" w:rsidRDefault="00487AB2" w:rsidP="00487AB2">
      <w:pPr>
        <w:pStyle w:val="enumlev1"/>
        <w:rPr>
          <w:lang w:eastAsia="zh-CN"/>
        </w:rPr>
      </w:pPr>
      <w:bookmarkStart w:id="9" w:name="lt_pId028"/>
      <w:r>
        <w:rPr>
          <w:lang w:eastAsia="zh-CN"/>
        </w:rPr>
        <w:t>2)</w:t>
      </w:r>
      <w:r>
        <w:rPr>
          <w:lang w:eastAsia="zh-CN"/>
        </w:rPr>
        <w:tab/>
      </w:r>
      <w:r w:rsidR="0055614B">
        <w:rPr>
          <w:rFonts w:hint="eastAsia"/>
          <w:lang w:eastAsia="zh-CN"/>
        </w:rPr>
        <w:t>国际电联</w:t>
      </w:r>
      <w:r w:rsidR="0055614B">
        <w:rPr>
          <w:lang w:eastAsia="zh-CN"/>
        </w:rPr>
        <w:t>审议国际电联各届大会和全会的输出成果并通过确定必要的资源、预算以及制定可能的工作计划</w:t>
      </w:r>
      <w:r w:rsidR="0055614B">
        <w:rPr>
          <w:rFonts w:hint="eastAsia"/>
          <w:lang w:eastAsia="zh-CN"/>
        </w:rPr>
        <w:t>促进</w:t>
      </w:r>
      <w:r w:rsidR="0055614B">
        <w:rPr>
          <w:lang w:eastAsia="zh-CN"/>
        </w:rPr>
        <w:t>对共同</w:t>
      </w:r>
      <w:r w:rsidR="00FC06D9">
        <w:rPr>
          <w:rFonts w:hint="eastAsia"/>
          <w:lang w:eastAsia="zh-CN"/>
        </w:rPr>
        <w:t>关心</w:t>
      </w:r>
      <w:r w:rsidR="0055614B">
        <w:rPr>
          <w:lang w:eastAsia="zh-CN"/>
        </w:rPr>
        <w:t>的议题的讨论。</w:t>
      </w:r>
      <w:bookmarkEnd w:id="9"/>
      <w:r w:rsidR="0055614B">
        <w:rPr>
          <w:lang w:eastAsia="zh-CN"/>
        </w:rPr>
        <w:t xml:space="preserve"> </w:t>
      </w:r>
      <w:r w:rsidR="00097ECD">
        <w:rPr>
          <w:lang w:eastAsia="zh-CN"/>
        </w:rPr>
        <w:t xml:space="preserve"> </w:t>
      </w:r>
    </w:p>
    <w:p w:rsidR="00FA0D8C" w:rsidRDefault="00FA0D8C" w:rsidP="0032202E">
      <w:pPr>
        <w:pStyle w:val="Reasons"/>
        <w:rPr>
          <w:lang w:eastAsia="zh-CN"/>
        </w:rPr>
      </w:pPr>
    </w:p>
    <w:p w:rsidR="00FA0D8C" w:rsidRDefault="00FA0D8C" w:rsidP="0032202E">
      <w:pPr>
        <w:pStyle w:val="Reasons"/>
        <w:rPr>
          <w:lang w:eastAsia="zh-CN"/>
        </w:rPr>
      </w:pPr>
    </w:p>
    <w:p w:rsidR="00FA0D8C" w:rsidRDefault="00FA0D8C">
      <w:pPr>
        <w:jc w:val="center"/>
      </w:pPr>
      <w:r>
        <w:t>______________</w:t>
      </w:r>
    </w:p>
    <w:p w:rsidR="00FA0D8C" w:rsidRPr="00FA0D8C" w:rsidRDefault="00FA0D8C" w:rsidP="00FA0D8C">
      <w:pPr>
        <w:pStyle w:val="Title2"/>
        <w:rPr>
          <w:lang w:eastAsia="zh-CN"/>
        </w:rPr>
      </w:pPr>
    </w:p>
    <w:sectPr w:rsidR="00FA0D8C" w:rsidRPr="00FA0D8C" w:rsidSect="006C36CD">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F55" w:rsidRDefault="006E5F55">
      <w:r>
        <w:separator/>
      </w:r>
    </w:p>
  </w:endnote>
  <w:endnote w:type="continuationSeparator" w:id="0">
    <w:p w:rsidR="006E5F55" w:rsidRDefault="006E5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52B" w:rsidRDefault="00487AB2" w:rsidP="00980312">
    <w:pPr>
      <w:pStyle w:val="Footer"/>
    </w:pPr>
    <w:r>
      <w:fldChar w:fldCharType="begin"/>
    </w:r>
    <w:r>
      <w:instrText xml:space="preserve"> FILENAME \p  \* MERGEFORMAT </w:instrText>
    </w:r>
    <w:r>
      <w:fldChar w:fldCharType="separate"/>
    </w:r>
    <w:r>
      <w:t>P:\CHI\SG\CONSEIL\C18\000\098C.docx</w:t>
    </w:r>
    <w:r>
      <w:fldChar w:fldCharType="end"/>
    </w:r>
    <w:r w:rsidR="00C0152B">
      <w:t xml:space="preserve"> (</w:t>
    </w:r>
    <w:r w:rsidR="00420839">
      <w:t>434</w:t>
    </w:r>
    <w:r w:rsidR="00980312">
      <w:t>515</w:t>
    </w:r>
    <w:r w:rsidR="00C0152B">
      <w:t>)</w:t>
    </w:r>
    <w:r w:rsidR="00C0152B">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B40A53" w:rsidRDefault="00FC06D9" w:rsidP="00223C72">
    <w:pPr>
      <w:pStyle w:val="Footer"/>
    </w:pPr>
    <w:fldSimple w:instr=" FILENAME \p  \* MERGEFORMAT ">
      <w:r w:rsidR="00487AB2">
        <w:t>P:\CHI\SG\CONSEIL\C18\000\098C.docx</w:t>
      </w:r>
    </w:fldSimple>
    <w:r w:rsidR="00864589">
      <w:t xml:space="preserve"> (</w:t>
    </w:r>
    <w:r w:rsidR="00C85DF1">
      <w:t>434</w:t>
    </w:r>
    <w:r w:rsidR="00223C72">
      <w:t>515</w:t>
    </w:r>
    <w:r w:rsidR="00864589">
      <w:t>)</w:t>
    </w:r>
    <w:r w:rsidR="00864589">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F55" w:rsidRDefault="006E5F55">
      <w:r>
        <w:t>____________________</w:t>
      </w:r>
    </w:p>
  </w:footnote>
  <w:footnote w:type="continuationSeparator" w:id="0">
    <w:p w:rsidR="006E5F55" w:rsidRDefault="006E5F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CE6F22">
    <w:pPr>
      <w:pStyle w:val="Header"/>
    </w:pPr>
    <w:r>
      <w:fldChar w:fldCharType="begin"/>
    </w:r>
    <w:r>
      <w:instrText>PAGE</w:instrText>
    </w:r>
    <w:r>
      <w:fldChar w:fldCharType="separate"/>
    </w:r>
    <w:r w:rsidR="00487AB2">
      <w:rPr>
        <w:noProof/>
      </w:rPr>
      <w:t>2</w:t>
    </w:r>
    <w:r>
      <w:rPr>
        <w:noProof/>
      </w:rPr>
      <w:fldChar w:fldCharType="end"/>
    </w:r>
  </w:p>
  <w:p w:rsidR="00AC516F" w:rsidRDefault="0031330D" w:rsidP="00420839">
    <w:pPr>
      <w:pStyle w:val="Header"/>
      <w:spacing w:after="120"/>
      <w:rPr>
        <w:lang w:eastAsia="zh-CN"/>
      </w:rPr>
    </w:pPr>
    <w:r w:rsidRPr="0031330D">
      <w:t>C18/</w:t>
    </w:r>
    <w:r w:rsidR="00980312">
      <w:t>98</w:t>
    </w:r>
    <w:r w:rsidRPr="0031330D">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AA048C"/>
    <w:multiLevelType w:val="hybridMultilevel"/>
    <w:tmpl w:val="5E36AB84"/>
    <w:lvl w:ilvl="0" w:tplc="62B4EB8C">
      <w:start w:val="1"/>
      <w:numFmt w:val="bullet"/>
      <w:lvlText w:val=""/>
      <w:lvlJc w:val="left"/>
      <w:pPr>
        <w:ind w:left="720" w:hanging="360"/>
      </w:pPr>
      <w:rPr>
        <w:rFonts w:ascii="Symbol" w:hAnsi="Symbol" w:hint="default"/>
      </w:rPr>
    </w:lvl>
    <w:lvl w:ilvl="1" w:tplc="D7A6A55C" w:tentative="1">
      <w:start w:val="1"/>
      <w:numFmt w:val="bullet"/>
      <w:lvlText w:val="o"/>
      <w:lvlJc w:val="left"/>
      <w:pPr>
        <w:ind w:left="1440" w:hanging="360"/>
      </w:pPr>
      <w:rPr>
        <w:rFonts w:ascii="Courier New" w:hAnsi="Courier New" w:cs="Courier New" w:hint="default"/>
      </w:rPr>
    </w:lvl>
    <w:lvl w:ilvl="2" w:tplc="6542F28E" w:tentative="1">
      <w:start w:val="1"/>
      <w:numFmt w:val="bullet"/>
      <w:lvlText w:val=""/>
      <w:lvlJc w:val="left"/>
      <w:pPr>
        <w:ind w:left="2160" w:hanging="360"/>
      </w:pPr>
      <w:rPr>
        <w:rFonts w:ascii="Wingdings" w:hAnsi="Wingdings" w:hint="default"/>
      </w:rPr>
    </w:lvl>
    <w:lvl w:ilvl="3" w:tplc="C01EC51A" w:tentative="1">
      <w:start w:val="1"/>
      <w:numFmt w:val="bullet"/>
      <w:lvlText w:val=""/>
      <w:lvlJc w:val="left"/>
      <w:pPr>
        <w:ind w:left="2880" w:hanging="360"/>
      </w:pPr>
      <w:rPr>
        <w:rFonts w:ascii="Symbol" w:hAnsi="Symbol" w:hint="default"/>
      </w:rPr>
    </w:lvl>
    <w:lvl w:ilvl="4" w:tplc="0DFE15AE" w:tentative="1">
      <w:start w:val="1"/>
      <w:numFmt w:val="bullet"/>
      <w:lvlText w:val="o"/>
      <w:lvlJc w:val="left"/>
      <w:pPr>
        <w:ind w:left="3600" w:hanging="360"/>
      </w:pPr>
      <w:rPr>
        <w:rFonts w:ascii="Courier New" w:hAnsi="Courier New" w:cs="Courier New" w:hint="default"/>
      </w:rPr>
    </w:lvl>
    <w:lvl w:ilvl="5" w:tplc="2F16C30C" w:tentative="1">
      <w:start w:val="1"/>
      <w:numFmt w:val="bullet"/>
      <w:lvlText w:val=""/>
      <w:lvlJc w:val="left"/>
      <w:pPr>
        <w:ind w:left="4320" w:hanging="360"/>
      </w:pPr>
      <w:rPr>
        <w:rFonts w:ascii="Wingdings" w:hAnsi="Wingdings" w:hint="default"/>
      </w:rPr>
    </w:lvl>
    <w:lvl w:ilvl="6" w:tplc="4DDC5BF4" w:tentative="1">
      <w:start w:val="1"/>
      <w:numFmt w:val="bullet"/>
      <w:lvlText w:val=""/>
      <w:lvlJc w:val="left"/>
      <w:pPr>
        <w:ind w:left="5040" w:hanging="360"/>
      </w:pPr>
      <w:rPr>
        <w:rFonts w:ascii="Symbol" w:hAnsi="Symbol" w:hint="default"/>
      </w:rPr>
    </w:lvl>
    <w:lvl w:ilvl="7" w:tplc="F7B8CF24" w:tentative="1">
      <w:start w:val="1"/>
      <w:numFmt w:val="bullet"/>
      <w:lvlText w:val="o"/>
      <w:lvlJc w:val="left"/>
      <w:pPr>
        <w:ind w:left="5760" w:hanging="360"/>
      </w:pPr>
      <w:rPr>
        <w:rFonts w:ascii="Courier New" w:hAnsi="Courier New" w:cs="Courier New" w:hint="default"/>
      </w:rPr>
    </w:lvl>
    <w:lvl w:ilvl="8" w:tplc="167E51D4" w:tentative="1">
      <w:start w:val="1"/>
      <w:numFmt w:val="bullet"/>
      <w:lvlText w:val=""/>
      <w:lvlJc w:val="left"/>
      <w:pPr>
        <w:ind w:left="6480" w:hanging="360"/>
      </w:pPr>
      <w:rPr>
        <w:rFonts w:ascii="Wingdings" w:hAnsi="Wingdings" w:hint="default"/>
      </w:rPr>
    </w:lvl>
  </w:abstractNum>
  <w:abstractNum w:abstractNumId="2"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C841D92"/>
    <w:multiLevelType w:val="hybridMultilevel"/>
    <w:tmpl w:val="CCE2B41C"/>
    <w:lvl w:ilvl="0" w:tplc="9920E078">
      <w:start w:val="1"/>
      <w:numFmt w:val="decimal"/>
      <w:lvlText w:val="%1."/>
      <w:lvlJc w:val="left"/>
      <w:pPr>
        <w:ind w:left="720" w:hanging="360"/>
      </w:pPr>
      <w:rPr>
        <w:rFonts w:hint="default"/>
      </w:rPr>
    </w:lvl>
    <w:lvl w:ilvl="1" w:tplc="ED9AC2FA" w:tentative="1">
      <w:start w:val="1"/>
      <w:numFmt w:val="lowerLetter"/>
      <w:lvlText w:val="%2."/>
      <w:lvlJc w:val="left"/>
      <w:pPr>
        <w:ind w:left="1440" w:hanging="360"/>
      </w:pPr>
    </w:lvl>
    <w:lvl w:ilvl="2" w:tplc="8E328722" w:tentative="1">
      <w:start w:val="1"/>
      <w:numFmt w:val="lowerRoman"/>
      <w:lvlText w:val="%3."/>
      <w:lvlJc w:val="right"/>
      <w:pPr>
        <w:ind w:left="2160" w:hanging="180"/>
      </w:pPr>
    </w:lvl>
    <w:lvl w:ilvl="3" w:tplc="97B45F7C" w:tentative="1">
      <w:start w:val="1"/>
      <w:numFmt w:val="decimal"/>
      <w:lvlText w:val="%4."/>
      <w:lvlJc w:val="left"/>
      <w:pPr>
        <w:ind w:left="2880" w:hanging="360"/>
      </w:pPr>
    </w:lvl>
    <w:lvl w:ilvl="4" w:tplc="ABC07CFA" w:tentative="1">
      <w:start w:val="1"/>
      <w:numFmt w:val="lowerLetter"/>
      <w:lvlText w:val="%5."/>
      <w:lvlJc w:val="left"/>
      <w:pPr>
        <w:ind w:left="3600" w:hanging="360"/>
      </w:pPr>
    </w:lvl>
    <w:lvl w:ilvl="5" w:tplc="193EC156" w:tentative="1">
      <w:start w:val="1"/>
      <w:numFmt w:val="lowerRoman"/>
      <w:lvlText w:val="%6."/>
      <w:lvlJc w:val="right"/>
      <w:pPr>
        <w:ind w:left="4320" w:hanging="180"/>
      </w:pPr>
    </w:lvl>
    <w:lvl w:ilvl="6" w:tplc="AFCCBFD8" w:tentative="1">
      <w:start w:val="1"/>
      <w:numFmt w:val="decimal"/>
      <w:lvlText w:val="%7."/>
      <w:lvlJc w:val="left"/>
      <w:pPr>
        <w:ind w:left="5040" w:hanging="360"/>
      </w:pPr>
    </w:lvl>
    <w:lvl w:ilvl="7" w:tplc="6CA0971A" w:tentative="1">
      <w:start w:val="1"/>
      <w:numFmt w:val="lowerLetter"/>
      <w:lvlText w:val="%8."/>
      <w:lvlJc w:val="left"/>
      <w:pPr>
        <w:ind w:left="5760" w:hanging="360"/>
      </w:pPr>
    </w:lvl>
    <w:lvl w:ilvl="8" w:tplc="5B148E52" w:tentative="1">
      <w:start w:val="1"/>
      <w:numFmt w:val="lowerRoman"/>
      <w:lvlText w:val="%9."/>
      <w:lvlJc w:val="right"/>
      <w:pPr>
        <w:ind w:left="6480" w:hanging="180"/>
      </w:pPr>
    </w:lvl>
  </w:abstractNum>
  <w:abstractNum w:abstractNumId="6" w15:restartNumberingAfterBreak="0">
    <w:nsid w:val="5ABCACA6"/>
    <w:multiLevelType w:val="singleLevel"/>
    <w:tmpl w:val="5ABCACA6"/>
    <w:lvl w:ilvl="0">
      <w:start w:val="1"/>
      <w:numFmt w:val="decimal"/>
      <w:suff w:val="space"/>
      <w:lvlText w:val="%1."/>
      <w:lvlJc w:val="left"/>
    </w:lvl>
  </w:abstractNum>
  <w:abstractNum w:abstractNumId="7"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4"/>
  </w:num>
  <w:num w:numId="4">
    <w:abstractNumId w:val="7"/>
  </w:num>
  <w:num w:numId="5">
    <w:abstractNumId w:val="9"/>
  </w:num>
  <w:num w:numId="6">
    <w:abstractNumId w:val="8"/>
  </w:num>
  <w:num w:numId="7">
    <w:abstractNumId w:val="2"/>
  </w:num>
  <w:num w:numId="8">
    <w:abstractNumId w:val="6"/>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F55"/>
    <w:rsid w:val="00001B77"/>
    <w:rsid w:val="0000404F"/>
    <w:rsid w:val="0000517A"/>
    <w:rsid w:val="00031E72"/>
    <w:rsid w:val="000404D2"/>
    <w:rsid w:val="00042662"/>
    <w:rsid w:val="000853C0"/>
    <w:rsid w:val="00097ECD"/>
    <w:rsid w:val="000A1C21"/>
    <w:rsid w:val="000C5E5D"/>
    <w:rsid w:val="000D15EA"/>
    <w:rsid w:val="000F7713"/>
    <w:rsid w:val="00100D84"/>
    <w:rsid w:val="00124C9D"/>
    <w:rsid w:val="00127419"/>
    <w:rsid w:val="00144A70"/>
    <w:rsid w:val="00157773"/>
    <w:rsid w:val="0018251A"/>
    <w:rsid w:val="00190272"/>
    <w:rsid w:val="00193244"/>
    <w:rsid w:val="00195C6C"/>
    <w:rsid w:val="00195FED"/>
    <w:rsid w:val="001A4BD6"/>
    <w:rsid w:val="001D5A18"/>
    <w:rsid w:val="001D69CF"/>
    <w:rsid w:val="00223C72"/>
    <w:rsid w:val="00231E53"/>
    <w:rsid w:val="00280EB8"/>
    <w:rsid w:val="002A6670"/>
    <w:rsid w:val="00303502"/>
    <w:rsid w:val="0031330D"/>
    <w:rsid w:val="00325C25"/>
    <w:rsid w:val="00372C8F"/>
    <w:rsid w:val="00380ECE"/>
    <w:rsid w:val="00393DDF"/>
    <w:rsid w:val="00397F55"/>
    <w:rsid w:val="003A3B1F"/>
    <w:rsid w:val="003B4454"/>
    <w:rsid w:val="003C2E37"/>
    <w:rsid w:val="003F1415"/>
    <w:rsid w:val="0040144C"/>
    <w:rsid w:val="00403EB7"/>
    <w:rsid w:val="00420839"/>
    <w:rsid w:val="00430BF0"/>
    <w:rsid w:val="00432C7D"/>
    <w:rsid w:val="004672E6"/>
    <w:rsid w:val="00474ED1"/>
    <w:rsid w:val="00487AB2"/>
    <w:rsid w:val="00493085"/>
    <w:rsid w:val="004A36EC"/>
    <w:rsid w:val="004B1285"/>
    <w:rsid w:val="004D163F"/>
    <w:rsid w:val="004E4BFF"/>
    <w:rsid w:val="004F2598"/>
    <w:rsid w:val="005403F7"/>
    <w:rsid w:val="00540632"/>
    <w:rsid w:val="00541CF4"/>
    <w:rsid w:val="005451E8"/>
    <w:rsid w:val="005507F2"/>
    <w:rsid w:val="0055614B"/>
    <w:rsid w:val="005759CC"/>
    <w:rsid w:val="005A4154"/>
    <w:rsid w:val="005A72E1"/>
    <w:rsid w:val="005C6632"/>
    <w:rsid w:val="005D1C9E"/>
    <w:rsid w:val="00654257"/>
    <w:rsid w:val="0065435A"/>
    <w:rsid w:val="006A2DD3"/>
    <w:rsid w:val="006A3157"/>
    <w:rsid w:val="006A5AF8"/>
    <w:rsid w:val="006C36CD"/>
    <w:rsid w:val="006E5F55"/>
    <w:rsid w:val="00700D1F"/>
    <w:rsid w:val="007205CB"/>
    <w:rsid w:val="00726073"/>
    <w:rsid w:val="007323E7"/>
    <w:rsid w:val="00734FE8"/>
    <w:rsid w:val="007360CE"/>
    <w:rsid w:val="00772315"/>
    <w:rsid w:val="00775157"/>
    <w:rsid w:val="007813AE"/>
    <w:rsid w:val="007A37DB"/>
    <w:rsid w:val="007E189D"/>
    <w:rsid w:val="00811259"/>
    <w:rsid w:val="00813AA2"/>
    <w:rsid w:val="008173A3"/>
    <w:rsid w:val="00836420"/>
    <w:rsid w:val="0086059C"/>
    <w:rsid w:val="00863E04"/>
    <w:rsid w:val="00864589"/>
    <w:rsid w:val="00890AFB"/>
    <w:rsid w:val="00890FC4"/>
    <w:rsid w:val="00895905"/>
    <w:rsid w:val="008A217A"/>
    <w:rsid w:val="008A41CA"/>
    <w:rsid w:val="008A57E2"/>
    <w:rsid w:val="009164A9"/>
    <w:rsid w:val="009258CB"/>
    <w:rsid w:val="0093362E"/>
    <w:rsid w:val="00944563"/>
    <w:rsid w:val="00953160"/>
    <w:rsid w:val="009625D8"/>
    <w:rsid w:val="00980312"/>
    <w:rsid w:val="0098459B"/>
    <w:rsid w:val="00997185"/>
    <w:rsid w:val="009B426F"/>
    <w:rsid w:val="009C2458"/>
    <w:rsid w:val="009C4A7B"/>
    <w:rsid w:val="009C6123"/>
    <w:rsid w:val="009D33A6"/>
    <w:rsid w:val="009F1E3E"/>
    <w:rsid w:val="00A1213C"/>
    <w:rsid w:val="00A272FF"/>
    <w:rsid w:val="00A479B3"/>
    <w:rsid w:val="00A5354B"/>
    <w:rsid w:val="00A71B57"/>
    <w:rsid w:val="00AB42C1"/>
    <w:rsid w:val="00AC516F"/>
    <w:rsid w:val="00AE2926"/>
    <w:rsid w:val="00B0184B"/>
    <w:rsid w:val="00B02665"/>
    <w:rsid w:val="00B035CD"/>
    <w:rsid w:val="00B0769D"/>
    <w:rsid w:val="00B14B4B"/>
    <w:rsid w:val="00B16D13"/>
    <w:rsid w:val="00B217F8"/>
    <w:rsid w:val="00B332EA"/>
    <w:rsid w:val="00B36236"/>
    <w:rsid w:val="00B40A53"/>
    <w:rsid w:val="00B45365"/>
    <w:rsid w:val="00B46A65"/>
    <w:rsid w:val="00B60184"/>
    <w:rsid w:val="00B62D20"/>
    <w:rsid w:val="00B81E75"/>
    <w:rsid w:val="00B939C1"/>
    <w:rsid w:val="00B971CB"/>
    <w:rsid w:val="00BD1A5A"/>
    <w:rsid w:val="00BD7A9B"/>
    <w:rsid w:val="00BD7BE1"/>
    <w:rsid w:val="00BF416B"/>
    <w:rsid w:val="00C0152B"/>
    <w:rsid w:val="00C1457D"/>
    <w:rsid w:val="00C4468D"/>
    <w:rsid w:val="00C64366"/>
    <w:rsid w:val="00C64E4E"/>
    <w:rsid w:val="00C6602A"/>
    <w:rsid w:val="00C66E64"/>
    <w:rsid w:val="00C761A0"/>
    <w:rsid w:val="00C85DF1"/>
    <w:rsid w:val="00C85F7E"/>
    <w:rsid w:val="00C90D53"/>
    <w:rsid w:val="00CC282A"/>
    <w:rsid w:val="00CD47F0"/>
    <w:rsid w:val="00CD5566"/>
    <w:rsid w:val="00CD64D7"/>
    <w:rsid w:val="00CE6F22"/>
    <w:rsid w:val="00CF41F6"/>
    <w:rsid w:val="00CF7D3E"/>
    <w:rsid w:val="00D00806"/>
    <w:rsid w:val="00D02B4E"/>
    <w:rsid w:val="00D21F11"/>
    <w:rsid w:val="00D36817"/>
    <w:rsid w:val="00D5666C"/>
    <w:rsid w:val="00D666BC"/>
    <w:rsid w:val="00D83542"/>
    <w:rsid w:val="00D92F45"/>
    <w:rsid w:val="00D94637"/>
    <w:rsid w:val="00D9725C"/>
    <w:rsid w:val="00DA7006"/>
    <w:rsid w:val="00DC2F73"/>
    <w:rsid w:val="00DC6427"/>
    <w:rsid w:val="00DD66A1"/>
    <w:rsid w:val="00DE196D"/>
    <w:rsid w:val="00DF6B49"/>
    <w:rsid w:val="00E067C5"/>
    <w:rsid w:val="00E265BF"/>
    <w:rsid w:val="00E378D8"/>
    <w:rsid w:val="00E43A12"/>
    <w:rsid w:val="00E67C67"/>
    <w:rsid w:val="00E73943"/>
    <w:rsid w:val="00E77476"/>
    <w:rsid w:val="00E8228B"/>
    <w:rsid w:val="00EA5613"/>
    <w:rsid w:val="00EE5706"/>
    <w:rsid w:val="00EF373D"/>
    <w:rsid w:val="00F11595"/>
    <w:rsid w:val="00F13BC9"/>
    <w:rsid w:val="00F357B2"/>
    <w:rsid w:val="00F36556"/>
    <w:rsid w:val="00F450C1"/>
    <w:rsid w:val="00F705DF"/>
    <w:rsid w:val="00F70622"/>
    <w:rsid w:val="00F77465"/>
    <w:rsid w:val="00F85624"/>
    <w:rsid w:val="00F87C05"/>
    <w:rsid w:val="00F93191"/>
    <w:rsid w:val="00F93A17"/>
    <w:rsid w:val="00F93A29"/>
    <w:rsid w:val="00FA0D8C"/>
    <w:rsid w:val="00FA2AF6"/>
    <w:rsid w:val="00FB073D"/>
    <w:rsid w:val="00FB771F"/>
    <w:rsid w:val="00FC06D9"/>
    <w:rsid w:val="00FC5386"/>
    <w:rsid w:val="00FF15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76B34EE0-354F-40A5-96D2-948129409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rsid w:val="006C36CD"/>
    <w:rPr>
      <w:position w:val="6"/>
      <w:sz w:val="18"/>
    </w:rPr>
  </w:style>
  <w:style w:type="paragraph" w:styleId="FootnoteText">
    <w:name w:val="footnote text"/>
    <w:basedOn w:val="Normal"/>
    <w:link w:val="FootnoteTextChar"/>
    <w:uiPriority w:val="99"/>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qFormat/>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uiPriority w:val="99"/>
    <w:rsid w:val="007A37DB"/>
    <w:rPr>
      <w:rFonts w:ascii="Calibri" w:hAnsi="Calibri"/>
      <w:sz w:val="24"/>
      <w:lang w:val="en-GB" w:eastAsia="en-US"/>
    </w:rPr>
  </w:style>
  <w:style w:type="paragraph" w:styleId="ListParagraph">
    <w:name w:val="List Paragraph"/>
    <w:basedOn w:val="Normal"/>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styleId="NormalWeb">
    <w:name w:val="Normal (Web)"/>
    <w:basedOn w:val="Normal"/>
    <w:unhideWhenUsed/>
    <w:rsid w:val="00FA0D8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val="en-US"/>
    </w:rPr>
  </w:style>
  <w:style w:type="paragraph" w:styleId="BalloonText">
    <w:name w:val="Balloon Text"/>
    <w:basedOn w:val="Normal"/>
    <w:link w:val="BalloonTextChar"/>
    <w:semiHidden/>
    <w:unhideWhenUsed/>
    <w:rsid w:val="00FA0D8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A0D8C"/>
    <w:rPr>
      <w:rFonts w:ascii="Segoe UI" w:hAnsi="Segoe UI" w:cs="Segoe UI"/>
      <w:sz w:val="18"/>
      <w:szCs w:val="18"/>
      <w:lang w:val="en-GB" w:eastAsia="en-US"/>
    </w:rPr>
  </w:style>
  <w:style w:type="paragraph" w:styleId="NoSpacing">
    <w:name w:val="No Spacing"/>
    <w:uiPriority w:val="1"/>
    <w:qFormat/>
    <w:rsid w:val="00EA5613"/>
    <w:rPr>
      <w:rFonts w:asciiTheme="minorHAnsi" w:eastAsiaTheme="minorHAnsi" w:hAnsiTheme="minorHAnsi" w:cstheme="minorBidi"/>
      <w:sz w:val="22"/>
      <w:szCs w:val="22"/>
      <w:lang w:val="en-I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020A1-13DD-43AF-AB6C-FA9EAF85B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PC_C18.dotx</Template>
  <TotalTime>3</TotalTime>
  <Pages>2</Pages>
  <Words>786</Words>
  <Characters>141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926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2018</dc:subject>
  <dc:creator>Yuan, Tianxiang</dc:creator>
  <cp:keywords>C2018, C18</cp:keywords>
  <dc:description/>
  <cp:lastModifiedBy>Yuan, Tianxiang</cp:lastModifiedBy>
  <cp:revision>3</cp:revision>
  <cp:lastPrinted>2015-02-24T13:23:00Z</cp:lastPrinted>
  <dcterms:created xsi:type="dcterms:W3CDTF">2018-04-11T09:31:00Z</dcterms:created>
  <dcterms:modified xsi:type="dcterms:W3CDTF">2018-04-11T09:34:00Z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