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505C" w:rsidRPr="00D92C18" w:rsidTr="00142908">
        <w:trPr>
          <w:cantSplit/>
        </w:trPr>
        <w:tc>
          <w:tcPr>
            <w:tcW w:w="6911" w:type="dxa"/>
          </w:tcPr>
          <w:p w:rsidR="0090505C" w:rsidRPr="00D92C18" w:rsidRDefault="0090505C" w:rsidP="00142908">
            <w:pPr>
              <w:spacing w:before="360" w:after="48" w:line="240" w:lineRule="atLeast"/>
              <w:rPr>
                <w:position w:val="6"/>
                <w:lang w:val="es-ES_tradnl"/>
              </w:rPr>
            </w:pPr>
            <w:bookmarkStart w:id="0" w:name="dc06"/>
            <w:bookmarkEnd w:id="0"/>
            <w:r w:rsidRPr="00D92C18">
              <w:rPr>
                <w:b/>
                <w:lang w:val="es-ES_tradnl"/>
              </w:rPr>
              <w:t>Consejo 2018</w:t>
            </w:r>
            <w:r w:rsidRPr="00D92C18">
              <w:rPr>
                <w:b/>
                <w:lang w:val="es-ES_tradnl"/>
              </w:rPr>
              <w:br/>
              <w:t>Ginebra, 17-27 de mayo de 2018</w:t>
            </w:r>
          </w:p>
        </w:tc>
        <w:tc>
          <w:tcPr>
            <w:tcW w:w="3120" w:type="dxa"/>
          </w:tcPr>
          <w:p w:rsidR="0090505C" w:rsidRPr="00D92C18" w:rsidRDefault="0090505C" w:rsidP="00142908">
            <w:pPr>
              <w:spacing w:before="0" w:line="240" w:lineRule="atLeast"/>
              <w:jc w:val="right"/>
              <w:rPr>
                <w:lang w:val="es-ES_tradnl"/>
              </w:rPr>
            </w:pPr>
            <w:bookmarkStart w:id="1" w:name="ditulogo"/>
            <w:bookmarkEnd w:id="1"/>
            <w:r w:rsidRPr="00D92C18">
              <w:rPr>
                <w:rFonts w:ascii="Verdana" w:hAnsi="Verdana"/>
                <w:noProof/>
                <w:color w:val="FFFFFF"/>
                <w:sz w:val="26"/>
                <w:szCs w:val="26"/>
                <w:lang w:val="es-ES_tradnl" w:eastAsia="zh-CN"/>
              </w:rPr>
              <w:drawing>
                <wp:inline distT="0" distB="0" distL="0" distR="0" wp14:anchorId="02DCC56C" wp14:editId="6A8E615A">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90505C" w:rsidRPr="00D92C18" w:rsidTr="00142908">
        <w:trPr>
          <w:cantSplit/>
        </w:trPr>
        <w:tc>
          <w:tcPr>
            <w:tcW w:w="6911" w:type="dxa"/>
            <w:tcBorders>
              <w:bottom w:val="single" w:sz="12" w:space="0" w:color="auto"/>
            </w:tcBorders>
          </w:tcPr>
          <w:p w:rsidR="0090505C" w:rsidRPr="00D92C18" w:rsidRDefault="0090505C" w:rsidP="00142908">
            <w:pPr>
              <w:spacing w:before="0" w:after="48" w:line="240" w:lineRule="atLeast"/>
              <w:rPr>
                <w:b/>
                <w:smallCaps/>
                <w:szCs w:val="24"/>
                <w:lang w:val="es-ES_tradnl"/>
              </w:rPr>
            </w:pPr>
          </w:p>
        </w:tc>
        <w:tc>
          <w:tcPr>
            <w:tcW w:w="3120" w:type="dxa"/>
            <w:tcBorders>
              <w:bottom w:val="single" w:sz="12" w:space="0" w:color="auto"/>
            </w:tcBorders>
          </w:tcPr>
          <w:p w:rsidR="0090505C" w:rsidRPr="00D92C18" w:rsidRDefault="0090505C" w:rsidP="00142908">
            <w:pPr>
              <w:spacing w:before="0" w:line="240" w:lineRule="atLeast"/>
              <w:rPr>
                <w:szCs w:val="24"/>
                <w:lang w:val="es-ES_tradnl"/>
              </w:rPr>
            </w:pPr>
          </w:p>
        </w:tc>
      </w:tr>
      <w:tr w:rsidR="0090505C" w:rsidRPr="00D92C18" w:rsidTr="00142908">
        <w:trPr>
          <w:cantSplit/>
        </w:trPr>
        <w:tc>
          <w:tcPr>
            <w:tcW w:w="6911" w:type="dxa"/>
            <w:tcBorders>
              <w:top w:val="single" w:sz="12" w:space="0" w:color="auto"/>
            </w:tcBorders>
          </w:tcPr>
          <w:p w:rsidR="0090505C" w:rsidRPr="00D92C18" w:rsidRDefault="0090505C" w:rsidP="00142908">
            <w:pPr>
              <w:spacing w:before="0" w:after="48" w:line="240" w:lineRule="atLeast"/>
              <w:rPr>
                <w:b/>
                <w:smallCaps/>
                <w:szCs w:val="24"/>
                <w:lang w:val="es-ES_tradnl"/>
              </w:rPr>
            </w:pPr>
          </w:p>
        </w:tc>
        <w:tc>
          <w:tcPr>
            <w:tcW w:w="3120" w:type="dxa"/>
            <w:tcBorders>
              <w:top w:val="single" w:sz="12" w:space="0" w:color="auto"/>
            </w:tcBorders>
          </w:tcPr>
          <w:p w:rsidR="0090505C" w:rsidRPr="00D92C18" w:rsidRDefault="0090505C" w:rsidP="00142908">
            <w:pPr>
              <w:spacing w:before="0" w:line="240" w:lineRule="atLeast"/>
              <w:rPr>
                <w:szCs w:val="24"/>
                <w:lang w:val="es-ES_tradnl"/>
              </w:rPr>
            </w:pPr>
          </w:p>
        </w:tc>
      </w:tr>
      <w:tr w:rsidR="0090505C" w:rsidRPr="00D92C18" w:rsidTr="00142908">
        <w:trPr>
          <w:cantSplit/>
          <w:trHeight w:val="23"/>
        </w:trPr>
        <w:tc>
          <w:tcPr>
            <w:tcW w:w="6911" w:type="dxa"/>
            <w:vMerge w:val="restart"/>
          </w:tcPr>
          <w:p w:rsidR="0090505C" w:rsidRPr="00D92C18" w:rsidRDefault="0090505C" w:rsidP="00142908">
            <w:pPr>
              <w:tabs>
                <w:tab w:val="left" w:pos="851"/>
              </w:tabs>
              <w:spacing w:before="0" w:line="240" w:lineRule="atLeast"/>
              <w:rPr>
                <w:b/>
                <w:lang w:val="es-ES_tradnl"/>
              </w:rPr>
            </w:pPr>
            <w:bookmarkStart w:id="2" w:name="dmeeting"/>
            <w:bookmarkStart w:id="3" w:name="dnum"/>
            <w:r w:rsidRPr="00D92C18">
              <w:rPr>
                <w:b/>
                <w:lang w:val="es-ES_tradnl"/>
              </w:rPr>
              <w:t>Punto del orden del día: PL 1.1</w:t>
            </w:r>
          </w:p>
        </w:tc>
        <w:tc>
          <w:tcPr>
            <w:tcW w:w="3120" w:type="dxa"/>
          </w:tcPr>
          <w:p w:rsidR="0090505C" w:rsidRPr="00D92C18" w:rsidRDefault="0090505C" w:rsidP="00142908">
            <w:pPr>
              <w:tabs>
                <w:tab w:val="left" w:pos="851"/>
              </w:tabs>
              <w:spacing w:before="0" w:line="240" w:lineRule="atLeast"/>
              <w:rPr>
                <w:b/>
                <w:lang w:val="es-ES_tradnl"/>
              </w:rPr>
            </w:pPr>
            <w:r w:rsidRPr="00D92C18">
              <w:rPr>
                <w:b/>
                <w:lang w:val="es-ES_tradnl"/>
              </w:rPr>
              <w:t>Documento C18/96-S</w:t>
            </w:r>
          </w:p>
        </w:tc>
      </w:tr>
      <w:tr w:rsidR="0090505C" w:rsidRPr="00D92C18" w:rsidTr="00142908">
        <w:trPr>
          <w:cantSplit/>
          <w:trHeight w:val="23"/>
        </w:trPr>
        <w:tc>
          <w:tcPr>
            <w:tcW w:w="6911" w:type="dxa"/>
            <w:vMerge/>
          </w:tcPr>
          <w:p w:rsidR="0090505C" w:rsidRPr="00D92C18" w:rsidRDefault="0090505C" w:rsidP="00142908">
            <w:pPr>
              <w:tabs>
                <w:tab w:val="left" w:pos="851"/>
              </w:tabs>
              <w:spacing w:line="240" w:lineRule="atLeast"/>
              <w:rPr>
                <w:b/>
                <w:lang w:val="es-ES_tradnl"/>
              </w:rPr>
            </w:pPr>
            <w:bookmarkStart w:id="4" w:name="ddate"/>
            <w:bookmarkEnd w:id="2"/>
            <w:bookmarkEnd w:id="3"/>
          </w:p>
        </w:tc>
        <w:tc>
          <w:tcPr>
            <w:tcW w:w="3120" w:type="dxa"/>
          </w:tcPr>
          <w:p w:rsidR="0090505C" w:rsidRPr="00D92C18" w:rsidRDefault="0090505C" w:rsidP="00142908">
            <w:pPr>
              <w:tabs>
                <w:tab w:val="left" w:pos="993"/>
              </w:tabs>
              <w:spacing w:before="0"/>
              <w:rPr>
                <w:b/>
                <w:lang w:val="es-ES_tradnl"/>
              </w:rPr>
            </w:pPr>
            <w:r w:rsidRPr="00D92C18">
              <w:rPr>
                <w:b/>
                <w:lang w:val="es-ES_tradnl"/>
              </w:rPr>
              <w:t>3 de abril de 2018</w:t>
            </w:r>
          </w:p>
        </w:tc>
      </w:tr>
      <w:tr w:rsidR="0090505C" w:rsidRPr="00D92C18" w:rsidTr="00142908">
        <w:trPr>
          <w:cantSplit/>
          <w:trHeight w:val="23"/>
        </w:trPr>
        <w:tc>
          <w:tcPr>
            <w:tcW w:w="6911" w:type="dxa"/>
            <w:vMerge/>
          </w:tcPr>
          <w:p w:rsidR="0090505C" w:rsidRPr="00D92C18" w:rsidRDefault="0090505C" w:rsidP="00142908">
            <w:pPr>
              <w:tabs>
                <w:tab w:val="left" w:pos="851"/>
              </w:tabs>
              <w:spacing w:line="240" w:lineRule="atLeast"/>
              <w:rPr>
                <w:b/>
                <w:lang w:val="es-ES_tradnl"/>
              </w:rPr>
            </w:pPr>
            <w:bookmarkStart w:id="5" w:name="dorlang"/>
            <w:bookmarkEnd w:id="4"/>
          </w:p>
        </w:tc>
        <w:tc>
          <w:tcPr>
            <w:tcW w:w="3120" w:type="dxa"/>
          </w:tcPr>
          <w:p w:rsidR="0090505C" w:rsidRPr="00D92C18" w:rsidRDefault="0090505C" w:rsidP="00142908">
            <w:pPr>
              <w:tabs>
                <w:tab w:val="left" w:pos="993"/>
              </w:tabs>
              <w:spacing w:before="0"/>
              <w:rPr>
                <w:b/>
                <w:lang w:val="es-ES_tradnl"/>
              </w:rPr>
            </w:pPr>
            <w:r w:rsidRPr="00D92C18">
              <w:rPr>
                <w:b/>
                <w:lang w:val="es-ES_tradnl"/>
              </w:rPr>
              <w:t>Original: Inglés</w:t>
            </w:r>
          </w:p>
        </w:tc>
      </w:tr>
      <w:tr w:rsidR="0090505C" w:rsidRPr="00D92C18" w:rsidTr="00142908">
        <w:trPr>
          <w:cantSplit/>
        </w:trPr>
        <w:tc>
          <w:tcPr>
            <w:tcW w:w="10031" w:type="dxa"/>
            <w:gridSpan w:val="2"/>
          </w:tcPr>
          <w:p w:rsidR="0090505C" w:rsidRPr="00D92C18" w:rsidRDefault="0090505C" w:rsidP="00142908">
            <w:pPr>
              <w:pStyle w:val="Source"/>
              <w:rPr>
                <w:lang w:val="es-ES_tradnl"/>
              </w:rPr>
            </w:pPr>
            <w:bookmarkStart w:id="6" w:name="dsource"/>
            <w:bookmarkEnd w:id="5"/>
            <w:r w:rsidRPr="00D92C18">
              <w:rPr>
                <w:lang w:val="es-ES_tradnl"/>
              </w:rPr>
              <w:t>Nota del Secretario General</w:t>
            </w:r>
          </w:p>
        </w:tc>
      </w:tr>
      <w:tr w:rsidR="0090505C" w:rsidRPr="00D92C18" w:rsidTr="00142908">
        <w:trPr>
          <w:cantSplit/>
        </w:trPr>
        <w:tc>
          <w:tcPr>
            <w:tcW w:w="10031" w:type="dxa"/>
            <w:gridSpan w:val="2"/>
          </w:tcPr>
          <w:p w:rsidR="0090505C" w:rsidRPr="00D92C18" w:rsidRDefault="0090505C" w:rsidP="009E2CC4">
            <w:pPr>
              <w:pStyle w:val="Title1"/>
              <w:rPr>
                <w:lang w:val="es-ES_tradnl"/>
              </w:rPr>
            </w:pPr>
            <w:bookmarkStart w:id="7" w:name="dtitle1"/>
            <w:bookmarkEnd w:id="6"/>
            <w:r w:rsidRPr="00D92C18">
              <w:rPr>
                <w:lang w:val="es-ES_tradnl"/>
              </w:rPr>
              <w:t>CONTRIBUCIÓN DE LA REPÚBLICA FEDERATIVA DEL BRASIL</w:t>
            </w:r>
          </w:p>
        </w:tc>
      </w:tr>
      <w:tr w:rsidR="009E2CC4" w:rsidRPr="00D92C18" w:rsidTr="00142908">
        <w:trPr>
          <w:cantSplit/>
        </w:trPr>
        <w:tc>
          <w:tcPr>
            <w:tcW w:w="10031" w:type="dxa"/>
            <w:gridSpan w:val="2"/>
          </w:tcPr>
          <w:p w:rsidR="009E2CC4" w:rsidRPr="00D92C18" w:rsidRDefault="009E2CC4" w:rsidP="00142908">
            <w:pPr>
              <w:pStyle w:val="Title1"/>
              <w:rPr>
                <w:lang w:val="es-ES_tradnl"/>
              </w:rPr>
            </w:pPr>
            <w:r w:rsidRPr="00D92C18">
              <w:rPr>
                <w:lang w:val="es-ES_tradnl"/>
              </w:rPr>
              <w:t xml:space="preserve">Informe sobre la </w:t>
            </w:r>
            <w:r>
              <w:rPr>
                <w:lang w:val="es-ES_tradnl"/>
              </w:rPr>
              <w:t>"</w:t>
            </w:r>
            <w:r w:rsidRPr="00D92C18">
              <w:rPr>
                <w:lang w:val="es-ES_tradnl"/>
              </w:rPr>
              <w:t>Medición de la sociedad de la información</w:t>
            </w:r>
            <w:r>
              <w:rPr>
                <w:lang w:val="es-ES_tradnl"/>
              </w:rPr>
              <w:t>"</w:t>
            </w:r>
            <w:r w:rsidRPr="00D92C18">
              <w:rPr>
                <w:lang w:val="es-ES_tradnl"/>
              </w:rPr>
              <w:t xml:space="preserve"> y estadísticas de las TIC en la UIT</w:t>
            </w:r>
          </w:p>
        </w:tc>
      </w:tr>
    </w:tbl>
    <w:p w:rsidR="0090505C" w:rsidRPr="00D92C18" w:rsidRDefault="0090505C" w:rsidP="003740A0">
      <w:pPr>
        <w:spacing w:before="240"/>
        <w:rPr>
          <w:lang w:val="es-ES_tradnl"/>
        </w:rPr>
      </w:pPr>
      <w:bookmarkStart w:id="8" w:name="dstart"/>
      <w:bookmarkStart w:id="9" w:name="dbreak"/>
      <w:bookmarkEnd w:id="7"/>
      <w:bookmarkEnd w:id="8"/>
      <w:bookmarkEnd w:id="9"/>
      <w:r w:rsidRPr="00D92C18">
        <w:rPr>
          <w:lang w:val="es-ES_tradnl"/>
        </w:rPr>
        <w:t xml:space="preserve">Tengo el honor de transmitir a los Estados Miembros del Consejo una contribución remitida </w:t>
      </w:r>
      <w:r w:rsidRPr="009E2CC4">
        <w:rPr>
          <w:lang w:val="es-ES_tradnl"/>
        </w:rPr>
        <w:t>por la</w:t>
      </w:r>
      <w:r w:rsidRPr="00D92C18">
        <w:rPr>
          <w:b/>
          <w:lang w:val="es-ES_tradnl"/>
        </w:rPr>
        <w:t xml:space="preserve"> República Federativa del Brasil</w:t>
      </w:r>
      <w:r w:rsidRPr="00D92C18">
        <w:rPr>
          <w:lang w:val="es-ES_tradnl"/>
        </w:rPr>
        <w:t>.</w:t>
      </w:r>
    </w:p>
    <w:p w:rsidR="0090505C" w:rsidRPr="00D92C18" w:rsidRDefault="0090505C" w:rsidP="0090505C">
      <w:pPr>
        <w:rPr>
          <w:lang w:val="es-ES_tradnl"/>
        </w:rPr>
      </w:pPr>
    </w:p>
    <w:p w:rsidR="0090505C" w:rsidRPr="00D92C18" w:rsidRDefault="0090505C" w:rsidP="0090505C">
      <w:pPr>
        <w:tabs>
          <w:tab w:val="clear" w:pos="567"/>
          <w:tab w:val="clear" w:pos="1134"/>
          <w:tab w:val="clear" w:pos="1701"/>
          <w:tab w:val="clear" w:pos="2268"/>
          <w:tab w:val="clear" w:pos="2835"/>
          <w:tab w:val="center" w:pos="7088"/>
        </w:tabs>
        <w:rPr>
          <w:lang w:val="es-ES_tradnl"/>
        </w:rPr>
      </w:pPr>
      <w:r w:rsidRPr="00D92C18">
        <w:rPr>
          <w:lang w:val="es-ES_tradnl"/>
        </w:rPr>
        <w:tab/>
        <w:t>Houlin ZHAO</w:t>
      </w:r>
      <w:r w:rsidRPr="00D92C18">
        <w:rPr>
          <w:lang w:val="es-ES_tradnl"/>
        </w:rPr>
        <w:br/>
      </w:r>
      <w:r w:rsidRPr="00D92C18">
        <w:rPr>
          <w:lang w:val="es-ES_tradnl"/>
        </w:rPr>
        <w:tab/>
        <w:t>Secretario General</w:t>
      </w:r>
    </w:p>
    <w:p w:rsidR="0090505C" w:rsidRPr="00D92C18" w:rsidRDefault="0090505C" w:rsidP="0090505C">
      <w:pPr>
        <w:rPr>
          <w:lang w:val="es-ES_tradnl"/>
        </w:rPr>
      </w:pPr>
    </w:p>
    <w:p w:rsidR="0090505C" w:rsidRPr="00D92C18" w:rsidRDefault="0090505C" w:rsidP="0090505C">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D92C18">
        <w:rPr>
          <w:lang w:val="es-ES_tradnl"/>
        </w:rPr>
        <w:br w:type="page"/>
      </w:r>
    </w:p>
    <w:p w:rsidR="0090505C" w:rsidRPr="00D92C18" w:rsidRDefault="0090505C" w:rsidP="0090505C">
      <w:pPr>
        <w:pStyle w:val="Title1"/>
        <w:rPr>
          <w:lang w:val="es-ES_tradnl"/>
        </w:rPr>
      </w:pPr>
      <w:r w:rsidRPr="00D92C18">
        <w:rPr>
          <w:lang w:val="es-ES_tradnl"/>
        </w:rPr>
        <w:lastRenderedPageBreak/>
        <w:t>CONTRIBUCIÓN DE LA REPÚBLICA FEDERATIVA DEL BRASIL</w:t>
      </w:r>
    </w:p>
    <w:p w:rsidR="0090505C" w:rsidRPr="00D92C18" w:rsidRDefault="0090505C" w:rsidP="00D92C18">
      <w:pPr>
        <w:pStyle w:val="Title1"/>
        <w:rPr>
          <w:b/>
          <w:lang w:val="es-ES_tradnl"/>
        </w:rPr>
      </w:pPr>
      <w:r w:rsidRPr="00D92C18">
        <w:rPr>
          <w:lang w:val="es-ES_tradnl"/>
        </w:rPr>
        <w:t xml:space="preserve">Informe sobre la </w:t>
      </w:r>
      <w:r w:rsidR="00D92C18">
        <w:rPr>
          <w:lang w:val="es-ES_tradnl"/>
        </w:rPr>
        <w:t>"</w:t>
      </w:r>
      <w:r w:rsidRPr="00D92C18">
        <w:rPr>
          <w:lang w:val="es-ES_tradnl"/>
        </w:rPr>
        <w:t>Medición de la sociedad de la información</w:t>
      </w:r>
      <w:r w:rsidR="00D92C18">
        <w:rPr>
          <w:lang w:val="es-ES_tradnl"/>
        </w:rPr>
        <w:t>"</w:t>
      </w:r>
      <w:r w:rsidRPr="00D92C18">
        <w:rPr>
          <w:lang w:val="es-ES_tradnl"/>
        </w:rPr>
        <w:t xml:space="preserve"> y estadísticas de las TIC en la UIT</w:t>
      </w:r>
    </w:p>
    <w:p w:rsidR="0090505C" w:rsidRPr="00D92C18" w:rsidRDefault="0090505C" w:rsidP="004F7730">
      <w:pPr>
        <w:pStyle w:val="Headingb"/>
        <w:rPr>
          <w:lang w:val="es-ES_tradnl"/>
        </w:rPr>
      </w:pPr>
      <w:r w:rsidRPr="00D92C18">
        <w:rPr>
          <w:lang w:val="es-ES_tradnl"/>
        </w:rPr>
        <w:t>Introducción</w:t>
      </w:r>
    </w:p>
    <w:p w:rsidR="0090505C" w:rsidRPr="00D92C18" w:rsidRDefault="0090505C" w:rsidP="004F7730">
      <w:pPr>
        <w:rPr>
          <w:lang w:val="es-ES_tradnl"/>
        </w:rPr>
      </w:pPr>
      <w:r w:rsidRPr="00D92C18">
        <w:rPr>
          <w:lang w:val="es-ES_tradnl"/>
        </w:rPr>
        <w:t>La UIT debería tener como prioridad estratégica la mejora de sus capacidades y resultados de estadísticas de las TIC en el próximo ciclo. En particular son fundamentales dos iniciativas.</w:t>
      </w:r>
    </w:p>
    <w:p w:rsidR="0090505C" w:rsidRPr="00D92C18" w:rsidRDefault="0090505C" w:rsidP="009E2CC4">
      <w:pPr>
        <w:rPr>
          <w:lang w:val="es-ES_tradnl"/>
        </w:rPr>
      </w:pPr>
      <w:r w:rsidRPr="00D92C18">
        <w:rPr>
          <w:lang w:val="es-ES_tradnl"/>
        </w:rPr>
        <w:t xml:space="preserve">En primer lugar, en la edición de 2017 del </w:t>
      </w:r>
      <w:r w:rsidR="009E2CC4">
        <w:rPr>
          <w:lang w:val="es-ES_tradnl"/>
        </w:rPr>
        <w:t>I</w:t>
      </w:r>
      <w:r w:rsidRPr="00D92C18">
        <w:rPr>
          <w:lang w:val="es-ES_tradnl"/>
        </w:rPr>
        <w:t xml:space="preserve">nforme sobre la </w:t>
      </w:r>
      <w:r w:rsidR="00D92C18">
        <w:rPr>
          <w:lang w:val="es-ES_tradnl"/>
        </w:rPr>
        <w:t>"</w:t>
      </w:r>
      <w:r w:rsidRPr="00D92C18">
        <w:rPr>
          <w:lang w:val="es-ES_tradnl"/>
        </w:rPr>
        <w:t>Medición de la sociedad de la información</w:t>
      </w:r>
      <w:r w:rsidR="00D92C18">
        <w:rPr>
          <w:lang w:val="es-ES_tradnl"/>
        </w:rPr>
        <w:t>"</w:t>
      </w:r>
      <w:r w:rsidRPr="00D92C18">
        <w:rPr>
          <w:lang w:val="es-ES_tradnl"/>
        </w:rPr>
        <w:t xml:space="preserve"> (en adelante </w:t>
      </w:r>
      <w:r w:rsidR="00D92C18">
        <w:rPr>
          <w:lang w:val="es-ES_tradnl"/>
        </w:rPr>
        <w:t>"</w:t>
      </w:r>
      <w:r w:rsidRPr="00D92C18">
        <w:rPr>
          <w:lang w:val="es-ES_tradnl"/>
        </w:rPr>
        <w:t>MIS</w:t>
      </w:r>
      <w:r w:rsidR="00D92C18">
        <w:rPr>
          <w:lang w:val="es-ES_tradnl"/>
        </w:rPr>
        <w:t>"</w:t>
      </w:r>
      <w:r w:rsidRPr="00D92C18">
        <w:rPr>
          <w:lang w:val="es-ES_tradnl"/>
        </w:rPr>
        <w:t>) no figuran resultados, clasificaciones ni estudios habituales sobre precios ni sobre asequibilidad de las telecomunicaciones/TIC. Esos datos son una información de incalculable valor para el personal académico y para los encargados de la toma de decisiones de todos los sectores de las telecomunicaciones/TIC y su ausencia en el informe estadístico principal de la UIT debe aclararse y remediarse.</w:t>
      </w:r>
    </w:p>
    <w:p w:rsidR="0090505C" w:rsidRPr="00D92C18" w:rsidRDefault="0090505C" w:rsidP="004F7730">
      <w:pPr>
        <w:rPr>
          <w:lang w:val="es-ES_tradnl"/>
        </w:rPr>
      </w:pPr>
      <w:r w:rsidRPr="00D92C18">
        <w:rPr>
          <w:lang w:val="es-ES_tradnl"/>
        </w:rPr>
        <w:t xml:space="preserve">En segundo lugar, la página web de estadísticas de las TIC de la UIT debería mejorarse para presentar con precisión las series de datos, metodologías y resultados de la MIS y de otros estudios de estadísticas de </w:t>
      </w:r>
      <w:r w:rsidR="003740A0" w:rsidRPr="00D92C18">
        <w:rPr>
          <w:lang w:val="es-ES_tradnl"/>
        </w:rPr>
        <w:t>las TIC a lo largo de los años.</w:t>
      </w:r>
    </w:p>
    <w:p w:rsidR="0090505C" w:rsidRPr="00D92C18" w:rsidRDefault="0090505C" w:rsidP="004F7730">
      <w:pPr>
        <w:pStyle w:val="Headingb"/>
        <w:rPr>
          <w:lang w:val="es-ES_tradnl"/>
        </w:rPr>
      </w:pPr>
      <w:r w:rsidRPr="00D92C18">
        <w:rPr>
          <w:lang w:val="es-ES_tradnl"/>
        </w:rPr>
        <w:t>Debate</w:t>
      </w:r>
    </w:p>
    <w:p w:rsidR="0090505C" w:rsidRPr="00D92C18" w:rsidRDefault="0090505C" w:rsidP="004F7730">
      <w:pPr>
        <w:rPr>
          <w:lang w:val="es-ES_tradnl"/>
        </w:rPr>
      </w:pPr>
      <w:r w:rsidRPr="00D92C18">
        <w:rPr>
          <w:lang w:val="es-ES_tradnl"/>
        </w:rPr>
        <w:t xml:space="preserve">Como organización internacional y organismo especializado de las Naciones Unidas, la UIT debe ser el centro de estadísticas mundiales, estudios de referencia y mediciones sobre el avance de las telecomunicaciones/TIC. De hecho, la UIT se da a conocer como tal en la sección </w:t>
      </w:r>
      <w:r w:rsidR="00D92C18">
        <w:rPr>
          <w:lang w:val="es-ES_tradnl"/>
        </w:rPr>
        <w:t>"</w:t>
      </w:r>
      <w:r w:rsidRPr="00D92C18">
        <w:rPr>
          <w:lang w:val="es-ES_tradnl"/>
        </w:rPr>
        <w:t>Sobre nosotros</w:t>
      </w:r>
      <w:r w:rsidR="00D92C18">
        <w:rPr>
          <w:lang w:val="es-ES_tradnl"/>
        </w:rPr>
        <w:t>"</w:t>
      </w:r>
      <w:r w:rsidRPr="00D92C18">
        <w:rPr>
          <w:lang w:val="es-ES_tradnl"/>
        </w:rPr>
        <w:t xml:space="preserve"> del sitio web de estadísticas de las TIC</w:t>
      </w:r>
      <w:r w:rsidRPr="00D92C18">
        <w:rPr>
          <w:rStyle w:val="FootnoteReference"/>
          <w:lang w:val="es-ES_tradnl"/>
        </w:rPr>
        <w:footnoteReference w:id="1"/>
      </w:r>
      <w:r w:rsidR="009E2CC4">
        <w:rPr>
          <w:lang w:val="es-ES_tradnl"/>
        </w:rPr>
        <w:t>.</w:t>
      </w:r>
    </w:p>
    <w:p w:rsidR="0090505C" w:rsidRPr="00D92C18" w:rsidRDefault="0090505C" w:rsidP="004F7730">
      <w:pPr>
        <w:rPr>
          <w:lang w:val="es-ES_tradnl"/>
        </w:rPr>
      </w:pPr>
      <w:r w:rsidRPr="00D92C18">
        <w:rPr>
          <w:lang w:val="es-ES_tradnl"/>
        </w:rPr>
        <w:t xml:space="preserve">La UIT lleva desde 2003 ganando reconocimiento como referente de estadísticas mundiales de las TIC. El índice de acceso digital (IAD) fue una referencia en la medición del acceso y utilización de las TIC. En 2007, en la primera MIS, se presentó un innovador índice de las TIC, el Índice de Oportunidades TIC (IO-TIC), que comparaba el progreso entre países y, por lo tanto, era muy útil como guía en investigaciones y procesos de toma de decisión relativos a telecomunicaciones/TIC. </w:t>
      </w:r>
    </w:p>
    <w:p w:rsidR="0090505C" w:rsidRPr="00D92C18" w:rsidRDefault="0090505C" w:rsidP="004F7730">
      <w:pPr>
        <w:rPr>
          <w:lang w:val="es-ES_tradnl"/>
        </w:rPr>
      </w:pPr>
      <w:r w:rsidRPr="00D92C18">
        <w:rPr>
          <w:lang w:val="es-ES_tradnl"/>
        </w:rPr>
        <w:t>En la edición de 2009 de la MIS se presentaron el Índice de desarrollo de las TIC (IDT) y la Cesta de Precios de las TIC (IPB) con los que se comparaban más de 150 países en el marco de cuatro dimensiones principales de desarrollo y adopción de las TIC:</w:t>
      </w:r>
    </w:p>
    <w:p w:rsidR="0090505C" w:rsidRPr="00D92C18" w:rsidRDefault="004F7730" w:rsidP="004F7730">
      <w:pPr>
        <w:pStyle w:val="enumlev1"/>
        <w:rPr>
          <w:lang w:val="es-ES_tradnl"/>
        </w:rPr>
      </w:pPr>
      <w:r w:rsidRPr="00D92C18">
        <w:rPr>
          <w:lang w:val="es-ES_tradnl"/>
        </w:rPr>
        <w:t>•</w:t>
      </w:r>
      <w:r w:rsidRPr="00D92C18">
        <w:rPr>
          <w:lang w:val="es-ES_tradnl"/>
        </w:rPr>
        <w:tab/>
      </w:r>
      <w:r w:rsidR="003740A0" w:rsidRPr="00D92C18">
        <w:rPr>
          <w:lang w:val="es-ES_tradnl"/>
        </w:rPr>
        <w:t>a</w:t>
      </w:r>
      <w:r w:rsidR="0090505C" w:rsidRPr="00D92C18">
        <w:rPr>
          <w:lang w:val="es-ES_tradnl"/>
        </w:rPr>
        <w:t>cceso;</w:t>
      </w:r>
    </w:p>
    <w:p w:rsidR="0090505C" w:rsidRPr="00D92C18" w:rsidRDefault="004F7730" w:rsidP="004F7730">
      <w:pPr>
        <w:pStyle w:val="enumlev1"/>
        <w:rPr>
          <w:lang w:val="es-ES_tradnl"/>
        </w:rPr>
      </w:pPr>
      <w:r w:rsidRPr="00D92C18">
        <w:rPr>
          <w:lang w:val="es-ES_tradnl"/>
        </w:rPr>
        <w:t>•</w:t>
      </w:r>
      <w:r w:rsidRPr="00D92C18">
        <w:rPr>
          <w:lang w:val="es-ES_tradnl"/>
        </w:rPr>
        <w:tab/>
      </w:r>
      <w:r w:rsidR="003740A0" w:rsidRPr="00D92C18">
        <w:rPr>
          <w:lang w:val="es-ES_tradnl"/>
        </w:rPr>
        <w:t>u</w:t>
      </w:r>
      <w:r w:rsidR="0090505C" w:rsidRPr="00D92C18">
        <w:rPr>
          <w:lang w:val="es-ES_tradnl"/>
        </w:rPr>
        <w:t>tilización;</w:t>
      </w:r>
    </w:p>
    <w:p w:rsidR="0090505C" w:rsidRPr="00D92C18" w:rsidRDefault="004F7730" w:rsidP="004F7730">
      <w:pPr>
        <w:pStyle w:val="enumlev1"/>
        <w:rPr>
          <w:lang w:val="es-ES_tradnl"/>
        </w:rPr>
      </w:pPr>
      <w:r w:rsidRPr="00D92C18">
        <w:rPr>
          <w:lang w:val="es-ES_tradnl"/>
        </w:rPr>
        <w:t>•</w:t>
      </w:r>
      <w:r w:rsidRPr="00D92C18">
        <w:rPr>
          <w:lang w:val="es-ES_tradnl"/>
        </w:rPr>
        <w:tab/>
      </w:r>
      <w:r w:rsidR="003740A0" w:rsidRPr="00D92C18">
        <w:rPr>
          <w:lang w:val="es-ES_tradnl"/>
        </w:rPr>
        <w:t>a</w:t>
      </w:r>
      <w:r w:rsidR="0090505C" w:rsidRPr="00D92C18">
        <w:rPr>
          <w:lang w:val="es-ES_tradnl"/>
        </w:rPr>
        <w:t>lfabetización/habilidades;</w:t>
      </w:r>
    </w:p>
    <w:p w:rsidR="0090505C" w:rsidRPr="00D92C18" w:rsidRDefault="004F7730" w:rsidP="004F7730">
      <w:pPr>
        <w:pStyle w:val="enumlev1"/>
        <w:rPr>
          <w:lang w:val="es-ES_tradnl"/>
        </w:rPr>
      </w:pPr>
      <w:r w:rsidRPr="00D92C18">
        <w:rPr>
          <w:lang w:val="es-ES_tradnl"/>
        </w:rPr>
        <w:t>•</w:t>
      </w:r>
      <w:r w:rsidRPr="00D92C18">
        <w:rPr>
          <w:lang w:val="es-ES_tradnl"/>
        </w:rPr>
        <w:tab/>
      </w:r>
      <w:r w:rsidR="003740A0" w:rsidRPr="00D92C18">
        <w:rPr>
          <w:lang w:val="es-ES_tradnl"/>
        </w:rPr>
        <w:t>p</w:t>
      </w:r>
      <w:r w:rsidR="0090505C" w:rsidRPr="00D92C18">
        <w:rPr>
          <w:lang w:val="es-ES_tradnl"/>
        </w:rPr>
        <w:t>recio y asequibilidad.</w:t>
      </w:r>
    </w:p>
    <w:p w:rsidR="0090505C" w:rsidRPr="00D92C18" w:rsidRDefault="0090505C" w:rsidP="004F7730">
      <w:pPr>
        <w:rPr>
          <w:lang w:val="es-ES_tradnl"/>
        </w:rPr>
      </w:pPr>
      <w:r w:rsidRPr="00D92C18">
        <w:rPr>
          <w:lang w:val="es-ES_tradnl"/>
        </w:rPr>
        <w:t>De 2009 a 2016 se mejoró sistemáticamente la metodología, resultados y número de países evaluados en la MIS. En la MIS de 2012 se presentó el análisis sobre los ingresos e inversiones en el</w:t>
      </w:r>
      <w:r w:rsidR="009E2CC4">
        <w:rPr>
          <w:lang w:val="es-ES_tradnl"/>
        </w:rPr>
        <w:t xml:space="preserve"> sector de las TIC. En la de 201</w:t>
      </w:r>
      <w:r w:rsidRPr="00D92C18">
        <w:rPr>
          <w:lang w:val="es-ES_tradnl"/>
        </w:rPr>
        <w:t xml:space="preserve">3, un conjunto de datos sobre precios de servicio móvil de banda ancha de casi 130 países. En la edición de 2014 de la MIS se presentó un análisis de datos de precios </w:t>
      </w:r>
      <w:r w:rsidR="00D92C18">
        <w:rPr>
          <w:lang w:val="es-ES_tradnl"/>
        </w:rPr>
        <w:t>"</w:t>
      </w:r>
      <w:r w:rsidRPr="00D92C18">
        <w:rPr>
          <w:i/>
          <w:lang w:val="es-ES_tradnl"/>
        </w:rPr>
        <w:t xml:space="preserve">para ofrecer información sobre la relación entre </w:t>
      </w:r>
      <w:r w:rsidRPr="00D92C18">
        <w:rPr>
          <w:b/>
          <w:i/>
          <w:lang w:val="es-ES_tradnl"/>
        </w:rPr>
        <w:t>asequibilidad</w:t>
      </w:r>
      <w:r w:rsidRPr="00D92C18">
        <w:rPr>
          <w:i/>
          <w:lang w:val="es-ES_tradnl"/>
        </w:rPr>
        <w:t xml:space="preserve"> e desigualdad de ingresos, </w:t>
      </w:r>
      <w:r w:rsidRPr="00D92C18">
        <w:rPr>
          <w:i/>
          <w:lang w:val="es-ES_tradnl"/>
        </w:rPr>
        <w:lastRenderedPageBreak/>
        <w:t>competitividad y reglamentación</w:t>
      </w:r>
      <w:r w:rsidR="00D92C18">
        <w:rPr>
          <w:lang w:val="es-ES_tradnl"/>
        </w:rPr>
        <w:t>"</w:t>
      </w:r>
      <w:r w:rsidRPr="00D92C18">
        <w:rPr>
          <w:lang w:val="es-ES_tradnl"/>
        </w:rPr>
        <w:t>. Se mejoró en particular la IPB: se examinaron más países y se mejoró la metodología y la recopilación de datos de cada año.</w:t>
      </w:r>
    </w:p>
    <w:p w:rsidR="0090505C" w:rsidRPr="00D92C18" w:rsidRDefault="0090505C" w:rsidP="009E2CC4">
      <w:pPr>
        <w:rPr>
          <w:lang w:val="es-ES_tradnl"/>
        </w:rPr>
      </w:pPr>
      <w:r w:rsidRPr="00D92C18">
        <w:rPr>
          <w:lang w:val="es-ES_tradnl"/>
        </w:rPr>
        <w:t xml:space="preserve">Y entonces, en noviembre de 2017, se publicó la MIS 2017 sin estudio IPB, resultados, clasificaciones ni recomendaciones en materia de políticas, y sin ninguna mención o referencia a la metodología IPB que se había publicado de 2009 a 2016. Los precios de algunas TIC se publican en el volumen 2 pero </w:t>
      </w:r>
      <w:r w:rsidR="00D92C18">
        <w:rPr>
          <w:lang w:val="es-ES_tradnl"/>
        </w:rPr>
        <w:t>sólo</w:t>
      </w:r>
      <w:r w:rsidRPr="00D92C18">
        <w:rPr>
          <w:lang w:val="es-ES_tradnl"/>
        </w:rPr>
        <w:t xml:space="preserve"> por país y sin explicación sobre su importancia o significado. No hay clasificaciones ni capítulos sobre asequibilidad ni sobre precios de las TIC. De hecho, no se utiliza el término </w:t>
      </w:r>
      <w:r w:rsidR="00D92C18">
        <w:rPr>
          <w:lang w:val="es-ES_tradnl"/>
        </w:rPr>
        <w:t>"</w:t>
      </w:r>
      <w:r w:rsidRPr="00D92C18">
        <w:rPr>
          <w:lang w:val="es-ES_tradnl"/>
        </w:rPr>
        <w:t>cesta</w:t>
      </w:r>
      <w:r w:rsidR="00D92C18">
        <w:rPr>
          <w:lang w:val="es-ES_tradnl"/>
        </w:rPr>
        <w:t>"</w:t>
      </w:r>
      <w:r w:rsidRPr="00D92C18">
        <w:rPr>
          <w:lang w:val="es-ES_tradnl"/>
        </w:rPr>
        <w:t xml:space="preserve"> ni </w:t>
      </w:r>
      <w:r w:rsidR="00D92C18">
        <w:rPr>
          <w:lang w:val="es-ES_tradnl"/>
        </w:rPr>
        <w:t>"</w:t>
      </w:r>
      <w:r w:rsidRPr="00D92C18">
        <w:rPr>
          <w:lang w:val="es-ES_tradnl"/>
        </w:rPr>
        <w:t>IPB</w:t>
      </w:r>
      <w:r w:rsidR="00D92C18">
        <w:rPr>
          <w:lang w:val="es-ES_tradnl"/>
        </w:rPr>
        <w:t>"</w:t>
      </w:r>
      <w:r w:rsidRPr="00D92C18">
        <w:rPr>
          <w:lang w:val="es-ES_tradnl"/>
        </w:rPr>
        <w:t xml:space="preserve"> en todo el informe. El término </w:t>
      </w:r>
      <w:r w:rsidR="00D92C18">
        <w:rPr>
          <w:lang w:val="es-ES_tradnl"/>
        </w:rPr>
        <w:t>"</w:t>
      </w:r>
      <w:r w:rsidRPr="00D92C18">
        <w:rPr>
          <w:lang w:val="es-ES_tradnl"/>
        </w:rPr>
        <w:t>asequibilidad</w:t>
      </w:r>
      <w:r w:rsidR="00D92C18">
        <w:rPr>
          <w:lang w:val="es-ES_tradnl"/>
        </w:rPr>
        <w:t>"</w:t>
      </w:r>
      <w:r w:rsidRPr="00D92C18">
        <w:rPr>
          <w:lang w:val="es-ES_tradnl"/>
        </w:rPr>
        <w:t xml:space="preserve"> se menciona una vez, en referencia a los objetivos de Conectar 2020, ya que en </w:t>
      </w:r>
      <w:r w:rsidR="009E2CC4">
        <w:rPr>
          <w:lang w:val="es-ES_tradnl"/>
        </w:rPr>
        <w:t>el</w:t>
      </w:r>
      <w:r w:rsidRPr="00D92C18">
        <w:rPr>
          <w:lang w:val="es-ES_tradnl"/>
        </w:rPr>
        <w:t xml:space="preserve"> marco</w:t>
      </w:r>
      <w:r w:rsidR="009E2CC4">
        <w:rPr>
          <w:lang w:val="es-ES_tradnl"/>
        </w:rPr>
        <w:t xml:space="preserve"> de esa Agenda es </w:t>
      </w:r>
      <w:r w:rsidRPr="00D92C18">
        <w:rPr>
          <w:lang w:val="es-ES_tradnl"/>
        </w:rPr>
        <w:t xml:space="preserve">una prioridad mundial en el aumento de la integración de las TIC antes de 2020. </w:t>
      </w:r>
    </w:p>
    <w:p w:rsidR="0090505C" w:rsidRPr="00D92C18" w:rsidRDefault="0090505C" w:rsidP="004F7730">
      <w:pPr>
        <w:rPr>
          <w:lang w:val="es-ES_tradnl"/>
        </w:rPr>
      </w:pPr>
      <w:r w:rsidRPr="00D92C18">
        <w:rPr>
          <w:lang w:val="es-ES_tradnl"/>
        </w:rPr>
        <w:t xml:space="preserve">En comparación, en la edición de 2016 de la MIS figura un capítulo 4 sobre </w:t>
      </w:r>
      <w:r w:rsidR="00D92C18">
        <w:rPr>
          <w:lang w:val="es-ES_tradnl"/>
        </w:rPr>
        <w:t>"</w:t>
      </w:r>
      <w:r w:rsidRPr="00D92C18">
        <w:rPr>
          <w:lang w:val="es-ES_tradnl"/>
        </w:rPr>
        <w:t>Los precios de las TIC</w:t>
      </w:r>
      <w:r w:rsidR="00D92C18">
        <w:rPr>
          <w:lang w:val="es-ES_tradnl"/>
        </w:rPr>
        <w:t>"</w:t>
      </w:r>
      <w:r w:rsidRPr="00D92C18">
        <w:rPr>
          <w:lang w:val="es-ES_tradnl"/>
        </w:rPr>
        <w:t xml:space="preserve"> y un anexo 2 sobre </w:t>
      </w:r>
      <w:r w:rsidR="00D92C18">
        <w:rPr>
          <w:lang w:val="es-ES_tradnl"/>
        </w:rPr>
        <w:t>"</w:t>
      </w:r>
      <w:r w:rsidRPr="00D92C18">
        <w:rPr>
          <w:lang w:val="es-ES_tradnl"/>
        </w:rPr>
        <w:t>La metodología</w:t>
      </w:r>
      <w:r w:rsidR="00D92C18">
        <w:rPr>
          <w:lang w:val="es-ES_tradnl"/>
        </w:rPr>
        <w:t xml:space="preserve"> </w:t>
      </w:r>
      <w:r w:rsidRPr="00D92C18">
        <w:rPr>
          <w:lang w:val="es-ES_tradnl"/>
        </w:rPr>
        <w:t>de obtención de los datos de los precios de las TIC</w:t>
      </w:r>
      <w:r w:rsidR="00D92C18">
        <w:rPr>
          <w:lang w:val="es-ES_tradnl"/>
        </w:rPr>
        <w:t>"</w:t>
      </w:r>
      <w:r w:rsidRPr="00D92C18">
        <w:rPr>
          <w:lang w:val="es-ES_tradnl"/>
        </w:rPr>
        <w:t xml:space="preserve">, con 56 y 8 páginas respectivamente; es decir, 64 páginas de un total de 274. Se menciona decenas de veces el término </w:t>
      </w:r>
      <w:r w:rsidR="00D92C18">
        <w:rPr>
          <w:lang w:val="es-ES_tradnl"/>
        </w:rPr>
        <w:t>"</w:t>
      </w:r>
      <w:r w:rsidRPr="00D92C18">
        <w:rPr>
          <w:lang w:val="es-ES_tradnl"/>
        </w:rPr>
        <w:t>asequibilidad</w:t>
      </w:r>
      <w:r w:rsidR="00D92C18">
        <w:rPr>
          <w:lang w:val="es-ES_tradnl"/>
        </w:rPr>
        <w:t>"</w:t>
      </w:r>
      <w:r w:rsidRPr="00D92C18">
        <w:rPr>
          <w:lang w:val="es-ES_tradnl"/>
        </w:rPr>
        <w:t>; de hecho, las siguientes frases reflejan su importancia en la MIS de</w:t>
      </w:r>
      <w:r w:rsidR="00D92C18">
        <w:rPr>
          <w:lang w:val="es-ES_tradnl"/>
        </w:rPr>
        <w:t> </w:t>
      </w:r>
      <w:r w:rsidRPr="00D92C18">
        <w:rPr>
          <w:lang w:val="es-ES_tradnl"/>
        </w:rPr>
        <w:t>2016:</w:t>
      </w:r>
    </w:p>
    <w:p w:rsidR="0090505C" w:rsidRPr="00D92C18" w:rsidRDefault="004F7730" w:rsidP="004F7730">
      <w:pPr>
        <w:pStyle w:val="enumlev1"/>
        <w:rPr>
          <w:lang w:val="es-ES_tradnl"/>
        </w:rPr>
      </w:pPr>
      <w:r w:rsidRPr="00D92C18">
        <w:rPr>
          <w:lang w:val="es-ES_tradnl"/>
        </w:rPr>
        <w:t>•</w:t>
      </w:r>
      <w:r w:rsidRPr="00D92C18">
        <w:rPr>
          <w:lang w:val="es-ES_tradnl"/>
        </w:rPr>
        <w:tab/>
      </w:r>
      <w:r w:rsidR="00D92C18">
        <w:rPr>
          <w:lang w:val="es-ES_tradnl"/>
        </w:rPr>
        <w:t>"</w:t>
      </w:r>
      <w:r w:rsidR="0090505C" w:rsidRPr="00D92C18">
        <w:rPr>
          <w:i/>
          <w:iCs/>
          <w:lang w:val="es-ES_tradnl"/>
        </w:rPr>
        <w:t xml:space="preserve">La </w:t>
      </w:r>
      <w:r w:rsidR="0090505C" w:rsidRPr="00D92C18">
        <w:rPr>
          <w:b/>
          <w:i/>
          <w:iCs/>
          <w:lang w:val="es-ES_tradnl"/>
        </w:rPr>
        <w:t>asequibilidad</w:t>
      </w:r>
      <w:r w:rsidR="0090505C" w:rsidRPr="00D92C18">
        <w:rPr>
          <w:i/>
          <w:iCs/>
          <w:lang w:val="es-ES_tradnl"/>
        </w:rPr>
        <w:t xml:space="preserve"> es uno de los factores clave que continúan determinando el que las personas utilicen o no las TIC</w:t>
      </w:r>
      <w:r w:rsidR="00D92C18">
        <w:rPr>
          <w:lang w:val="es-ES_tradnl"/>
        </w:rPr>
        <w:t>"</w:t>
      </w:r>
      <w:r w:rsidR="0090505C" w:rsidRPr="00D92C18">
        <w:rPr>
          <w:lang w:val="es-ES_tradnl"/>
        </w:rPr>
        <w:t xml:space="preserve"> (101);</w:t>
      </w:r>
    </w:p>
    <w:p w:rsidR="0090505C" w:rsidRPr="00D92C18" w:rsidRDefault="004F7730" w:rsidP="004F7730">
      <w:pPr>
        <w:pStyle w:val="enumlev1"/>
        <w:rPr>
          <w:lang w:val="es-ES_tradnl"/>
        </w:rPr>
      </w:pPr>
      <w:r w:rsidRPr="00D92C18">
        <w:rPr>
          <w:lang w:val="es-ES_tradnl"/>
        </w:rPr>
        <w:t>•</w:t>
      </w:r>
      <w:r w:rsidRPr="00D92C18">
        <w:rPr>
          <w:lang w:val="es-ES_tradnl"/>
        </w:rPr>
        <w:tab/>
      </w:r>
      <w:r w:rsidR="00D92C18">
        <w:rPr>
          <w:lang w:val="es-ES_tradnl"/>
        </w:rPr>
        <w:t>"</w:t>
      </w:r>
      <w:r w:rsidR="0090505C" w:rsidRPr="00D92C18">
        <w:rPr>
          <w:i/>
          <w:iCs/>
          <w:lang w:val="es-ES_tradnl"/>
        </w:rPr>
        <w:t xml:space="preserve">El que la banda ancha fija sea </w:t>
      </w:r>
      <w:r w:rsidR="0090505C" w:rsidRPr="00D92C18">
        <w:rPr>
          <w:b/>
          <w:i/>
          <w:iCs/>
          <w:lang w:val="es-ES_tradnl"/>
        </w:rPr>
        <w:t>prohibitiva</w:t>
      </w:r>
      <w:r w:rsidR="0090505C" w:rsidRPr="00D92C18">
        <w:rPr>
          <w:i/>
          <w:iCs/>
          <w:lang w:val="es-ES_tradnl"/>
        </w:rPr>
        <w:t xml:space="preserve"> en África se vincula con los bajos niveles de penetración de la banda ancha fija, característicos de esta Región</w:t>
      </w:r>
      <w:r w:rsidR="00D92C18">
        <w:rPr>
          <w:lang w:val="es-ES_tradnl"/>
        </w:rPr>
        <w:t>"</w:t>
      </w:r>
      <w:r w:rsidR="0090505C" w:rsidRPr="00D92C18">
        <w:rPr>
          <w:lang w:val="es-ES_tradnl"/>
        </w:rPr>
        <w:t xml:space="preserve"> (122);</w:t>
      </w:r>
    </w:p>
    <w:p w:rsidR="0090505C" w:rsidRPr="00D92C18" w:rsidRDefault="004F7730" w:rsidP="004F7730">
      <w:pPr>
        <w:pStyle w:val="enumlev1"/>
        <w:rPr>
          <w:lang w:val="es-ES_tradnl"/>
        </w:rPr>
      </w:pPr>
      <w:r w:rsidRPr="00D92C18">
        <w:rPr>
          <w:lang w:val="es-ES_tradnl"/>
        </w:rPr>
        <w:t>•</w:t>
      </w:r>
      <w:r w:rsidRPr="00D92C18">
        <w:rPr>
          <w:lang w:val="es-ES_tradnl"/>
        </w:rPr>
        <w:tab/>
      </w:r>
      <w:r w:rsidR="00D92C18">
        <w:rPr>
          <w:lang w:val="es-ES_tradnl"/>
        </w:rPr>
        <w:t>"</w:t>
      </w:r>
      <w:r w:rsidR="0090505C" w:rsidRPr="00D92C18">
        <w:rPr>
          <w:i/>
          <w:iCs/>
          <w:lang w:val="es-ES_tradnl"/>
        </w:rPr>
        <w:t xml:space="preserve">La </w:t>
      </w:r>
      <w:r w:rsidR="0090505C" w:rsidRPr="00D92C18">
        <w:rPr>
          <w:b/>
          <w:i/>
          <w:iCs/>
          <w:lang w:val="es-ES_tradnl"/>
        </w:rPr>
        <w:t>falta de asequibilidad</w:t>
      </w:r>
      <w:r w:rsidR="0090505C" w:rsidRPr="00D92C18">
        <w:rPr>
          <w:i/>
          <w:iCs/>
          <w:lang w:val="es-ES_tradnl"/>
        </w:rPr>
        <w:t xml:space="preserve"> es el principal obstáculo para la posesión de un teléfono móvil</w:t>
      </w:r>
      <w:r w:rsidR="00D92C18">
        <w:rPr>
          <w:lang w:val="es-ES_tradnl"/>
        </w:rPr>
        <w:t>"</w:t>
      </w:r>
      <w:r w:rsidR="0090505C" w:rsidRPr="00D92C18">
        <w:rPr>
          <w:lang w:val="es-ES_tradnl"/>
        </w:rPr>
        <w:t xml:space="preserve"> (155);</w:t>
      </w:r>
    </w:p>
    <w:p w:rsidR="0090505C" w:rsidRPr="00D92C18" w:rsidRDefault="004F7730" w:rsidP="004F7730">
      <w:pPr>
        <w:pStyle w:val="enumlev1"/>
        <w:rPr>
          <w:lang w:val="es-ES_tradnl"/>
        </w:rPr>
      </w:pPr>
      <w:r w:rsidRPr="00D92C18">
        <w:rPr>
          <w:lang w:val="es-ES_tradnl"/>
        </w:rPr>
        <w:t>•</w:t>
      </w:r>
      <w:r w:rsidRPr="00D92C18">
        <w:rPr>
          <w:lang w:val="es-ES_tradnl"/>
        </w:rPr>
        <w:tab/>
      </w:r>
      <w:r w:rsidR="00D92C18">
        <w:rPr>
          <w:lang w:val="es-ES_tradnl"/>
        </w:rPr>
        <w:t>"</w:t>
      </w:r>
      <w:r w:rsidR="0090505C" w:rsidRPr="00D92C18">
        <w:rPr>
          <w:i/>
          <w:iCs/>
          <w:lang w:val="es-ES_tradnl"/>
        </w:rPr>
        <w:t xml:space="preserve">Sin embargo, para la adopción de la Internet móvil, la </w:t>
      </w:r>
      <w:r w:rsidR="0090505C" w:rsidRPr="00D92C18">
        <w:rPr>
          <w:b/>
          <w:i/>
          <w:iCs/>
          <w:lang w:val="es-ES_tradnl"/>
        </w:rPr>
        <w:t>asequibilidad</w:t>
      </w:r>
      <w:r w:rsidR="0090505C" w:rsidRPr="00D92C18">
        <w:rPr>
          <w:i/>
          <w:iCs/>
          <w:lang w:val="es-ES_tradnl"/>
        </w:rPr>
        <w:t xml:space="preserve"> es tan importante como la aptitud para las TIC y su carencia supone un obstáculo de menor entidad que la falta de contenidos locales pertinentes (GSMA, 2016a, 2016b)</w:t>
      </w:r>
      <w:r w:rsidR="00D92C18">
        <w:rPr>
          <w:lang w:val="es-ES_tradnl"/>
        </w:rPr>
        <w:t>"</w:t>
      </w:r>
      <w:r w:rsidR="0090505C" w:rsidRPr="00D92C18">
        <w:rPr>
          <w:lang w:val="es-ES_tradnl"/>
        </w:rPr>
        <w:t xml:space="preserve"> (172).</w:t>
      </w:r>
    </w:p>
    <w:p w:rsidR="0090505C" w:rsidRPr="00D92C18" w:rsidRDefault="0090505C" w:rsidP="004F7730">
      <w:pPr>
        <w:rPr>
          <w:lang w:val="es-ES_tradnl"/>
        </w:rPr>
      </w:pPr>
      <w:r w:rsidRPr="00D92C18">
        <w:rPr>
          <w:lang w:val="es-ES_tradnl"/>
        </w:rPr>
        <w:t xml:space="preserve">La asequibilidad es claramente uno de los obstáculos, si no el más importante, al acceso a las TIC y </w:t>
      </w:r>
      <w:r w:rsidR="009E2CC4">
        <w:rPr>
          <w:lang w:val="es-ES_tradnl"/>
        </w:rPr>
        <w:t xml:space="preserve">a </w:t>
      </w:r>
      <w:r w:rsidRPr="00D92C18">
        <w:rPr>
          <w:lang w:val="es-ES_tradnl"/>
        </w:rPr>
        <w:t xml:space="preserve">la integración digital. La asequibilidad afecta directa y básicamente a dos de las tres dimensiones del IDT: el acceso y la utilización. Cuanto más baratas sean las TIC, más gente accederá a ellas y las utilizará. La asequibilidad también afecta directamente a la dimensión de la alfabetización ya que con las TIC se mejora el acceso a </w:t>
      </w:r>
      <w:r w:rsidR="003740A0" w:rsidRPr="00D92C18">
        <w:rPr>
          <w:lang w:val="es-ES_tradnl"/>
        </w:rPr>
        <w:t>la educación y al conocimiento.</w:t>
      </w:r>
    </w:p>
    <w:p w:rsidR="0090505C" w:rsidRPr="00D92C18" w:rsidRDefault="0090505C" w:rsidP="004F7730">
      <w:pPr>
        <w:rPr>
          <w:lang w:val="es-ES_tradnl"/>
        </w:rPr>
      </w:pPr>
      <w:r w:rsidRPr="00D92C18">
        <w:rPr>
          <w:lang w:val="es-ES_tradnl"/>
        </w:rPr>
        <w:t>La asequibilidad es la prioridad número uno en cuanto a la elaboración de políticas y mejora de ingresos en general porque a medida que las TIC se convierten, cada vez más, en un bien básico esencial, la gente tiene que atribuir parte de sus ingresos a dispositivos, servicios y aplicaciones TIC. En la UIT la asequibilidad es fundamental para alcanzar la meta estratégica 2 (Integración) y se monitoriza estadísticamente como una de las 17 metas estratégicas de la Unión. De hecho, la asequibilidad es tan importante que es parte de la misión actual (</w:t>
      </w:r>
      <w:r w:rsidR="003740A0" w:rsidRPr="00D92C18">
        <w:rPr>
          <w:lang w:val="es-ES_tradnl"/>
        </w:rPr>
        <w:t>y futura) de la UIT (Resolución </w:t>
      </w:r>
      <w:r w:rsidRPr="00D92C18">
        <w:rPr>
          <w:lang w:val="es-ES_tradnl"/>
        </w:rPr>
        <w:t>71):</w:t>
      </w:r>
    </w:p>
    <w:p w:rsidR="0090505C" w:rsidRPr="00D92C18" w:rsidRDefault="00D92C18" w:rsidP="004F7730">
      <w:pPr>
        <w:jc w:val="center"/>
        <w:rPr>
          <w:i/>
          <w:iCs/>
          <w:lang w:val="es-ES_tradnl"/>
        </w:rPr>
      </w:pPr>
      <w:r>
        <w:rPr>
          <w:i/>
          <w:iCs/>
          <w:lang w:val="es-ES_tradnl"/>
        </w:rPr>
        <w:t>"</w:t>
      </w:r>
      <w:r w:rsidR="0090505C" w:rsidRPr="00D92C18">
        <w:rPr>
          <w:i/>
          <w:iCs/>
          <w:lang w:val="es-ES_tradnl"/>
        </w:rPr>
        <w:t xml:space="preserve">Promover, facilitar y fomentar el acceso </w:t>
      </w:r>
      <w:r w:rsidR="0090505C" w:rsidRPr="00D92C18">
        <w:rPr>
          <w:b/>
          <w:i/>
          <w:iCs/>
          <w:lang w:val="es-ES_tradnl"/>
        </w:rPr>
        <w:t>asequible</w:t>
      </w:r>
      <w:r w:rsidR="0090505C" w:rsidRPr="00D92C18">
        <w:rPr>
          <w:i/>
          <w:iCs/>
          <w:lang w:val="es-ES_tradnl"/>
        </w:rPr>
        <w:t xml:space="preserve"> y universal a las redes, servicios y aplicaciones de telecomunicaciones/tecnologías de la información y la comunicación, así como su utilización para el crecimiento y el desarrollo socioeconómicos ecológicamente sostenibles</w:t>
      </w:r>
      <w:r>
        <w:rPr>
          <w:i/>
          <w:iCs/>
          <w:lang w:val="es-ES_tradnl"/>
        </w:rPr>
        <w:t>"</w:t>
      </w:r>
      <w:r w:rsidR="0090505C" w:rsidRPr="00D92C18">
        <w:rPr>
          <w:i/>
          <w:iCs/>
          <w:lang w:val="es-ES_tradnl"/>
        </w:rPr>
        <w:t>.</w:t>
      </w:r>
    </w:p>
    <w:p w:rsidR="0090505C" w:rsidRPr="00D92C18" w:rsidRDefault="0090505C" w:rsidP="0090505C">
      <w:pPr>
        <w:rPr>
          <w:lang w:val="es-ES_tradnl"/>
        </w:rPr>
      </w:pPr>
      <w:r w:rsidRPr="00D92C18">
        <w:rPr>
          <w:lang w:val="es-ES_tradnl"/>
        </w:rPr>
        <w:t>¿Por qué se han producido cambios tan drásticos de la MIS de 2016 a la MIS de 2017? Es algo que debe aclararse. Esos cambios perjudican a la UIT. En el mejor de los casos, la UIT deja de ser la referencia mundial de estadísticas sobre precio y asequibilidad de las TIC. Hay además otros problemas para la Unión:</w:t>
      </w:r>
    </w:p>
    <w:p w:rsidR="0090505C" w:rsidRPr="00D92C18" w:rsidRDefault="004F7730" w:rsidP="003740A0">
      <w:pPr>
        <w:pStyle w:val="enumlev1"/>
        <w:rPr>
          <w:lang w:val="es-ES_tradnl"/>
        </w:rPr>
      </w:pPr>
      <w:r w:rsidRPr="00D92C18">
        <w:rPr>
          <w:lang w:val="es-ES_tradnl"/>
        </w:rPr>
        <w:t>•</w:t>
      </w:r>
      <w:r w:rsidRPr="00D92C18">
        <w:rPr>
          <w:lang w:val="es-ES_tradnl"/>
        </w:rPr>
        <w:tab/>
      </w:r>
      <w:r w:rsidR="0090505C" w:rsidRPr="00D92C18">
        <w:rPr>
          <w:lang w:val="es-ES_tradnl"/>
        </w:rPr>
        <w:t>Pérdida de confianza en la UIT como organismo eficaz de las Naciones Unidas para las TIC</w:t>
      </w:r>
      <w:r w:rsidR="003740A0" w:rsidRPr="00D92C18">
        <w:rPr>
          <w:lang w:val="es-ES_tradnl"/>
        </w:rPr>
        <w:t>.</w:t>
      </w:r>
    </w:p>
    <w:p w:rsidR="0090505C" w:rsidRPr="00D92C18" w:rsidRDefault="004F7730" w:rsidP="003740A0">
      <w:pPr>
        <w:pStyle w:val="enumlev1"/>
        <w:rPr>
          <w:lang w:val="es-ES_tradnl"/>
        </w:rPr>
      </w:pPr>
      <w:r w:rsidRPr="00D92C18">
        <w:rPr>
          <w:lang w:val="es-ES_tradnl"/>
        </w:rPr>
        <w:t>•</w:t>
      </w:r>
      <w:r w:rsidRPr="00D92C18">
        <w:rPr>
          <w:lang w:val="es-ES_tradnl"/>
        </w:rPr>
        <w:tab/>
      </w:r>
      <w:r w:rsidR="0090505C" w:rsidRPr="00D92C18">
        <w:rPr>
          <w:lang w:val="es-ES_tradnl"/>
        </w:rPr>
        <w:t>Pérdida de reputación de la UIT en general, pero en particular como fuente de información, estadísticas, estudios y elaboración de políticas</w:t>
      </w:r>
      <w:r w:rsidR="003740A0" w:rsidRPr="00D92C18">
        <w:rPr>
          <w:lang w:val="es-ES_tradnl"/>
        </w:rPr>
        <w:t>.</w:t>
      </w:r>
    </w:p>
    <w:p w:rsidR="0090505C" w:rsidRPr="00D92C18" w:rsidRDefault="004F7730" w:rsidP="003740A0">
      <w:pPr>
        <w:pStyle w:val="enumlev1"/>
        <w:rPr>
          <w:lang w:val="es-ES_tradnl"/>
        </w:rPr>
      </w:pPr>
      <w:r w:rsidRPr="00D92C18">
        <w:rPr>
          <w:lang w:val="es-ES_tradnl"/>
        </w:rPr>
        <w:lastRenderedPageBreak/>
        <w:t>•</w:t>
      </w:r>
      <w:r w:rsidRPr="00D92C18">
        <w:rPr>
          <w:lang w:val="es-ES_tradnl"/>
        </w:rPr>
        <w:tab/>
      </w:r>
      <w:r w:rsidR="0090505C" w:rsidRPr="00D92C18">
        <w:rPr>
          <w:lang w:val="es-ES_tradnl"/>
        </w:rPr>
        <w:t>Interrupción en la serie histórica de datos y pérdida de habilidad para examinar el avance de las TIC en el tiempo</w:t>
      </w:r>
      <w:r w:rsidR="003740A0" w:rsidRPr="00D92C18">
        <w:rPr>
          <w:lang w:val="es-ES_tradnl"/>
        </w:rPr>
        <w:t>.</w:t>
      </w:r>
    </w:p>
    <w:p w:rsidR="0090505C" w:rsidRPr="00D92C18" w:rsidRDefault="004F7730" w:rsidP="004F7730">
      <w:pPr>
        <w:pStyle w:val="enumlev1"/>
        <w:rPr>
          <w:lang w:val="es-ES_tradnl"/>
        </w:rPr>
      </w:pPr>
      <w:r w:rsidRPr="00D92C18">
        <w:rPr>
          <w:lang w:val="es-ES_tradnl"/>
        </w:rPr>
        <w:t>•</w:t>
      </w:r>
      <w:r w:rsidRPr="00D92C18">
        <w:rPr>
          <w:lang w:val="es-ES_tradnl"/>
        </w:rPr>
        <w:tab/>
      </w:r>
      <w:r w:rsidR="0090505C" w:rsidRPr="00D92C18">
        <w:rPr>
          <w:lang w:val="es-ES_tradnl"/>
        </w:rPr>
        <w:t>Pérdida de importancia y relevancia de la MIS y la UIT en general.</w:t>
      </w:r>
    </w:p>
    <w:p w:rsidR="0090505C" w:rsidRPr="00D92C18" w:rsidRDefault="0090505C" w:rsidP="004F7730">
      <w:pPr>
        <w:rPr>
          <w:lang w:val="es-ES_tradnl"/>
        </w:rPr>
      </w:pPr>
      <w:r w:rsidRPr="00D92C18">
        <w:rPr>
          <w:lang w:val="es-ES_tradnl"/>
        </w:rPr>
        <w:t>Para la inmensa mayoría de partes interesadas en telecomunicaciones/TIC del mundo (es decir, instituciones académicas, encargados de toma de decisiones empresariales, legisladores, órganos de reglamentación, etc.), las estadísticas de las TIC y, en particular, la MIS son los productos más importantes de la UIT. Proteger su integridad, consistencia y relevancia debería ser una de las prioridades estratégicas principales de la UIT.</w:t>
      </w:r>
    </w:p>
    <w:p w:rsidR="0090505C" w:rsidRPr="00D92C18" w:rsidRDefault="0090505C" w:rsidP="004F7730">
      <w:pPr>
        <w:rPr>
          <w:lang w:val="es-ES_tradnl"/>
        </w:rPr>
      </w:pPr>
      <w:r w:rsidRPr="00D92C18">
        <w:rPr>
          <w:lang w:val="es-ES_tradnl"/>
        </w:rPr>
        <w:t xml:space="preserve">Para mejorar las estadísticas de las TIC más allá de la MIS es necesario revisar el enfoque institucional de la UIT sobre las estadísticas, incluidas todas las herramientas, publicaciones y sitios web al respecto. Por ejemplo, la herramienta de visualización de datos IDT </w:t>
      </w:r>
      <w:r w:rsidR="00D92C18">
        <w:rPr>
          <w:lang w:val="es-ES_tradnl"/>
        </w:rPr>
        <w:t>sólo</w:t>
      </w:r>
      <w:r w:rsidRPr="00D92C18">
        <w:rPr>
          <w:lang w:val="es-ES_tradnl"/>
        </w:rPr>
        <w:t xml:space="preserve"> permite la visualización y comparación entre la MIS de 2016 y la MIS de 2017; no presenta datos IPB ni permite consultar datos anteriores a 2016. El sitio web sobre la metodología IPB tampoco está disponible, ni siquiera en las páginas web de MIS 2009-2016.</w:t>
      </w:r>
    </w:p>
    <w:p w:rsidR="0090505C" w:rsidRPr="00D92C18" w:rsidRDefault="0090505C" w:rsidP="004F7730">
      <w:pPr>
        <w:pStyle w:val="Headingb"/>
        <w:rPr>
          <w:lang w:val="es-ES_tradnl"/>
        </w:rPr>
      </w:pPr>
      <w:r w:rsidRPr="00D92C18">
        <w:rPr>
          <w:lang w:val="es-ES_tradnl"/>
        </w:rPr>
        <w:t>Propuesta</w:t>
      </w:r>
    </w:p>
    <w:p w:rsidR="0090505C" w:rsidRPr="00D92C18" w:rsidRDefault="0090505C" w:rsidP="004F7730">
      <w:pPr>
        <w:rPr>
          <w:lang w:val="es-ES_tradnl"/>
        </w:rPr>
      </w:pPr>
      <w:r w:rsidRPr="00D92C18">
        <w:rPr>
          <w:lang w:val="es-ES_tradnl"/>
        </w:rPr>
        <w:t xml:space="preserve">Es una prioridad estratégica de la UIT invertir en la mejora de sus capacidades en estadísticas de las TIC en el próximo ciclo. La UIT debería tomar como ejemplo otras organizaciones reconocidas por su excelencia, consistencia, fiabilidad y eficiencia en la presentación de datos, estadísticas, informes y herramientas estadísticas dinámicas, como el Banco Mundial, el FMI, la OMC, etc. </w:t>
      </w:r>
    </w:p>
    <w:p w:rsidR="0090505C" w:rsidRPr="00D92C18" w:rsidRDefault="0090505C" w:rsidP="004F7730">
      <w:pPr>
        <w:rPr>
          <w:lang w:val="es-ES_tradnl"/>
        </w:rPr>
      </w:pPr>
      <w:r w:rsidRPr="00D92C18">
        <w:rPr>
          <w:lang w:val="es-ES_tradnl"/>
        </w:rPr>
        <w:t>De ese modo, la UIT reforzaría su posición como referente en estadísticas mundiales de las TIC, en particular en estudios, datos e información sobre la asequibilidad y los precios de esas tecnologías. Los estudios de IPB y asequibilidad son un contenido fundamental en la MIS y deberían tratarse siempre como tal.</w:t>
      </w:r>
    </w:p>
    <w:p w:rsidR="0090505C" w:rsidRPr="00D92C18" w:rsidRDefault="0090505C" w:rsidP="004F7730">
      <w:pPr>
        <w:rPr>
          <w:lang w:val="es-ES_tradnl"/>
        </w:rPr>
      </w:pPr>
      <w:r w:rsidRPr="00D92C18">
        <w:rPr>
          <w:lang w:val="es-ES_tradnl"/>
        </w:rPr>
        <w:t>La UIT debería, lo antes posible:</w:t>
      </w:r>
    </w:p>
    <w:p w:rsidR="0090505C" w:rsidRPr="00D92C18" w:rsidRDefault="004F7730" w:rsidP="003740A0">
      <w:pPr>
        <w:pStyle w:val="enumlev1"/>
        <w:rPr>
          <w:lang w:val="es-ES_tradnl"/>
        </w:rPr>
      </w:pPr>
      <w:r w:rsidRPr="00D92C18">
        <w:rPr>
          <w:lang w:val="es-ES_tradnl"/>
        </w:rPr>
        <w:t>•</w:t>
      </w:r>
      <w:r w:rsidRPr="00D92C18">
        <w:rPr>
          <w:lang w:val="es-ES_tradnl"/>
        </w:rPr>
        <w:tab/>
      </w:r>
      <w:r w:rsidR="003740A0" w:rsidRPr="00D92C18">
        <w:rPr>
          <w:lang w:val="es-ES_tradnl"/>
        </w:rPr>
        <w:t>p</w:t>
      </w:r>
      <w:r w:rsidR="0090505C" w:rsidRPr="00D92C18">
        <w:rPr>
          <w:lang w:val="es-ES_tradnl"/>
        </w:rPr>
        <w:t>ublicar todos los datos, clasificaciones, referencias y estudios sobre IPB y asequibilidad para MIS 2017 como se hizo para MIS 2016;</w:t>
      </w:r>
    </w:p>
    <w:p w:rsidR="0090505C" w:rsidRPr="00D92C18" w:rsidRDefault="004F7730" w:rsidP="003740A0">
      <w:pPr>
        <w:pStyle w:val="enumlev1"/>
        <w:rPr>
          <w:lang w:val="es-ES_tradnl"/>
        </w:rPr>
      </w:pPr>
      <w:r w:rsidRPr="00D92C18">
        <w:rPr>
          <w:lang w:val="es-ES_tradnl"/>
        </w:rPr>
        <w:t>•</w:t>
      </w:r>
      <w:r w:rsidRPr="00D92C18">
        <w:rPr>
          <w:lang w:val="es-ES_tradnl"/>
        </w:rPr>
        <w:tab/>
      </w:r>
      <w:r w:rsidR="003740A0" w:rsidRPr="00D92C18">
        <w:rPr>
          <w:lang w:val="es-ES_tradnl"/>
        </w:rPr>
        <w:t>p</w:t>
      </w:r>
      <w:r w:rsidR="0090505C" w:rsidRPr="00D92C18">
        <w:rPr>
          <w:lang w:val="es-ES_tradnl"/>
        </w:rPr>
        <w:t>ublicar una página web en la que se explique la metodología IPB;</w:t>
      </w:r>
    </w:p>
    <w:p w:rsidR="0090505C" w:rsidRPr="00D92C18" w:rsidRDefault="004F7730" w:rsidP="003740A0">
      <w:pPr>
        <w:pStyle w:val="enumlev1"/>
        <w:rPr>
          <w:lang w:val="es-ES_tradnl"/>
        </w:rPr>
      </w:pPr>
      <w:r w:rsidRPr="00D92C18">
        <w:rPr>
          <w:lang w:val="es-ES_tradnl"/>
        </w:rPr>
        <w:t>•</w:t>
      </w:r>
      <w:r w:rsidRPr="00D92C18">
        <w:rPr>
          <w:lang w:val="es-ES_tradnl"/>
        </w:rPr>
        <w:tab/>
      </w:r>
      <w:r w:rsidR="003740A0" w:rsidRPr="00D92C18">
        <w:rPr>
          <w:lang w:val="es-ES_tradnl"/>
        </w:rPr>
        <w:t>m</w:t>
      </w:r>
      <w:r w:rsidR="0090505C" w:rsidRPr="00D92C18">
        <w:rPr>
          <w:lang w:val="es-ES_tradnl"/>
        </w:rPr>
        <w:t>ejorar la herramienta de visualización de datos, publicar todos los datos recopilados en cada MIS y permi</w:t>
      </w:r>
      <w:r w:rsidR="003740A0" w:rsidRPr="00D92C18">
        <w:rPr>
          <w:lang w:val="es-ES_tradnl"/>
        </w:rPr>
        <w:t>tir la comparación en el tiempo.</w:t>
      </w:r>
    </w:p>
    <w:p w:rsidR="0090505C" w:rsidRPr="00D92C18" w:rsidRDefault="0090505C" w:rsidP="004F7730">
      <w:pPr>
        <w:rPr>
          <w:lang w:val="es-ES_tradnl"/>
        </w:rPr>
      </w:pPr>
      <w:r w:rsidRPr="00D92C18">
        <w:rPr>
          <w:lang w:val="es-ES_tradnl"/>
        </w:rPr>
        <w:t>La Secretaría de la UIT debería examinar qué recursos humanos y financieros se necesitan para mejorar las capacidades de la Unión en la recopilación, producción y publicación de datos, información, estadísticas e informes significativos y debería asesorar a la PP-18 sobre las enmiendas necesarias al Plan Financiero de la UIT para 2020-2023.</w:t>
      </w:r>
    </w:p>
    <w:p w:rsidR="0090505C" w:rsidRPr="00D92C18" w:rsidRDefault="0090505C" w:rsidP="004F7730">
      <w:pPr>
        <w:rPr>
          <w:lang w:val="es-ES_tradnl"/>
        </w:rPr>
      </w:pPr>
      <w:r w:rsidRPr="00D92C18">
        <w:rPr>
          <w:lang w:val="es-ES_tradnl"/>
        </w:rPr>
        <w:t>Además, y en preparación de la PP-18, el Brasil estudiará la posibilidad de incorporar las ideas presentadas en el presente documento en las enmiendas a la Resolución 131 o en una nueva Resolución de la PP.</w:t>
      </w:r>
    </w:p>
    <w:p w:rsidR="004F7730" w:rsidRPr="00D92C18" w:rsidRDefault="004F7730" w:rsidP="0032202E">
      <w:pPr>
        <w:pStyle w:val="Reasons"/>
        <w:rPr>
          <w:lang w:val="es-ES_tradnl"/>
        </w:rPr>
      </w:pPr>
      <w:bookmarkStart w:id="10" w:name="_GoBack"/>
      <w:bookmarkEnd w:id="10"/>
    </w:p>
    <w:p w:rsidR="00C1290B" w:rsidRPr="00D92C18" w:rsidRDefault="004F7730" w:rsidP="004F7730">
      <w:pPr>
        <w:jc w:val="center"/>
        <w:rPr>
          <w:lang w:val="es-ES_tradnl"/>
        </w:rPr>
      </w:pPr>
      <w:r w:rsidRPr="00D92C18">
        <w:rPr>
          <w:lang w:val="es-ES_tradnl"/>
        </w:rPr>
        <w:t>______________</w:t>
      </w:r>
    </w:p>
    <w:sectPr w:rsidR="00C1290B" w:rsidRPr="00D92C18"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7E9" w:rsidRDefault="003037E9">
      <w:r>
        <w:separator/>
      </w:r>
    </w:p>
  </w:endnote>
  <w:endnote w:type="continuationSeparator" w:id="0">
    <w:p w:rsidR="003037E9" w:rsidRDefault="003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F7730" w:rsidRDefault="004F7730" w:rsidP="004F7730">
    <w:pPr>
      <w:pStyle w:val="Footer"/>
      <w:rPr>
        <w:lang w:val="fr-CH"/>
      </w:rPr>
    </w:pPr>
    <w:r>
      <w:fldChar w:fldCharType="begin"/>
    </w:r>
    <w:r w:rsidRPr="004F7730">
      <w:rPr>
        <w:lang w:val="fr-CH"/>
      </w:rPr>
      <w:instrText xml:space="preserve"> FILENAME \p  \* MERGEFORMAT </w:instrText>
    </w:r>
    <w:r>
      <w:fldChar w:fldCharType="separate"/>
    </w:r>
    <w:r w:rsidR="009E2CC4">
      <w:rPr>
        <w:lang w:val="fr-CH"/>
      </w:rPr>
      <w:t>P:\ESP\SG\CONSEIL\C18\000\096S.docx</w:t>
    </w:r>
    <w:r>
      <w:fldChar w:fldCharType="end"/>
    </w:r>
    <w:r>
      <w:rPr>
        <w:lang w:val="fr-CH"/>
      </w:rPr>
      <w:t xml:space="preserve"> (434511</w:t>
    </w:r>
    <w:r w:rsidRPr="004F7730">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A1" w:rsidRPr="004F7730" w:rsidRDefault="00760F1C" w:rsidP="004F773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7E9" w:rsidRDefault="003037E9">
      <w:r>
        <w:t>____________________</w:t>
      </w:r>
    </w:p>
  </w:footnote>
  <w:footnote w:type="continuationSeparator" w:id="0">
    <w:p w:rsidR="003037E9" w:rsidRDefault="003037E9">
      <w:r>
        <w:continuationSeparator/>
      </w:r>
    </w:p>
  </w:footnote>
  <w:footnote w:id="1">
    <w:p w:rsidR="0090505C" w:rsidRPr="00A65313" w:rsidRDefault="0090505C" w:rsidP="003740A0">
      <w:pPr>
        <w:pStyle w:val="FootnoteText"/>
      </w:pPr>
      <w:r>
        <w:rPr>
          <w:rStyle w:val="FootnoteReference"/>
        </w:rPr>
        <w:footnoteRef/>
      </w:r>
      <w:r>
        <w:t xml:space="preserve"> </w:t>
      </w:r>
      <w:r w:rsidR="00D92C18" w:rsidRPr="009E2CC4">
        <w:rPr>
          <w:i/>
        </w:rPr>
        <w:t>"</w:t>
      </w:r>
      <w:r>
        <w:rPr>
          <w:i/>
        </w:rPr>
        <w:t>Como organismo especializado de las Naciones Unidas para las TIC, la UIT es la fuente oficial de estadísticas de las TIC a nivel mundial</w:t>
      </w:r>
      <w:r w:rsidR="00D92C18" w:rsidRPr="009E2CC4">
        <w:rPr>
          <w:i/>
        </w:rPr>
        <w:t>"</w:t>
      </w:r>
      <w:r>
        <w:rPr>
          <w:i/>
        </w:rPr>
        <w:t>.</w:t>
      </w:r>
      <w:r>
        <w:t xml:space="preserve"> </w:t>
      </w:r>
      <w:hyperlink r:id="rId1" w:history="1">
        <w:r>
          <w:rPr>
            <w:rStyle w:val="Hyperlink"/>
          </w:rPr>
          <w:t>https://www.itu.int/en/ITU-D/Statistics/Pages/default.aspx</w:t>
        </w:r>
      </w:hyperlink>
      <w:r w:rsidR="003740A0">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E2CC4">
      <w:rPr>
        <w:noProof/>
      </w:rPr>
      <w:t>2</w:t>
    </w:r>
    <w:r>
      <w:rPr>
        <w:noProof/>
      </w:rPr>
      <w:fldChar w:fldCharType="end"/>
    </w:r>
  </w:p>
  <w:p w:rsidR="00760F1C" w:rsidRDefault="00760F1C" w:rsidP="00C1290B">
    <w:pPr>
      <w:pStyle w:val="Header"/>
    </w:pPr>
    <w:r>
      <w:t>C</w:t>
    </w:r>
    <w:r w:rsidR="007F350B">
      <w:t>1</w:t>
    </w:r>
    <w:r w:rsidR="009F4811">
      <w:t>8</w:t>
    </w:r>
    <w:r>
      <w:t>/</w:t>
    </w:r>
    <w:r w:rsidR="00C1290B">
      <w:t>96</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31D81"/>
    <w:multiLevelType w:val="hybridMultilevel"/>
    <w:tmpl w:val="088E7E5E"/>
    <w:lvl w:ilvl="0" w:tplc="990A9694">
      <w:start w:val="1"/>
      <w:numFmt w:val="bullet"/>
      <w:lvlText w:val=""/>
      <w:lvlJc w:val="left"/>
      <w:pPr>
        <w:ind w:left="720" w:hanging="360"/>
      </w:pPr>
      <w:rPr>
        <w:rFonts w:ascii="Symbol" w:hAnsi="Symbol" w:hint="default"/>
      </w:rPr>
    </w:lvl>
    <w:lvl w:ilvl="1" w:tplc="5902057C" w:tentative="1">
      <w:start w:val="1"/>
      <w:numFmt w:val="bullet"/>
      <w:lvlText w:val="o"/>
      <w:lvlJc w:val="left"/>
      <w:pPr>
        <w:ind w:left="1440" w:hanging="360"/>
      </w:pPr>
      <w:rPr>
        <w:rFonts w:ascii="Courier New" w:hAnsi="Courier New" w:cs="Courier New" w:hint="default"/>
      </w:rPr>
    </w:lvl>
    <w:lvl w:ilvl="2" w:tplc="E1BCA242" w:tentative="1">
      <w:start w:val="1"/>
      <w:numFmt w:val="bullet"/>
      <w:lvlText w:val=""/>
      <w:lvlJc w:val="left"/>
      <w:pPr>
        <w:ind w:left="2160" w:hanging="360"/>
      </w:pPr>
      <w:rPr>
        <w:rFonts w:ascii="Wingdings" w:hAnsi="Wingdings" w:hint="default"/>
      </w:rPr>
    </w:lvl>
    <w:lvl w:ilvl="3" w:tplc="2BFCF0C6" w:tentative="1">
      <w:start w:val="1"/>
      <w:numFmt w:val="bullet"/>
      <w:lvlText w:val=""/>
      <w:lvlJc w:val="left"/>
      <w:pPr>
        <w:ind w:left="2880" w:hanging="360"/>
      </w:pPr>
      <w:rPr>
        <w:rFonts w:ascii="Symbol" w:hAnsi="Symbol" w:hint="default"/>
      </w:rPr>
    </w:lvl>
    <w:lvl w:ilvl="4" w:tplc="6ADCEA82" w:tentative="1">
      <w:start w:val="1"/>
      <w:numFmt w:val="bullet"/>
      <w:lvlText w:val="o"/>
      <w:lvlJc w:val="left"/>
      <w:pPr>
        <w:ind w:left="3600" w:hanging="360"/>
      </w:pPr>
      <w:rPr>
        <w:rFonts w:ascii="Courier New" w:hAnsi="Courier New" w:cs="Courier New" w:hint="default"/>
      </w:rPr>
    </w:lvl>
    <w:lvl w:ilvl="5" w:tplc="11BE10E8" w:tentative="1">
      <w:start w:val="1"/>
      <w:numFmt w:val="bullet"/>
      <w:lvlText w:val=""/>
      <w:lvlJc w:val="left"/>
      <w:pPr>
        <w:ind w:left="4320" w:hanging="360"/>
      </w:pPr>
      <w:rPr>
        <w:rFonts w:ascii="Wingdings" w:hAnsi="Wingdings" w:hint="default"/>
      </w:rPr>
    </w:lvl>
    <w:lvl w:ilvl="6" w:tplc="E8E2D71E" w:tentative="1">
      <w:start w:val="1"/>
      <w:numFmt w:val="bullet"/>
      <w:lvlText w:val=""/>
      <w:lvlJc w:val="left"/>
      <w:pPr>
        <w:ind w:left="5040" w:hanging="360"/>
      </w:pPr>
      <w:rPr>
        <w:rFonts w:ascii="Symbol" w:hAnsi="Symbol" w:hint="default"/>
      </w:rPr>
    </w:lvl>
    <w:lvl w:ilvl="7" w:tplc="516C14E0" w:tentative="1">
      <w:start w:val="1"/>
      <w:numFmt w:val="bullet"/>
      <w:lvlText w:val="o"/>
      <w:lvlJc w:val="left"/>
      <w:pPr>
        <w:ind w:left="5760" w:hanging="360"/>
      </w:pPr>
      <w:rPr>
        <w:rFonts w:ascii="Courier New" w:hAnsi="Courier New" w:cs="Courier New" w:hint="default"/>
      </w:rPr>
    </w:lvl>
    <w:lvl w:ilvl="8" w:tplc="5A54BAFA" w:tentative="1">
      <w:start w:val="1"/>
      <w:numFmt w:val="bullet"/>
      <w:lvlText w:val=""/>
      <w:lvlJc w:val="left"/>
      <w:pPr>
        <w:ind w:left="6480" w:hanging="360"/>
      </w:pPr>
      <w:rPr>
        <w:rFonts w:ascii="Wingdings" w:hAnsi="Wingdings" w:hint="default"/>
      </w:rPr>
    </w:lvl>
  </w:abstractNum>
  <w:abstractNum w:abstractNumId="1" w15:restartNumberingAfterBreak="0">
    <w:nsid w:val="56430B85"/>
    <w:multiLevelType w:val="hybridMultilevel"/>
    <w:tmpl w:val="43D46A2C"/>
    <w:lvl w:ilvl="0" w:tplc="46C0A13C">
      <w:start w:val="1"/>
      <w:numFmt w:val="bullet"/>
      <w:lvlText w:val=""/>
      <w:lvlJc w:val="left"/>
      <w:pPr>
        <w:ind w:left="720" w:hanging="360"/>
      </w:pPr>
      <w:rPr>
        <w:rFonts w:ascii="Symbol" w:hAnsi="Symbol" w:hint="default"/>
      </w:rPr>
    </w:lvl>
    <w:lvl w:ilvl="1" w:tplc="00029630" w:tentative="1">
      <w:start w:val="1"/>
      <w:numFmt w:val="bullet"/>
      <w:lvlText w:val="o"/>
      <w:lvlJc w:val="left"/>
      <w:pPr>
        <w:ind w:left="1440" w:hanging="360"/>
      </w:pPr>
      <w:rPr>
        <w:rFonts w:ascii="Courier New" w:hAnsi="Courier New" w:cs="Courier New" w:hint="default"/>
      </w:rPr>
    </w:lvl>
    <w:lvl w:ilvl="2" w:tplc="4EEC34B2" w:tentative="1">
      <w:start w:val="1"/>
      <w:numFmt w:val="bullet"/>
      <w:lvlText w:val=""/>
      <w:lvlJc w:val="left"/>
      <w:pPr>
        <w:ind w:left="2160" w:hanging="360"/>
      </w:pPr>
      <w:rPr>
        <w:rFonts w:ascii="Wingdings" w:hAnsi="Wingdings" w:hint="default"/>
      </w:rPr>
    </w:lvl>
    <w:lvl w:ilvl="3" w:tplc="E5FE0154" w:tentative="1">
      <w:start w:val="1"/>
      <w:numFmt w:val="bullet"/>
      <w:lvlText w:val=""/>
      <w:lvlJc w:val="left"/>
      <w:pPr>
        <w:ind w:left="2880" w:hanging="360"/>
      </w:pPr>
      <w:rPr>
        <w:rFonts w:ascii="Symbol" w:hAnsi="Symbol" w:hint="default"/>
      </w:rPr>
    </w:lvl>
    <w:lvl w:ilvl="4" w:tplc="3970EDE0" w:tentative="1">
      <w:start w:val="1"/>
      <w:numFmt w:val="bullet"/>
      <w:lvlText w:val="o"/>
      <w:lvlJc w:val="left"/>
      <w:pPr>
        <w:ind w:left="3600" w:hanging="360"/>
      </w:pPr>
      <w:rPr>
        <w:rFonts w:ascii="Courier New" w:hAnsi="Courier New" w:cs="Courier New" w:hint="default"/>
      </w:rPr>
    </w:lvl>
    <w:lvl w:ilvl="5" w:tplc="39E688B4" w:tentative="1">
      <w:start w:val="1"/>
      <w:numFmt w:val="bullet"/>
      <w:lvlText w:val=""/>
      <w:lvlJc w:val="left"/>
      <w:pPr>
        <w:ind w:left="4320" w:hanging="360"/>
      </w:pPr>
      <w:rPr>
        <w:rFonts w:ascii="Wingdings" w:hAnsi="Wingdings" w:hint="default"/>
      </w:rPr>
    </w:lvl>
    <w:lvl w:ilvl="6" w:tplc="EA242F6E" w:tentative="1">
      <w:start w:val="1"/>
      <w:numFmt w:val="bullet"/>
      <w:lvlText w:val=""/>
      <w:lvlJc w:val="left"/>
      <w:pPr>
        <w:ind w:left="5040" w:hanging="360"/>
      </w:pPr>
      <w:rPr>
        <w:rFonts w:ascii="Symbol" w:hAnsi="Symbol" w:hint="default"/>
      </w:rPr>
    </w:lvl>
    <w:lvl w:ilvl="7" w:tplc="E33C3524" w:tentative="1">
      <w:start w:val="1"/>
      <w:numFmt w:val="bullet"/>
      <w:lvlText w:val="o"/>
      <w:lvlJc w:val="left"/>
      <w:pPr>
        <w:ind w:left="5760" w:hanging="360"/>
      </w:pPr>
      <w:rPr>
        <w:rFonts w:ascii="Courier New" w:hAnsi="Courier New" w:cs="Courier New" w:hint="default"/>
      </w:rPr>
    </w:lvl>
    <w:lvl w:ilvl="8" w:tplc="12941658" w:tentative="1">
      <w:start w:val="1"/>
      <w:numFmt w:val="bullet"/>
      <w:lvlText w:val=""/>
      <w:lvlJc w:val="left"/>
      <w:pPr>
        <w:ind w:left="6480" w:hanging="360"/>
      </w:pPr>
      <w:rPr>
        <w:rFonts w:ascii="Wingdings" w:hAnsi="Wingdings" w:hint="default"/>
      </w:rPr>
    </w:lvl>
  </w:abstractNum>
  <w:abstractNum w:abstractNumId="2" w15:restartNumberingAfterBreak="0">
    <w:nsid w:val="5D264173"/>
    <w:multiLevelType w:val="hybridMultilevel"/>
    <w:tmpl w:val="4AD67866"/>
    <w:lvl w:ilvl="0" w:tplc="8E6E8C60">
      <w:start w:val="1"/>
      <w:numFmt w:val="bullet"/>
      <w:lvlText w:val=""/>
      <w:lvlJc w:val="left"/>
      <w:pPr>
        <w:ind w:left="720" w:hanging="360"/>
      </w:pPr>
      <w:rPr>
        <w:rFonts w:ascii="Symbol" w:hAnsi="Symbol" w:hint="default"/>
      </w:rPr>
    </w:lvl>
    <w:lvl w:ilvl="1" w:tplc="E438FED6" w:tentative="1">
      <w:start w:val="1"/>
      <w:numFmt w:val="bullet"/>
      <w:lvlText w:val="o"/>
      <w:lvlJc w:val="left"/>
      <w:pPr>
        <w:ind w:left="1440" w:hanging="360"/>
      </w:pPr>
      <w:rPr>
        <w:rFonts w:ascii="Courier New" w:hAnsi="Courier New" w:hint="default"/>
      </w:rPr>
    </w:lvl>
    <w:lvl w:ilvl="2" w:tplc="20EED3BC" w:tentative="1">
      <w:start w:val="1"/>
      <w:numFmt w:val="bullet"/>
      <w:lvlText w:val=""/>
      <w:lvlJc w:val="left"/>
      <w:pPr>
        <w:ind w:left="2160" w:hanging="360"/>
      </w:pPr>
      <w:rPr>
        <w:rFonts w:ascii="Wingdings" w:hAnsi="Wingdings" w:hint="default"/>
      </w:rPr>
    </w:lvl>
    <w:lvl w:ilvl="3" w:tplc="509CF872" w:tentative="1">
      <w:start w:val="1"/>
      <w:numFmt w:val="bullet"/>
      <w:lvlText w:val=""/>
      <w:lvlJc w:val="left"/>
      <w:pPr>
        <w:ind w:left="2880" w:hanging="360"/>
      </w:pPr>
      <w:rPr>
        <w:rFonts w:ascii="Symbol" w:hAnsi="Symbol" w:hint="default"/>
      </w:rPr>
    </w:lvl>
    <w:lvl w:ilvl="4" w:tplc="F95A960C" w:tentative="1">
      <w:start w:val="1"/>
      <w:numFmt w:val="bullet"/>
      <w:lvlText w:val="o"/>
      <w:lvlJc w:val="left"/>
      <w:pPr>
        <w:ind w:left="3600" w:hanging="360"/>
      </w:pPr>
      <w:rPr>
        <w:rFonts w:ascii="Courier New" w:hAnsi="Courier New" w:hint="default"/>
      </w:rPr>
    </w:lvl>
    <w:lvl w:ilvl="5" w:tplc="B1D4822A" w:tentative="1">
      <w:start w:val="1"/>
      <w:numFmt w:val="bullet"/>
      <w:lvlText w:val=""/>
      <w:lvlJc w:val="left"/>
      <w:pPr>
        <w:ind w:left="4320" w:hanging="360"/>
      </w:pPr>
      <w:rPr>
        <w:rFonts w:ascii="Wingdings" w:hAnsi="Wingdings" w:hint="default"/>
      </w:rPr>
    </w:lvl>
    <w:lvl w:ilvl="6" w:tplc="F452AED6" w:tentative="1">
      <w:start w:val="1"/>
      <w:numFmt w:val="bullet"/>
      <w:lvlText w:val=""/>
      <w:lvlJc w:val="left"/>
      <w:pPr>
        <w:ind w:left="5040" w:hanging="360"/>
      </w:pPr>
      <w:rPr>
        <w:rFonts w:ascii="Symbol" w:hAnsi="Symbol" w:hint="default"/>
      </w:rPr>
    </w:lvl>
    <w:lvl w:ilvl="7" w:tplc="CAF6E2E2" w:tentative="1">
      <w:start w:val="1"/>
      <w:numFmt w:val="bullet"/>
      <w:lvlText w:val="o"/>
      <w:lvlJc w:val="left"/>
      <w:pPr>
        <w:ind w:left="5760" w:hanging="360"/>
      </w:pPr>
      <w:rPr>
        <w:rFonts w:ascii="Courier New" w:hAnsi="Courier New" w:hint="default"/>
      </w:rPr>
    </w:lvl>
    <w:lvl w:ilvl="8" w:tplc="95E60F28" w:tentative="1">
      <w:start w:val="1"/>
      <w:numFmt w:val="bullet"/>
      <w:lvlText w:val=""/>
      <w:lvlJc w:val="left"/>
      <w:pPr>
        <w:ind w:left="6480" w:hanging="360"/>
      </w:pPr>
      <w:rPr>
        <w:rFonts w:ascii="Wingdings" w:hAnsi="Wingdings" w:hint="default"/>
      </w:rPr>
    </w:lvl>
  </w:abstractNum>
  <w:abstractNum w:abstractNumId="3" w15:restartNumberingAfterBreak="0">
    <w:nsid w:val="68D627ED"/>
    <w:multiLevelType w:val="hybridMultilevel"/>
    <w:tmpl w:val="EF9A6C14"/>
    <w:lvl w:ilvl="0" w:tplc="D84C8E46">
      <w:start w:val="1"/>
      <w:numFmt w:val="bullet"/>
      <w:lvlText w:val=""/>
      <w:lvlJc w:val="left"/>
      <w:pPr>
        <w:ind w:left="720" w:hanging="360"/>
      </w:pPr>
      <w:rPr>
        <w:rFonts w:ascii="Symbol" w:hAnsi="Symbol" w:hint="default"/>
      </w:rPr>
    </w:lvl>
    <w:lvl w:ilvl="1" w:tplc="9BBCEA84" w:tentative="1">
      <w:start w:val="1"/>
      <w:numFmt w:val="bullet"/>
      <w:lvlText w:val="o"/>
      <w:lvlJc w:val="left"/>
      <w:pPr>
        <w:ind w:left="1440" w:hanging="360"/>
      </w:pPr>
      <w:rPr>
        <w:rFonts w:ascii="Courier New" w:hAnsi="Courier New" w:cs="Courier New" w:hint="default"/>
      </w:rPr>
    </w:lvl>
    <w:lvl w:ilvl="2" w:tplc="58AC53E8" w:tentative="1">
      <w:start w:val="1"/>
      <w:numFmt w:val="bullet"/>
      <w:lvlText w:val=""/>
      <w:lvlJc w:val="left"/>
      <w:pPr>
        <w:ind w:left="2160" w:hanging="360"/>
      </w:pPr>
      <w:rPr>
        <w:rFonts w:ascii="Wingdings" w:hAnsi="Wingdings" w:hint="default"/>
      </w:rPr>
    </w:lvl>
    <w:lvl w:ilvl="3" w:tplc="6E66C2BE" w:tentative="1">
      <w:start w:val="1"/>
      <w:numFmt w:val="bullet"/>
      <w:lvlText w:val=""/>
      <w:lvlJc w:val="left"/>
      <w:pPr>
        <w:ind w:left="2880" w:hanging="360"/>
      </w:pPr>
      <w:rPr>
        <w:rFonts w:ascii="Symbol" w:hAnsi="Symbol" w:hint="default"/>
      </w:rPr>
    </w:lvl>
    <w:lvl w:ilvl="4" w:tplc="A6381D54" w:tentative="1">
      <w:start w:val="1"/>
      <w:numFmt w:val="bullet"/>
      <w:lvlText w:val="o"/>
      <w:lvlJc w:val="left"/>
      <w:pPr>
        <w:ind w:left="3600" w:hanging="360"/>
      </w:pPr>
      <w:rPr>
        <w:rFonts w:ascii="Courier New" w:hAnsi="Courier New" w:cs="Courier New" w:hint="default"/>
      </w:rPr>
    </w:lvl>
    <w:lvl w:ilvl="5" w:tplc="61FC628E" w:tentative="1">
      <w:start w:val="1"/>
      <w:numFmt w:val="bullet"/>
      <w:lvlText w:val=""/>
      <w:lvlJc w:val="left"/>
      <w:pPr>
        <w:ind w:left="4320" w:hanging="360"/>
      </w:pPr>
      <w:rPr>
        <w:rFonts w:ascii="Wingdings" w:hAnsi="Wingdings" w:hint="default"/>
      </w:rPr>
    </w:lvl>
    <w:lvl w:ilvl="6" w:tplc="3E024E6A" w:tentative="1">
      <w:start w:val="1"/>
      <w:numFmt w:val="bullet"/>
      <w:lvlText w:val=""/>
      <w:lvlJc w:val="left"/>
      <w:pPr>
        <w:ind w:left="5040" w:hanging="360"/>
      </w:pPr>
      <w:rPr>
        <w:rFonts w:ascii="Symbol" w:hAnsi="Symbol" w:hint="default"/>
      </w:rPr>
    </w:lvl>
    <w:lvl w:ilvl="7" w:tplc="B4D4D950" w:tentative="1">
      <w:start w:val="1"/>
      <w:numFmt w:val="bullet"/>
      <w:lvlText w:val="o"/>
      <w:lvlJc w:val="left"/>
      <w:pPr>
        <w:ind w:left="5760" w:hanging="360"/>
      </w:pPr>
      <w:rPr>
        <w:rFonts w:ascii="Courier New" w:hAnsi="Courier New" w:cs="Courier New" w:hint="default"/>
      </w:rPr>
    </w:lvl>
    <w:lvl w:ilvl="8" w:tplc="6786FCBA"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E9"/>
    <w:rsid w:val="00093EEB"/>
    <w:rsid w:val="000B0D00"/>
    <w:rsid w:val="000B7C15"/>
    <w:rsid w:val="000D1D0F"/>
    <w:rsid w:val="000F5290"/>
    <w:rsid w:val="0010165C"/>
    <w:rsid w:val="00146BFB"/>
    <w:rsid w:val="001B7FE5"/>
    <w:rsid w:val="001E73A1"/>
    <w:rsid w:val="001F14A2"/>
    <w:rsid w:val="002801AA"/>
    <w:rsid w:val="002B524E"/>
    <w:rsid w:val="002C4676"/>
    <w:rsid w:val="002C70B0"/>
    <w:rsid w:val="002E18D1"/>
    <w:rsid w:val="002F3CC4"/>
    <w:rsid w:val="003037E9"/>
    <w:rsid w:val="003740A0"/>
    <w:rsid w:val="004E30F4"/>
    <w:rsid w:val="004F7730"/>
    <w:rsid w:val="00513630"/>
    <w:rsid w:val="00560125"/>
    <w:rsid w:val="00585553"/>
    <w:rsid w:val="005A72C6"/>
    <w:rsid w:val="005B34D9"/>
    <w:rsid w:val="005D0CCF"/>
    <w:rsid w:val="005F3BCB"/>
    <w:rsid w:val="005F410F"/>
    <w:rsid w:val="0060149A"/>
    <w:rsid w:val="00601924"/>
    <w:rsid w:val="006139E0"/>
    <w:rsid w:val="006447EA"/>
    <w:rsid w:val="0064731F"/>
    <w:rsid w:val="006710F6"/>
    <w:rsid w:val="006C1B56"/>
    <w:rsid w:val="006D4761"/>
    <w:rsid w:val="00726872"/>
    <w:rsid w:val="00760F1C"/>
    <w:rsid w:val="007657F0"/>
    <w:rsid w:val="0077252D"/>
    <w:rsid w:val="007E5DD3"/>
    <w:rsid w:val="007F350B"/>
    <w:rsid w:val="00820BE4"/>
    <w:rsid w:val="008451E8"/>
    <w:rsid w:val="0090505C"/>
    <w:rsid w:val="00913B9C"/>
    <w:rsid w:val="00956E77"/>
    <w:rsid w:val="009E2CC4"/>
    <w:rsid w:val="009F4811"/>
    <w:rsid w:val="00AA390C"/>
    <w:rsid w:val="00B0200A"/>
    <w:rsid w:val="00B574DB"/>
    <w:rsid w:val="00B826C2"/>
    <w:rsid w:val="00B8298E"/>
    <w:rsid w:val="00BD0723"/>
    <w:rsid w:val="00BD2518"/>
    <w:rsid w:val="00BF1D1C"/>
    <w:rsid w:val="00C1290B"/>
    <w:rsid w:val="00C20C59"/>
    <w:rsid w:val="00C55B1F"/>
    <w:rsid w:val="00CF1A67"/>
    <w:rsid w:val="00D2750E"/>
    <w:rsid w:val="00D62446"/>
    <w:rsid w:val="00D92C18"/>
    <w:rsid w:val="00D97E3D"/>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A9836F7-8E2D-4B37-A957-6ED2A54B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05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1290B"/>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C1290B"/>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49</TotalTime>
  <Pages>4</Pages>
  <Words>1627</Words>
  <Characters>8251</Characters>
  <Application>Microsoft Office Word</Application>
  <DocSecurity>0</DocSecurity>
  <Lines>68</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9859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5</cp:revision>
  <cp:lastPrinted>2018-04-11T13:40:00Z</cp:lastPrinted>
  <dcterms:created xsi:type="dcterms:W3CDTF">2018-04-11T13:27:00Z</dcterms:created>
  <dcterms:modified xsi:type="dcterms:W3CDTF">2018-04-11T14:36:00Z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