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EA49A9" w:rsidTr="001823EB">
        <w:trPr>
          <w:cantSplit/>
        </w:trPr>
        <w:tc>
          <w:tcPr>
            <w:tcW w:w="6911" w:type="dxa"/>
          </w:tcPr>
          <w:p w:rsidR="002A2188" w:rsidRPr="00EA49A9" w:rsidRDefault="00EB0B1D" w:rsidP="001D2DAF">
            <w:pPr>
              <w:spacing w:before="360" w:after="48" w:line="240" w:lineRule="atLeast"/>
              <w:rPr>
                <w:position w:val="6"/>
                <w:lang w:val="ru-RU"/>
              </w:rPr>
            </w:pPr>
            <w:r w:rsidRPr="00EA49A9">
              <w:rPr>
                <w:rFonts w:asciiTheme="minorHAnsi" w:hAnsiTheme="minorHAnsi"/>
                <w:b/>
                <w:position w:val="6"/>
                <w:sz w:val="28"/>
                <w:szCs w:val="28"/>
                <w:lang w:val="ru-RU"/>
              </w:rPr>
              <w:t>СОВЕТ 2018</w:t>
            </w:r>
            <w:r w:rsidRPr="00EA49A9">
              <w:rPr>
                <w:rFonts w:cs="Times"/>
                <w:b/>
                <w:position w:val="6"/>
                <w:sz w:val="26"/>
                <w:szCs w:val="26"/>
                <w:lang w:val="ru-RU"/>
              </w:rPr>
              <w:br/>
            </w:r>
            <w:r w:rsidRPr="00EA49A9">
              <w:rPr>
                <w:rFonts w:asciiTheme="minorHAnsi" w:hAnsiTheme="minorHAnsi"/>
                <w:b/>
                <w:position w:val="6"/>
                <w:szCs w:val="22"/>
                <w:lang w:val="ru-RU"/>
              </w:rPr>
              <w:t>Женева, 17–27 апреля 2018 года</w:t>
            </w:r>
          </w:p>
        </w:tc>
        <w:tc>
          <w:tcPr>
            <w:tcW w:w="3120" w:type="dxa"/>
          </w:tcPr>
          <w:p w:rsidR="002A2188" w:rsidRPr="00EA49A9" w:rsidRDefault="000E2A4C" w:rsidP="001823EB">
            <w:pPr>
              <w:spacing w:before="0" w:line="240" w:lineRule="atLeast"/>
              <w:jc w:val="right"/>
              <w:rPr>
                <w:lang w:val="ru-RU"/>
              </w:rPr>
            </w:pPr>
            <w:bookmarkStart w:id="0" w:name="ditulogo"/>
            <w:bookmarkEnd w:id="0"/>
            <w:r w:rsidRPr="00EA49A9">
              <w:rPr>
                <w:lang w:val="ru-RU" w:eastAsia="zh-CN"/>
              </w:rPr>
              <w:drawing>
                <wp:inline distT="0" distB="0" distL="0" distR="0" wp14:anchorId="378FEA59" wp14:editId="271E1D4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EA49A9" w:rsidTr="001823E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EA49A9" w:rsidRDefault="002A2188" w:rsidP="001823EB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EA49A9" w:rsidRDefault="002A2188" w:rsidP="001823EB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2A2188" w:rsidRPr="00EA49A9" w:rsidTr="001823E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EA49A9" w:rsidRDefault="002A2188" w:rsidP="001823EB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EA49A9" w:rsidRDefault="002A2188" w:rsidP="001823EB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5B0E60" w:rsidRPr="00EA49A9" w:rsidTr="001823EB">
        <w:trPr>
          <w:cantSplit/>
          <w:trHeight w:val="23"/>
        </w:trPr>
        <w:tc>
          <w:tcPr>
            <w:tcW w:w="6911" w:type="dxa"/>
            <w:vMerge w:val="restart"/>
          </w:tcPr>
          <w:p w:rsidR="005B0E60" w:rsidRPr="00EA49A9" w:rsidRDefault="005B0E60" w:rsidP="005B0E6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1" w:name="dmeeting" w:colFirst="0" w:colLast="0"/>
            <w:bookmarkStart w:id="2" w:name="dnum" w:colFirst="1" w:colLast="1"/>
            <w:r w:rsidRPr="00EA49A9">
              <w:rPr>
                <w:rFonts w:asciiTheme="minorHAnsi" w:hAnsiTheme="minorHAnsi"/>
                <w:b/>
                <w:szCs w:val="22"/>
                <w:lang w:val="ru-RU"/>
              </w:rPr>
              <w:t xml:space="preserve">Пункт повестки дня: </w:t>
            </w:r>
            <w:proofErr w:type="spellStart"/>
            <w:r w:rsidRPr="00EA49A9">
              <w:rPr>
                <w:rFonts w:asciiTheme="minorHAnsi" w:hAnsiTheme="minorHAnsi"/>
                <w:b/>
                <w:szCs w:val="22"/>
                <w:lang w:val="ru-RU"/>
              </w:rPr>
              <w:t>PL</w:t>
            </w:r>
            <w:proofErr w:type="spellEnd"/>
            <w:r w:rsidRPr="00EA49A9">
              <w:rPr>
                <w:rFonts w:asciiTheme="minorHAnsi" w:hAnsiTheme="minorHAnsi"/>
                <w:b/>
                <w:szCs w:val="22"/>
                <w:lang w:val="ru-RU"/>
              </w:rPr>
              <w:t xml:space="preserve"> 3.3</w:t>
            </w:r>
          </w:p>
        </w:tc>
        <w:tc>
          <w:tcPr>
            <w:tcW w:w="3120" w:type="dxa"/>
          </w:tcPr>
          <w:p w:rsidR="005B0E60" w:rsidRPr="00EA49A9" w:rsidRDefault="00C61DF7" w:rsidP="00EB0B1D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2"/>
                <w:lang w:val="ru-RU"/>
              </w:rPr>
            </w:pPr>
            <w:r w:rsidRPr="00EA49A9">
              <w:rPr>
                <w:rFonts w:asciiTheme="minorHAnsi" w:hAnsiTheme="minorHAnsi"/>
                <w:b/>
                <w:szCs w:val="22"/>
                <w:lang w:val="ru-RU"/>
              </w:rPr>
              <w:t>Пересмотр 1</w:t>
            </w:r>
            <w:r w:rsidR="00EB0B1D" w:rsidRPr="00EA49A9">
              <w:rPr>
                <w:rFonts w:asciiTheme="minorHAnsi" w:hAnsiTheme="minorHAnsi"/>
                <w:b/>
                <w:szCs w:val="22"/>
                <w:lang w:val="ru-RU"/>
              </w:rPr>
              <w:br/>
            </w:r>
            <w:r w:rsidR="005B0E60" w:rsidRPr="00EA49A9">
              <w:rPr>
                <w:rFonts w:asciiTheme="minorHAnsi" w:hAnsiTheme="minorHAnsi"/>
                <w:b/>
                <w:szCs w:val="22"/>
                <w:lang w:val="ru-RU"/>
              </w:rPr>
              <w:t>Документ</w:t>
            </w:r>
            <w:r w:rsidRPr="00EA49A9">
              <w:rPr>
                <w:rFonts w:asciiTheme="minorHAnsi" w:hAnsiTheme="minorHAnsi"/>
                <w:b/>
                <w:szCs w:val="22"/>
                <w:lang w:val="ru-RU"/>
              </w:rPr>
              <w:t>а</w:t>
            </w:r>
            <w:r w:rsidR="005B0E60" w:rsidRPr="00EA49A9">
              <w:rPr>
                <w:rFonts w:asciiTheme="minorHAnsi" w:hAnsiTheme="minorHAnsi"/>
                <w:b/>
                <w:szCs w:val="22"/>
                <w:lang w:val="ru-RU"/>
              </w:rPr>
              <w:t xml:space="preserve"> </w:t>
            </w:r>
            <w:proofErr w:type="spellStart"/>
            <w:r w:rsidR="005B0E60" w:rsidRPr="00EA49A9">
              <w:rPr>
                <w:rFonts w:asciiTheme="minorHAnsi" w:hAnsiTheme="minorHAnsi"/>
                <w:b/>
                <w:szCs w:val="22"/>
                <w:lang w:val="ru-RU"/>
              </w:rPr>
              <w:t>C18</w:t>
            </w:r>
            <w:proofErr w:type="spellEnd"/>
            <w:r w:rsidR="005B0E60" w:rsidRPr="00EA49A9">
              <w:rPr>
                <w:rFonts w:asciiTheme="minorHAnsi" w:hAnsiTheme="minorHAnsi"/>
                <w:b/>
                <w:szCs w:val="22"/>
                <w:lang w:val="ru-RU"/>
              </w:rPr>
              <w:t>/85-</w:t>
            </w:r>
            <w:r w:rsidR="000E2A4C" w:rsidRPr="00EA49A9">
              <w:rPr>
                <w:rFonts w:asciiTheme="minorHAnsi" w:hAnsiTheme="minorHAnsi"/>
                <w:b/>
                <w:szCs w:val="22"/>
                <w:lang w:val="ru-RU"/>
              </w:rPr>
              <w:t>R</w:t>
            </w:r>
          </w:p>
        </w:tc>
      </w:tr>
      <w:tr w:rsidR="005B0E60" w:rsidRPr="00EA49A9" w:rsidTr="001823EB">
        <w:trPr>
          <w:cantSplit/>
          <w:trHeight w:val="23"/>
        </w:trPr>
        <w:tc>
          <w:tcPr>
            <w:tcW w:w="6911" w:type="dxa"/>
            <w:vMerge/>
          </w:tcPr>
          <w:p w:rsidR="005B0E60" w:rsidRPr="00EA49A9" w:rsidRDefault="005B0E60" w:rsidP="005B0E6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:rsidR="005B0E60" w:rsidRPr="00EA49A9" w:rsidRDefault="00C61DF7" w:rsidP="005B0E60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2"/>
                <w:lang w:val="ru-RU"/>
              </w:rPr>
            </w:pPr>
            <w:r w:rsidRPr="00EA49A9">
              <w:rPr>
                <w:rFonts w:asciiTheme="minorHAnsi" w:hAnsiTheme="minorHAnsi"/>
                <w:b/>
                <w:szCs w:val="22"/>
                <w:lang w:val="ru-RU"/>
              </w:rPr>
              <w:t>2</w:t>
            </w:r>
            <w:r w:rsidR="005B0E60" w:rsidRPr="00EA49A9">
              <w:rPr>
                <w:rFonts w:asciiTheme="minorHAnsi" w:hAnsiTheme="minorHAnsi"/>
                <w:b/>
                <w:szCs w:val="22"/>
                <w:lang w:val="ru-RU"/>
              </w:rPr>
              <w:t>3 апреля 2018 года</w:t>
            </w:r>
          </w:p>
        </w:tc>
      </w:tr>
      <w:tr w:rsidR="005B0E60" w:rsidRPr="00EA49A9" w:rsidTr="001823EB">
        <w:trPr>
          <w:cantSplit/>
          <w:trHeight w:val="23"/>
        </w:trPr>
        <w:tc>
          <w:tcPr>
            <w:tcW w:w="6911" w:type="dxa"/>
            <w:vMerge/>
          </w:tcPr>
          <w:p w:rsidR="005B0E60" w:rsidRPr="00EA49A9" w:rsidRDefault="005B0E60" w:rsidP="005B0E6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5B0E60" w:rsidRPr="00EA49A9" w:rsidRDefault="005B0E60" w:rsidP="005B0E60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EA49A9">
              <w:rPr>
                <w:rFonts w:asciiTheme="minorHAnsi" w:hAnsiTheme="minorHAnsi"/>
                <w:b/>
                <w:szCs w:val="22"/>
                <w:lang w:val="ru-RU"/>
              </w:rPr>
              <w:t>Оригинал: английский</w:t>
            </w:r>
          </w:p>
        </w:tc>
      </w:tr>
      <w:tr w:rsidR="002A2188" w:rsidRPr="00EA49A9" w:rsidTr="001823EB">
        <w:trPr>
          <w:cantSplit/>
        </w:trPr>
        <w:tc>
          <w:tcPr>
            <w:tcW w:w="10031" w:type="dxa"/>
            <w:gridSpan w:val="2"/>
          </w:tcPr>
          <w:p w:rsidR="002A2188" w:rsidRPr="00EA49A9" w:rsidRDefault="00DB45C6" w:rsidP="00EB0B1D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EA49A9">
              <w:rPr>
                <w:lang w:val="ru-RU"/>
              </w:rPr>
              <w:t>Записка Генерального секретаря</w:t>
            </w:r>
          </w:p>
        </w:tc>
      </w:tr>
      <w:tr w:rsidR="002A2188" w:rsidRPr="00EA49A9" w:rsidTr="001823EB">
        <w:trPr>
          <w:cantSplit/>
        </w:trPr>
        <w:tc>
          <w:tcPr>
            <w:tcW w:w="10031" w:type="dxa"/>
            <w:gridSpan w:val="2"/>
          </w:tcPr>
          <w:p w:rsidR="002A2188" w:rsidRPr="00EA49A9" w:rsidRDefault="00DB45C6" w:rsidP="00EB0B1D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EA49A9">
              <w:rPr>
                <w:lang w:val="ru-RU"/>
              </w:rPr>
              <w:t>вклад от республики инди</w:t>
            </w:r>
            <w:r w:rsidR="00AF0BF6" w:rsidRPr="00EA49A9">
              <w:rPr>
                <w:lang w:val="ru-RU"/>
              </w:rPr>
              <w:t>И</w:t>
            </w:r>
            <w:r w:rsidR="00C61DF7" w:rsidRPr="00EA49A9">
              <w:rPr>
                <w:lang w:val="ru-RU"/>
              </w:rPr>
              <w:t>, НароднОЙ РеспубликИ Бангладеш, Буркина-Фасо и ФедеративнОЙ РеспубликИ НигериИ</w:t>
            </w:r>
          </w:p>
        </w:tc>
      </w:tr>
      <w:tr w:rsidR="00EB0B1D" w:rsidRPr="00EA49A9" w:rsidTr="001823EB">
        <w:trPr>
          <w:cantSplit/>
        </w:trPr>
        <w:tc>
          <w:tcPr>
            <w:tcW w:w="10031" w:type="dxa"/>
            <w:gridSpan w:val="2"/>
          </w:tcPr>
          <w:p w:rsidR="00EB0B1D" w:rsidRPr="00EA49A9" w:rsidRDefault="00EB0B1D" w:rsidP="00EB0B1D">
            <w:pPr>
              <w:pStyle w:val="Title2"/>
              <w:rPr>
                <w:lang w:val="ru-RU"/>
              </w:rPr>
            </w:pPr>
            <w:r w:rsidRPr="00EA49A9">
              <w:rPr>
                <w:lang w:val="ru-RU"/>
              </w:rPr>
              <w:t>ВОЗМОЖНОСТЬ СОЗДАНИЯ ЗОНАЛЬНОГО ОТДЕЛЕНИЯ МСЭ ДЛЯ СТРАН ЮЖНОЙ АЗИИ И ТЕХНологического ИННОВАЦИОННОГО ЦЕНТРА В ИНДИИ</w:t>
            </w:r>
          </w:p>
        </w:tc>
      </w:tr>
    </w:tbl>
    <w:p w:rsidR="00A46E6D" w:rsidRPr="00EA49A9" w:rsidRDefault="00DB45C6" w:rsidP="00EB0B1D">
      <w:pPr>
        <w:pStyle w:val="Normalaftertitle"/>
        <w:rPr>
          <w:lang w:val="ru-RU"/>
        </w:rPr>
      </w:pPr>
      <w:bookmarkStart w:id="7" w:name="dstart"/>
      <w:bookmarkStart w:id="8" w:name="dbreak"/>
      <w:bookmarkEnd w:id="6"/>
      <w:bookmarkEnd w:id="7"/>
      <w:bookmarkEnd w:id="8"/>
      <w:r w:rsidRPr="00EA49A9">
        <w:rPr>
          <w:lang w:val="ru-RU"/>
        </w:rPr>
        <w:t>Имею честь направить Государствам</w:t>
      </w:r>
      <w:r w:rsidR="000E2A4C" w:rsidRPr="00EA49A9">
        <w:rPr>
          <w:lang w:val="ru-RU"/>
        </w:rPr>
        <w:t xml:space="preserve"> – </w:t>
      </w:r>
      <w:r w:rsidRPr="00EA49A9">
        <w:rPr>
          <w:lang w:val="ru-RU"/>
        </w:rPr>
        <w:t xml:space="preserve">Членам Совета вклад, представленный </w:t>
      </w:r>
      <w:r w:rsidRPr="00EA49A9">
        <w:rPr>
          <w:b/>
          <w:bCs/>
          <w:lang w:val="ru-RU"/>
        </w:rPr>
        <w:t>Республикой Инди</w:t>
      </w:r>
      <w:r w:rsidR="00AF0BF6" w:rsidRPr="00EA49A9">
        <w:rPr>
          <w:b/>
          <w:bCs/>
          <w:lang w:val="ru-RU"/>
        </w:rPr>
        <w:t>ей</w:t>
      </w:r>
      <w:r w:rsidR="00C61DF7" w:rsidRPr="00EA49A9">
        <w:rPr>
          <w:lang w:val="ru-RU"/>
        </w:rPr>
        <w:t>,</w:t>
      </w:r>
      <w:r w:rsidR="00C61DF7" w:rsidRPr="00EA49A9">
        <w:rPr>
          <w:b/>
          <w:bCs/>
          <w:lang w:val="ru-RU"/>
        </w:rPr>
        <w:t xml:space="preserve"> Народной Республикой Бангладеш</w:t>
      </w:r>
      <w:r w:rsidR="00C61DF7" w:rsidRPr="00EA49A9">
        <w:rPr>
          <w:lang w:val="ru-RU"/>
        </w:rPr>
        <w:t>,</w:t>
      </w:r>
      <w:r w:rsidR="00C61DF7" w:rsidRPr="00EA49A9">
        <w:rPr>
          <w:b/>
          <w:bCs/>
          <w:lang w:val="ru-RU"/>
        </w:rPr>
        <w:t xml:space="preserve"> Буркина-Фасо </w:t>
      </w:r>
      <w:r w:rsidR="00C61DF7" w:rsidRPr="00EA49A9">
        <w:rPr>
          <w:lang w:val="ru-RU"/>
        </w:rPr>
        <w:t>и</w:t>
      </w:r>
      <w:r w:rsidR="00C61DF7" w:rsidRPr="00EA49A9">
        <w:rPr>
          <w:b/>
          <w:bCs/>
          <w:lang w:val="ru-RU"/>
        </w:rPr>
        <w:t xml:space="preserve"> Федеративной Республикой Нигерией</w:t>
      </w:r>
      <w:r w:rsidR="00EB0B1D" w:rsidRPr="00EA49A9">
        <w:rPr>
          <w:lang w:val="ru-RU"/>
        </w:rPr>
        <w:t>.</w:t>
      </w:r>
    </w:p>
    <w:p w:rsidR="00A46E6D" w:rsidRPr="00EA49A9" w:rsidRDefault="00A46E6D" w:rsidP="00EB0B1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rPr>
          <w:szCs w:val="22"/>
          <w:lang w:val="ru-RU"/>
        </w:rPr>
      </w:pPr>
      <w:r w:rsidRPr="00EA49A9">
        <w:rPr>
          <w:szCs w:val="22"/>
          <w:lang w:val="ru-RU"/>
        </w:rPr>
        <w:tab/>
      </w:r>
      <w:r w:rsidR="007612C6" w:rsidRPr="00EA49A9">
        <w:rPr>
          <w:rFonts w:asciiTheme="minorHAnsi" w:hAnsiTheme="minorHAnsi"/>
          <w:szCs w:val="22"/>
          <w:lang w:val="ru-RU"/>
        </w:rPr>
        <w:t>Хоулинь ЧЖАО</w:t>
      </w:r>
      <w:r w:rsidRPr="00EA49A9">
        <w:rPr>
          <w:szCs w:val="22"/>
          <w:lang w:val="ru-RU"/>
        </w:rPr>
        <w:br/>
      </w:r>
      <w:r w:rsidRPr="00EA49A9">
        <w:rPr>
          <w:szCs w:val="22"/>
          <w:lang w:val="ru-RU"/>
        </w:rPr>
        <w:tab/>
      </w:r>
      <w:r w:rsidR="007612C6" w:rsidRPr="00EA49A9">
        <w:rPr>
          <w:rFonts w:asciiTheme="minorHAnsi" w:hAnsiTheme="minorHAnsi"/>
          <w:szCs w:val="22"/>
          <w:lang w:val="ru-RU"/>
        </w:rPr>
        <w:t>Генеральный секретарь</w:t>
      </w:r>
    </w:p>
    <w:p w:rsidR="00A46E6D" w:rsidRPr="00EA49A9" w:rsidRDefault="00A46E6D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A49A9">
        <w:rPr>
          <w:lang w:val="ru-RU"/>
        </w:rPr>
        <w:br w:type="page"/>
      </w:r>
    </w:p>
    <w:p w:rsidR="00A46E6D" w:rsidRPr="00EA49A9" w:rsidRDefault="00AC4C83" w:rsidP="00F13265">
      <w:pPr>
        <w:pStyle w:val="Title1"/>
        <w:rPr>
          <w:rFonts w:asciiTheme="minorHAnsi" w:hAnsiTheme="minorHAnsi"/>
          <w:szCs w:val="26"/>
          <w:lang w:val="ru-RU"/>
        </w:rPr>
      </w:pPr>
      <w:r w:rsidRPr="00EA49A9">
        <w:rPr>
          <w:rFonts w:asciiTheme="minorHAnsi" w:hAnsiTheme="minorHAnsi"/>
          <w:szCs w:val="26"/>
          <w:lang w:val="ru-RU"/>
        </w:rPr>
        <w:lastRenderedPageBreak/>
        <w:t>вклад от республики инди</w:t>
      </w:r>
      <w:r w:rsidR="00AF0BF6" w:rsidRPr="00EA49A9">
        <w:rPr>
          <w:rFonts w:asciiTheme="minorHAnsi" w:hAnsiTheme="minorHAnsi"/>
          <w:szCs w:val="26"/>
          <w:lang w:val="ru-RU"/>
        </w:rPr>
        <w:t>И</w:t>
      </w:r>
      <w:r w:rsidR="00F13265" w:rsidRPr="00EA49A9">
        <w:rPr>
          <w:rFonts w:asciiTheme="minorHAnsi" w:hAnsiTheme="minorHAnsi"/>
          <w:szCs w:val="26"/>
          <w:lang w:val="ru-RU"/>
        </w:rPr>
        <w:t>, НароднОЙ РеспубликИ Бангладеш, Буркина-Фасо и ФедеративнОЙ РеспубликИ НигериИ</w:t>
      </w:r>
    </w:p>
    <w:p w:rsidR="00A46E6D" w:rsidRPr="00EA49A9" w:rsidRDefault="0058686C" w:rsidP="00A46E6D">
      <w:pPr>
        <w:pStyle w:val="Title1"/>
        <w:rPr>
          <w:szCs w:val="26"/>
          <w:lang w:val="ru-RU"/>
        </w:rPr>
      </w:pPr>
      <w:r w:rsidRPr="00EA49A9">
        <w:rPr>
          <w:rFonts w:asciiTheme="minorHAnsi" w:hAnsiTheme="minorHAnsi"/>
          <w:szCs w:val="26"/>
          <w:lang w:val="ru-RU"/>
        </w:rPr>
        <w:t>ВОЗМОЖНОСТЬ СОЗДАНИЯ ЗОНАЛЬНОГО ОТДЕЛЕНИЯ МСЭ ДЛЯ СТРАН ЮЖНОЙ АЗИИ И ТЕХНологического ИННОВАЦИОННОГО ЦЕНТРА В ИНДИИ</w:t>
      </w:r>
    </w:p>
    <w:p w:rsidR="00833F2D" w:rsidRPr="00EA49A9" w:rsidRDefault="00833F2D" w:rsidP="00EB0B1D">
      <w:pPr>
        <w:pStyle w:val="Heading1"/>
        <w:rPr>
          <w:lang w:val="ru-RU"/>
        </w:rPr>
      </w:pPr>
      <w:r w:rsidRPr="00EA49A9">
        <w:rPr>
          <w:lang w:val="ru-RU"/>
        </w:rPr>
        <w:t>1</w:t>
      </w:r>
      <w:r w:rsidRPr="00EA49A9">
        <w:rPr>
          <w:lang w:val="ru-RU"/>
        </w:rPr>
        <w:tab/>
      </w:r>
      <w:r w:rsidR="0058686C" w:rsidRPr="00EA49A9">
        <w:rPr>
          <w:lang w:val="ru-RU"/>
        </w:rPr>
        <w:t>Введение</w:t>
      </w:r>
    </w:p>
    <w:p w:rsidR="00833F2D" w:rsidRPr="00EA49A9" w:rsidRDefault="00833F2D" w:rsidP="00EB0B1D">
      <w:pPr>
        <w:rPr>
          <w:lang w:val="ru-RU"/>
        </w:rPr>
      </w:pPr>
      <w:r w:rsidRPr="00EA49A9">
        <w:rPr>
          <w:lang w:val="ru-RU"/>
        </w:rPr>
        <w:t>1.1</w:t>
      </w:r>
      <w:r w:rsidRPr="00EA49A9">
        <w:rPr>
          <w:lang w:val="ru-RU"/>
        </w:rPr>
        <w:tab/>
      </w:r>
      <w:r w:rsidR="005A301A" w:rsidRPr="00EA49A9">
        <w:rPr>
          <w:lang w:val="ru-RU"/>
        </w:rPr>
        <w:t xml:space="preserve">Индия с ее населением </w:t>
      </w:r>
      <w:r w:rsidR="000E2A4C" w:rsidRPr="00EA49A9">
        <w:rPr>
          <w:lang w:val="ru-RU"/>
        </w:rPr>
        <w:t xml:space="preserve">более </w:t>
      </w:r>
      <w:r w:rsidR="005A301A" w:rsidRPr="00EA49A9">
        <w:rPr>
          <w:lang w:val="ru-RU"/>
        </w:rPr>
        <w:t>1,2 </w:t>
      </w:r>
      <w:r w:rsidR="00440A4E" w:rsidRPr="00EA49A9">
        <w:rPr>
          <w:lang w:val="ru-RU"/>
        </w:rPr>
        <w:t>миллиарда</w:t>
      </w:r>
      <w:r w:rsidR="005A301A" w:rsidRPr="00EA49A9">
        <w:rPr>
          <w:lang w:val="ru-RU"/>
        </w:rPr>
        <w:t xml:space="preserve"> человек является одной из наиболее густонаселенных стран мира, и концепция государства всеобщего </w:t>
      </w:r>
      <w:r w:rsidR="000E2A4C" w:rsidRPr="00EA49A9">
        <w:rPr>
          <w:lang w:val="ru-RU"/>
        </w:rPr>
        <w:t>благосостояния</w:t>
      </w:r>
      <w:r w:rsidR="005A301A" w:rsidRPr="00EA49A9">
        <w:rPr>
          <w:lang w:val="ru-RU"/>
        </w:rPr>
        <w:t xml:space="preserve"> лежит в основе усилий страны. Всеобъемлющее и устойчивое развитие явля</w:t>
      </w:r>
      <w:r w:rsidR="001D2DAF" w:rsidRPr="00EA49A9">
        <w:rPr>
          <w:lang w:val="ru-RU"/>
        </w:rPr>
        <w:t>ю</w:t>
      </w:r>
      <w:r w:rsidR="005A301A" w:rsidRPr="00EA49A9">
        <w:rPr>
          <w:lang w:val="ru-RU"/>
        </w:rPr>
        <w:t xml:space="preserve">тся целью Индии как в </w:t>
      </w:r>
      <w:r w:rsidR="000E2A4C" w:rsidRPr="00EA49A9">
        <w:rPr>
          <w:lang w:val="ru-RU"/>
        </w:rPr>
        <w:t>практическом</w:t>
      </w:r>
      <w:r w:rsidR="005A301A" w:rsidRPr="00EA49A9">
        <w:rPr>
          <w:lang w:val="ru-RU"/>
        </w:rPr>
        <w:t xml:space="preserve">, так и </w:t>
      </w:r>
      <w:r w:rsidR="000E2A4C" w:rsidRPr="00EA49A9">
        <w:rPr>
          <w:lang w:val="ru-RU"/>
        </w:rPr>
        <w:t>в духовном плане</w:t>
      </w:r>
      <w:r w:rsidR="005A301A" w:rsidRPr="00EA49A9">
        <w:rPr>
          <w:lang w:val="ru-RU"/>
        </w:rPr>
        <w:t>. Соответственно, индийская концепция современного общества состоит в том, чтобы плодами технического прогресса мог воспользоваться каждый гражданин, и Индия стремится к осуществлению этой концепции не только для людей, живущих в каждом уголке страны, но и на благо народов, проживающих на обширных и разнообразных географических территориях Азиатско-Тихоокеанского региона и за его пределами.</w:t>
      </w:r>
    </w:p>
    <w:p w:rsidR="00833F2D" w:rsidRPr="00EA49A9" w:rsidRDefault="00833F2D" w:rsidP="00EB0B1D">
      <w:pPr>
        <w:rPr>
          <w:lang w:val="ru-RU"/>
        </w:rPr>
      </w:pPr>
      <w:r w:rsidRPr="00EA49A9">
        <w:rPr>
          <w:lang w:val="ru-RU"/>
        </w:rPr>
        <w:t>1.2</w:t>
      </w:r>
      <w:r w:rsidRPr="00EA49A9">
        <w:rPr>
          <w:lang w:val="ru-RU"/>
        </w:rPr>
        <w:tab/>
      </w:r>
      <w:r w:rsidR="000E2A4C" w:rsidRPr="00EA49A9">
        <w:rPr>
          <w:lang w:val="ru-RU"/>
        </w:rPr>
        <w:t xml:space="preserve">Комплексное развитие </w:t>
      </w:r>
      <w:r w:rsidR="005A301A" w:rsidRPr="00EA49A9">
        <w:rPr>
          <w:lang w:val="ru-RU"/>
        </w:rPr>
        <w:t xml:space="preserve">предполагает намного большее, чем просто </w:t>
      </w:r>
      <w:r w:rsidR="000E2A4C" w:rsidRPr="00EA49A9">
        <w:rPr>
          <w:lang w:val="ru-RU"/>
        </w:rPr>
        <w:t>удовлетворение</w:t>
      </w:r>
      <w:r w:rsidR="005A301A" w:rsidRPr="00EA49A9">
        <w:rPr>
          <w:lang w:val="ru-RU"/>
        </w:rPr>
        <w:t xml:space="preserve"> основных потребностей. Расширение политических, социальных, финансовых и цифровых прав и возможностей простых людей, обеспечение доступа к равным возможностям во всех этих областях и предоставление каждому гражданину возможности участия в развитии на различных уровнях имеют решающее значение с точки зрения Правительства. Информационно-коммуникационные технологии (ИКТ) составляют основу современной цифровой экономики и обладают колоссальным потенциалом в плане ускорения достижения ЦУР и фундаментального улучшения жизни людей. Индия </w:t>
      </w:r>
      <w:r w:rsidR="000E2A4C" w:rsidRPr="00EA49A9">
        <w:rPr>
          <w:lang w:val="ru-RU"/>
        </w:rPr>
        <w:t>считает</w:t>
      </w:r>
      <w:r w:rsidR="005A301A" w:rsidRPr="00EA49A9">
        <w:rPr>
          <w:lang w:val="ru-RU"/>
        </w:rPr>
        <w:t>, что</w:t>
      </w:r>
      <w:r w:rsidR="000E2A4C" w:rsidRPr="00EA49A9">
        <w:rPr>
          <w:lang w:val="ru-RU"/>
        </w:rPr>
        <w:t> </w:t>
      </w:r>
      <w:r w:rsidR="005A301A" w:rsidRPr="00EA49A9">
        <w:rPr>
          <w:lang w:val="ru-RU"/>
        </w:rPr>
        <w:t>интегрированные и комплексные решения являются целью цифрового преобразования, и, соответственно</w:t>
      </w:r>
      <w:r w:rsidR="001D2DAF" w:rsidRPr="00EA49A9">
        <w:rPr>
          <w:lang w:val="ru-RU"/>
        </w:rPr>
        <w:t>,</w:t>
      </w:r>
      <w:r w:rsidR="000E2A4C" w:rsidRPr="00EA49A9">
        <w:rPr>
          <w:lang w:val="ru-RU"/>
        </w:rPr>
        <w:t xml:space="preserve"> разработала программу "Цифровая Индия", направленную на преобразование Индии в страну с экономикой, основанной на знаниях. Комплексный подход к обеспечению цифровых решений в рамках программы "Цифровая Индия" привел к успешному преобразованию обширных сельских регионов по всей стране, где проживают огромные массы людей.</w:t>
      </w:r>
    </w:p>
    <w:p w:rsidR="005A301A" w:rsidRPr="00EA49A9" w:rsidRDefault="00833F2D" w:rsidP="00EB0B1D">
      <w:pPr>
        <w:rPr>
          <w:lang w:val="ru-RU"/>
        </w:rPr>
      </w:pPr>
      <w:r w:rsidRPr="00EA49A9">
        <w:rPr>
          <w:lang w:val="ru-RU"/>
        </w:rPr>
        <w:t>1.3</w:t>
      </w:r>
      <w:r w:rsidRPr="00EA49A9">
        <w:rPr>
          <w:lang w:val="ru-RU"/>
        </w:rPr>
        <w:tab/>
      </w:r>
      <w:r w:rsidR="005A301A" w:rsidRPr="00EA49A9">
        <w:rPr>
          <w:lang w:val="ru-RU"/>
        </w:rPr>
        <w:t xml:space="preserve">Для построения "умного" общества во всем мире необходимо сотрудничество в целях обеспечения доступа к знаниям, их использования и обмена ими на различных уровнях. </w:t>
      </w:r>
      <w:r w:rsidR="000E2A4C" w:rsidRPr="00EA49A9">
        <w:rPr>
          <w:lang w:val="ru-RU"/>
        </w:rPr>
        <w:t>Залогом успеха</w:t>
      </w:r>
      <w:r w:rsidR="005A301A" w:rsidRPr="00EA49A9">
        <w:rPr>
          <w:lang w:val="ru-RU"/>
        </w:rPr>
        <w:t xml:space="preserve"> является межправительственное и межотраслевое сотрудничество. Всеобъемлющее развитие и интегрированные комплексные решения являются девизом Индии, </w:t>
      </w:r>
      <w:r w:rsidR="000E2A4C" w:rsidRPr="00EA49A9">
        <w:rPr>
          <w:lang w:val="ru-RU"/>
        </w:rPr>
        <w:t>которая</w:t>
      </w:r>
      <w:r w:rsidR="005A301A" w:rsidRPr="00EA49A9">
        <w:rPr>
          <w:lang w:val="ru-RU"/>
        </w:rPr>
        <w:t xml:space="preserve"> готова поделиться с</w:t>
      </w:r>
      <w:r w:rsidR="000E2A4C" w:rsidRPr="00EA49A9">
        <w:rPr>
          <w:lang w:val="ru-RU"/>
        </w:rPr>
        <w:t> </w:t>
      </w:r>
      <w:r w:rsidR="005A301A" w:rsidRPr="00EA49A9">
        <w:rPr>
          <w:lang w:val="ru-RU"/>
        </w:rPr>
        <w:t xml:space="preserve">мировым сообществом своими историями успеха и опытом в целях обеспечения всеобщего социально-экономического развития и сокращения цифрового разрыва во всех формах. Индия </w:t>
      </w:r>
      <w:r w:rsidR="000E2A4C" w:rsidRPr="00EA49A9">
        <w:rPr>
          <w:lang w:val="ru-RU"/>
        </w:rPr>
        <w:t>готова делиться своим видением и опытом</w:t>
      </w:r>
      <w:r w:rsidR="005A301A" w:rsidRPr="00EA49A9">
        <w:rPr>
          <w:lang w:val="ru-RU"/>
        </w:rPr>
        <w:t xml:space="preserve">, а также овладевать новыми знаниями, основанными на мировом передовом опыте и политических инициативах. При использовании такого согласованного подхода цель построения глобального "умного" общества может быть достигнута в кратчайшие сроки. Индийские решения в области электронного государственного управления также могут содействовать расширению прав и возможностей простых людей в развивающихся странах. </w:t>
      </w:r>
    </w:p>
    <w:p w:rsidR="00833F2D" w:rsidRPr="00EA49A9" w:rsidRDefault="005A301A" w:rsidP="00EB0B1D">
      <w:pPr>
        <w:rPr>
          <w:lang w:val="ru-RU"/>
        </w:rPr>
      </w:pPr>
      <w:r w:rsidRPr="00EA49A9">
        <w:rPr>
          <w:lang w:val="ru-RU"/>
        </w:rPr>
        <w:t>1.4</w:t>
      </w:r>
      <w:r w:rsidRPr="00EA49A9">
        <w:rPr>
          <w:lang w:val="ru-RU"/>
        </w:rPr>
        <w:tab/>
        <w:t xml:space="preserve">Глобальное партнерство в интересах развития человечества всегда было частью индийских культурных идеалов, и, используя ИКТ, Индия не только удовлетворяет потребности своего населения, но и предлагает свои ограниченные ресурсы в помощь соседним странам и развивающимся странам </w:t>
      </w:r>
      <w:r w:rsidR="000E2A4C" w:rsidRPr="00EA49A9">
        <w:rPr>
          <w:lang w:val="ru-RU"/>
        </w:rPr>
        <w:t xml:space="preserve">всего </w:t>
      </w:r>
      <w:r w:rsidRPr="00EA49A9">
        <w:rPr>
          <w:lang w:val="ru-RU"/>
        </w:rPr>
        <w:t>мира.</w:t>
      </w:r>
    </w:p>
    <w:p w:rsidR="00833F2D" w:rsidRPr="00EA49A9" w:rsidRDefault="00833F2D" w:rsidP="00EB0B1D">
      <w:pPr>
        <w:rPr>
          <w:lang w:val="ru-RU"/>
        </w:rPr>
      </w:pPr>
      <w:r w:rsidRPr="00EA49A9">
        <w:rPr>
          <w:lang w:val="ru-RU"/>
        </w:rPr>
        <w:t>1.5</w:t>
      </w:r>
      <w:r w:rsidRPr="00EA49A9">
        <w:rPr>
          <w:lang w:val="ru-RU"/>
        </w:rPr>
        <w:tab/>
      </w:r>
      <w:r w:rsidR="005A301A" w:rsidRPr="00EA49A9">
        <w:rPr>
          <w:lang w:val="ru-RU"/>
        </w:rPr>
        <w:t>Южная Азия как часть Азиатско-Тихоокеанского региона изобилует новыми технологическими центрами</w:t>
      </w:r>
      <w:r w:rsidRPr="00EA49A9">
        <w:rPr>
          <w:rStyle w:val="FootnoteReference"/>
          <w:lang w:val="ru-RU"/>
        </w:rPr>
        <w:footnoteReference w:id="1"/>
      </w:r>
      <w:r w:rsidR="005A301A" w:rsidRPr="00EA49A9">
        <w:rPr>
          <w:lang w:val="ru-RU"/>
        </w:rPr>
        <w:t xml:space="preserve">, </w:t>
      </w:r>
      <w:r w:rsidR="000E2A4C" w:rsidRPr="00EA49A9">
        <w:rPr>
          <w:lang w:val="ru-RU"/>
        </w:rPr>
        <w:t>при этом из более чем 330 функционирующих в регионе технологических центров</w:t>
      </w:r>
      <w:r w:rsidR="005A301A" w:rsidRPr="00EA49A9">
        <w:rPr>
          <w:lang w:val="ru-RU"/>
        </w:rPr>
        <w:t xml:space="preserve"> 250 находятся в Индии. Инновационные решения и крупномасштабное </w:t>
      </w:r>
      <w:r w:rsidR="005A301A" w:rsidRPr="00EA49A9">
        <w:rPr>
          <w:lang w:val="ru-RU"/>
        </w:rPr>
        <w:lastRenderedPageBreak/>
        <w:t xml:space="preserve">развертывание услуг электронного государственного управления, включая такие услуги, как цифровая идентичность, облачные услуги и мобильные приложения, </w:t>
      </w:r>
      <w:r w:rsidR="000E2A4C" w:rsidRPr="00EA49A9">
        <w:rPr>
          <w:lang w:val="ru-RU"/>
        </w:rPr>
        <w:t>характеризуют цифровое преобразование в</w:t>
      </w:r>
      <w:r w:rsidR="005A301A" w:rsidRPr="00EA49A9">
        <w:rPr>
          <w:lang w:val="ru-RU"/>
        </w:rPr>
        <w:t xml:space="preserve"> регионе. Государств</w:t>
      </w:r>
      <w:r w:rsidR="000E2A4C" w:rsidRPr="00EA49A9">
        <w:rPr>
          <w:lang w:val="ru-RU"/>
        </w:rPr>
        <w:t>енный</w:t>
      </w:r>
      <w:r w:rsidR="005A301A" w:rsidRPr="00EA49A9">
        <w:rPr>
          <w:lang w:val="ru-RU"/>
        </w:rPr>
        <w:t xml:space="preserve"> и частный сектор</w:t>
      </w:r>
      <w:r w:rsidR="000E2A4C" w:rsidRPr="00EA49A9">
        <w:rPr>
          <w:lang w:val="ru-RU"/>
        </w:rPr>
        <w:t>ы</w:t>
      </w:r>
      <w:r w:rsidR="005A301A" w:rsidRPr="00EA49A9">
        <w:rPr>
          <w:lang w:val="ru-RU"/>
        </w:rPr>
        <w:t xml:space="preserve"> </w:t>
      </w:r>
      <w:r w:rsidR="000E2A4C" w:rsidRPr="00EA49A9">
        <w:rPr>
          <w:lang w:val="ru-RU"/>
        </w:rPr>
        <w:t>активно внедряют</w:t>
      </w:r>
      <w:r w:rsidR="005A301A" w:rsidRPr="00EA49A9">
        <w:rPr>
          <w:lang w:val="ru-RU"/>
        </w:rPr>
        <w:t xml:space="preserve"> цифровые инициативы и предпринимают согласованные действия в целях содействия развитию цифровой экономики. </w:t>
      </w:r>
      <w:r w:rsidR="000E2A4C" w:rsidRPr="00EA49A9">
        <w:rPr>
          <w:lang w:val="ru-RU"/>
        </w:rPr>
        <w:t>Высокими темпами рас</w:t>
      </w:r>
      <w:r w:rsidR="001D2DAF" w:rsidRPr="00EA49A9">
        <w:rPr>
          <w:lang w:val="ru-RU"/>
        </w:rPr>
        <w:t>т</w:t>
      </w:r>
      <w:r w:rsidR="000E2A4C" w:rsidRPr="00EA49A9">
        <w:rPr>
          <w:lang w:val="ru-RU"/>
        </w:rPr>
        <w:t>ет уровень проникновения</w:t>
      </w:r>
      <w:r w:rsidR="005A301A" w:rsidRPr="00EA49A9">
        <w:rPr>
          <w:lang w:val="ru-RU"/>
        </w:rPr>
        <w:t xml:space="preserve"> подвижной и широкополосной подвижной связи как </w:t>
      </w:r>
      <w:r w:rsidR="001D2DAF" w:rsidRPr="00EA49A9">
        <w:rPr>
          <w:lang w:val="ru-RU"/>
        </w:rPr>
        <w:t>один</w:t>
      </w:r>
      <w:r w:rsidR="005A301A" w:rsidRPr="00EA49A9">
        <w:rPr>
          <w:lang w:val="ru-RU"/>
        </w:rPr>
        <w:t xml:space="preserve"> из факторов, способствующих оказанию электронных услуг, особенно в секторах образования, здравоохранения и управления</w:t>
      </w:r>
      <w:r w:rsidR="000E2A4C" w:rsidRPr="00EA49A9">
        <w:rPr>
          <w:lang w:val="ru-RU"/>
        </w:rPr>
        <w:t>, обеспечивающих равный доступ</w:t>
      </w:r>
      <w:r w:rsidR="005A301A" w:rsidRPr="00EA49A9">
        <w:rPr>
          <w:lang w:val="ru-RU"/>
        </w:rPr>
        <w:t xml:space="preserve"> к возможностям и преодолени</w:t>
      </w:r>
      <w:r w:rsidR="000E2A4C" w:rsidRPr="00EA49A9">
        <w:rPr>
          <w:lang w:val="ru-RU"/>
        </w:rPr>
        <w:t>е</w:t>
      </w:r>
      <w:r w:rsidR="005A301A" w:rsidRPr="00EA49A9">
        <w:rPr>
          <w:lang w:val="ru-RU"/>
        </w:rPr>
        <w:t xml:space="preserve"> цифрового разрыва. Тем не менее отмечаются значительные </w:t>
      </w:r>
      <w:r w:rsidR="000E2A4C" w:rsidRPr="00EA49A9">
        <w:rPr>
          <w:lang w:val="ru-RU"/>
        </w:rPr>
        <w:t>региональные различия</w:t>
      </w:r>
      <w:r w:rsidR="001D2DAF" w:rsidRPr="00EA49A9">
        <w:rPr>
          <w:lang w:val="ru-RU"/>
        </w:rPr>
        <w:t xml:space="preserve"> – </w:t>
      </w:r>
      <w:r w:rsidR="005A301A" w:rsidRPr="00EA49A9">
        <w:rPr>
          <w:lang w:val="ru-RU"/>
        </w:rPr>
        <w:t>например, только 38 процентов населения Южной Азии пользу</w:t>
      </w:r>
      <w:r w:rsidR="001D2DAF" w:rsidRPr="00EA49A9">
        <w:rPr>
          <w:lang w:val="ru-RU"/>
        </w:rPr>
        <w:t>ю</w:t>
      </w:r>
      <w:r w:rsidR="005A301A" w:rsidRPr="00EA49A9">
        <w:rPr>
          <w:lang w:val="ru-RU"/>
        </w:rPr>
        <w:t>тся услугами мобильного интернета, что существенно ниже среднемирового показателя, составляющего 51 процент</w:t>
      </w:r>
      <w:r w:rsidR="005A301A" w:rsidRPr="00EA49A9">
        <w:rPr>
          <w:rStyle w:val="FootnoteReference"/>
          <w:lang w:val="ru-RU"/>
        </w:rPr>
        <w:footnoteReference w:id="2"/>
      </w:r>
      <w:r w:rsidR="005A301A" w:rsidRPr="00EA49A9">
        <w:rPr>
          <w:lang w:val="ru-RU"/>
        </w:rPr>
        <w:t>.</w:t>
      </w:r>
    </w:p>
    <w:p w:rsidR="005A301A" w:rsidRPr="00EA49A9" w:rsidRDefault="005A301A" w:rsidP="009D53AA">
      <w:pPr>
        <w:rPr>
          <w:lang w:val="ru-RU"/>
        </w:rPr>
      </w:pPr>
      <w:r w:rsidRPr="00EA49A9">
        <w:rPr>
          <w:lang w:val="ru-RU"/>
        </w:rPr>
        <w:t>1.6</w:t>
      </w:r>
      <w:r w:rsidRPr="00EA49A9">
        <w:rPr>
          <w:lang w:val="ru-RU"/>
        </w:rPr>
        <w:tab/>
        <w:t xml:space="preserve">Вышеуказанные </w:t>
      </w:r>
      <w:r w:rsidR="000E2A4C" w:rsidRPr="00EA49A9">
        <w:rPr>
          <w:lang w:val="ru-RU"/>
        </w:rPr>
        <w:t xml:space="preserve">региональные различия </w:t>
      </w:r>
      <w:r w:rsidRPr="00EA49A9">
        <w:rPr>
          <w:lang w:val="ru-RU"/>
        </w:rPr>
        <w:t>также проявляются в отношении индекса развития ИКТ (IDI). По данным отчета "Измерение информационного общества" 2017 года</w:t>
      </w:r>
      <w:r w:rsidRPr="00EA49A9">
        <w:rPr>
          <w:rStyle w:val="FootnoteReference"/>
          <w:lang w:val="ru-RU"/>
        </w:rPr>
        <w:footnoteReference w:id="3"/>
      </w:r>
      <w:r w:rsidRPr="00EA49A9">
        <w:rPr>
          <w:lang w:val="ru-RU"/>
        </w:rPr>
        <w:t xml:space="preserve">, средние значения IDI в Азиатско-Тихоокеанском регионе (4,83) близки к среднемировому (5,11). Тем не менее при более пристальном изучении Южно-Азиатского </w:t>
      </w:r>
      <w:proofErr w:type="spellStart"/>
      <w:r w:rsidRPr="00EA49A9">
        <w:rPr>
          <w:lang w:val="ru-RU"/>
        </w:rPr>
        <w:t>субрегиона</w:t>
      </w:r>
      <w:proofErr w:type="spellEnd"/>
      <w:r w:rsidRPr="00EA49A9">
        <w:rPr>
          <w:lang w:val="ru-RU"/>
        </w:rPr>
        <w:t xml:space="preserve"> и стран </w:t>
      </w:r>
      <w:proofErr w:type="spellStart"/>
      <w:r w:rsidRPr="00EA49A9">
        <w:rPr>
          <w:lang w:val="ru-RU"/>
        </w:rPr>
        <w:t>КЛМВ</w:t>
      </w:r>
      <w:proofErr w:type="spellEnd"/>
      <w:r w:rsidR="00AA48B0" w:rsidRPr="00EA49A9">
        <w:rPr>
          <w:lang w:val="ru-RU"/>
        </w:rPr>
        <w:t xml:space="preserve"> (Камбоджа, Лаос, Мьянма и Вьетнам)</w:t>
      </w:r>
      <w:r w:rsidRPr="00EA49A9">
        <w:rPr>
          <w:lang w:val="ru-RU"/>
        </w:rPr>
        <w:t xml:space="preserve"> можно выявить </w:t>
      </w:r>
      <w:r w:rsidR="000E2A4C" w:rsidRPr="00EA49A9">
        <w:rPr>
          <w:lang w:val="ru-RU"/>
        </w:rPr>
        <w:t>различия</w:t>
      </w:r>
      <w:r w:rsidRPr="00EA49A9">
        <w:rPr>
          <w:lang w:val="ru-RU"/>
        </w:rPr>
        <w:t xml:space="preserve"> в</w:t>
      </w:r>
      <w:r w:rsidR="000E2A4C" w:rsidRPr="00EA49A9">
        <w:rPr>
          <w:lang w:val="ru-RU"/>
        </w:rPr>
        <w:t xml:space="preserve"> значениях </w:t>
      </w:r>
      <w:r w:rsidRPr="00EA49A9">
        <w:rPr>
          <w:lang w:val="ru-RU"/>
        </w:rPr>
        <w:t xml:space="preserve">IDI. Среднее значение IDI для стран Южно-Азиатского </w:t>
      </w:r>
      <w:proofErr w:type="spellStart"/>
      <w:r w:rsidRPr="00EA49A9">
        <w:rPr>
          <w:lang w:val="ru-RU"/>
        </w:rPr>
        <w:t>субрегиона</w:t>
      </w:r>
      <w:proofErr w:type="spellEnd"/>
      <w:r w:rsidRPr="00EA49A9">
        <w:rPr>
          <w:lang w:val="ru-RU"/>
        </w:rPr>
        <w:t xml:space="preserve"> и стран </w:t>
      </w:r>
      <w:proofErr w:type="spellStart"/>
      <w:r w:rsidRPr="00EA49A9">
        <w:rPr>
          <w:lang w:val="ru-RU"/>
        </w:rPr>
        <w:t>КЛМВ</w:t>
      </w:r>
      <w:proofErr w:type="spellEnd"/>
      <w:r w:rsidRPr="00EA49A9">
        <w:rPr>
          <w:lang w:val="ru-RU"/>
        </w:rPr>
        <w:t xml:space="preserve"> составляет 3,27, в то время как среднее значение IDI для остальных стран Азиатско-Тихоокеанского региона составляет около 5,68. </w:t>
      </w:r>
      <w:r w:rsidR="000E2A4C" w:rsidRPr="00EA49A9">
        <w:rPr>
          <w:lang w:val="ru-RU"/>
        </w:rPr>
        <w:t xml:space="preserve">Это четко свидетельствует о том, что для развития ИКТ в странах Южно-Азиатского </w:t>
      </w:r>
      <w:proofErr w:type="spellStart"/>
      <w:r w:rsidR="000E2A4C" w:rsidRPr="00EA49A9">
        <w:rPr>
          <w:lang w:val="ru-RU"/>
        </w:rPr>
        <w:t>субрегиона</w:t>
      </w:r>
      <w:proofErr w:type="spellEnd"/>
      <w:r w:rsidR="000E2A4C" w:rsidRPr="00EA49A9">
        <w:rPr>
          <w:lang w:val="ru-RU"/>
        </w:rPr>
        <w:t xml:space="preserve"> в странах </w:t>
      </w:r>
      <w:proofErr w:type="spellStart"/>
      <w:r w:rsidR="000E2A4C" w:rsidRPr="00EA49A9">
        <w:rPr>
          <w:lang w:val="ru-RU"/>
        </w:rPr>
        <w:t>КЛМВ</w:t>
      </w:r>
      <w:proofErr w:type="spellEnd"/>
      <w:r w:rsidR="000E2A4C" w:rsidRPr="00EA49A9">
        <w:rPr>
          <w:lang w:val="ru-RU"/>
        </w:rPr>
        <w:t xml:space="preserve"> необходимо принятие инициатив, ориентированных на более тесное сотрудничество.</w:t>
      </w:r>
    </w:p>
    <w:p w:rsidR="005A301A" w:rsidRPr="00EA49A9" w:rsidRDefault="005A301A" w:rsidP="009D53AA">
      <w:pPr>
        <w:rPr>
          <w:lang w:val="ru-RU"/>
        </w:rPr>
      </w:pPr>
      <w:r w:rsidRPr="00EA49A9">
        <w:rPr>
          <w:lang w:val="ru-RU"/>
        </w:rPr>
        <w:t>1.7</w:t>
      </w:r>
      <w:r w:rsidRPr="00EA49A9">
        <w:rPr>
          <w:lang w:val="ru-RU"/>
        </w:rPr>
        <w:tab/>
        <w:t xml:space="preserve">Таким образом, имеется возможность для </w:t>
      </w:r>
      <w:r w:rsidR="000E2A4C" w:rsidRPr="00EA49A9">
        <w:rPr>
          <w:lang w:val="ru-RU"/>
        </w:rPr>
        <w:t xml:space="preserve">налаживания </w:t>
      </w:r>
      <w:r w:rsidRPr="00EA49A9">
        <w:rPr>
          <w:lang w:val="ru-RU"/>
        </w:rPr>
        <w:t xml:space="preserve">сотрудничества и </w:t>
      </w:r>
      <w:r w:rsidR="000E2A4C" w:rsidRPr="00EA49A9">
        <w:rPr>
          <w:lang w:val="ru-RU"/>
        </w:rPr>
        <w:t>внедрения</w:t>
      </w:r>
      <w:r w:rsidRPr="00EA49A9">
        <w:rPr>
          <w:lang w:val="ru-RU"/>
        </w:rPr>
        <w:t xml:space="preserve"> инициатив в области ИКТ в рамках задач и региональных инициатив МСЭ для Азиатско-Тихоокеанского региона, в частности </w:t>
      </w:r>
      <w:r w:rsidR="000E2A4C" w:rsidRPr="00EA49A9">
        <w:rPr>
          <w:lang w:val="ru-RU"/>
        </w:rPr>
        <w:t xml:space="preserve">существует </w:t>
      </w:r>
      <w:r w:rsidRPr="00EA49A9">
        <w:rPr>
          <w:lang w:val="ru-RU"/>
        </w:rPr>
        <w:t>необходимост</w:t>
      </w:r>
      <w:r w:rsidR="000E2A4C" w:rsidRPr="00EA49A9">
        <w:rPr>
          <w:lang w:val="ru-RU"/>
        </w:rPr>
        <w:t>ь</w:t>
      </w:r>
      <w:r w:rsidRPr="00EA49A9">
        <w:rPr>
          <w:lang w:val="ru-RU"/>
        </w:rPr>
        <w:t xml:space="preserve"> сконцентрироваться на помощи Южно-Азиатскому </w:t>
      </w:r>
      <w:proofErr w:type="spellStart"/>
      <w:r w:rsidRPr="00EA49A9">
        <w:rPr>
          <w:lang w:val="ru-RU"/>
        </w:rPr>
        <w:t>субрегиону</w:t>
      </w:r>
      <w:proofErr w:type="spellEnd"/>
      <w:r w:rsidRPr="00EA49A9">
        <w:rPr>
          <w:lang w:val="ru-RU"/>
        </w:rPr>
        <w:t xml:space="preserve"> и странам </w:t>
      </w:r>
      <w:proofErr w:type="spellStart"/>
      <w:r w:rsidRPr="00EA49A9">
        <w:rPr>
          <w:lang w:val="ru-RU"/>
        </w:rPr>
        <w:t>КЛМВ</w:t>
      </w:r>
      <w:proofErr w:type="spellEnd"/>
      <w:r w:rsidRPr="00EA49A9">
        <w:rPr>
          <w:lang w:val="ru-RU"/>
        </w:rPr>
        <w:t xml:space="preserve"> с учетом интересов ряда других развивающихся стран. Как предполагается, Южно-Азиатский регион привнесет существенную часть новых </w:t>
      </w:r>
      <w:r w:rsidR="000E2A4C" w:rsidRPr="00EA49A9">
        <w:rPr>
          <w:lang w:val="ru-RU"/>
        </w:rPr>
        <w:t>подвижных и интернет-</w:t>
      </w:r>
      <w:r w:rsidRPr="00EA49A9">
        <w:rPr>
          <w:lang w:val="ru-RU"/>
        </w:rPr>
        <w:t>соединений</w:t>
      </w:r>
      <w:r w:rsidR="000E2A4C" w:rsidRPr="00EA49A9">
        <w:rPr>
          <w:lang w:val="ru-RU"/>
        </w:rPr>
        <w:t>,</w:t>
      </w:r>
      <w:r w:rsidRPr="00EA49A9">
        <w:rPr>
          <w:lang w:val="ru-RU"/>
        </w:rPr>
        <w:t xml:space="preserve"> </w:t>
      </w:r>
      <w:r w:rsidR="000E2A4C" w:rsidRPr="00EA49A9">
        <w:rPr>
          <w:lang w:val="ru-RU"/>
        </w:rPr>
        <w:t>и он уже обеспечивает более 1,5 млрд. подвижных соединений, что составляет значительную долю мировой экосистемы ИКТ.</w:t>
      </w:r>
    </w:p>
    <w:p w:rsidR="005A301A" w:rsidRPr="00EA49A9" w:rsidRDefault="005A301A" w:rsidP="009D53AA">
      <w:pPr>
        <w:rPr>
          <w:lang w:val="ru-RU"/>
        </w:rPr>
      </w:pPr>
      <w:r w:rsidRPr="00EA49A9">
        <w:rPr>
          <w:lang w:val="ru-RU"/>
        </w:rPr>
        <w:t>1.8</w:t>
      </w:r>
      <w:r w:rsidRPr="00EA49A9">
        <w:rPr>
          <w:lang w:val="ru-RU"/>
        </w:rPr>
        <w:tab/>
      </w:r>
      <w:r w:rsidR="000E2A4C" w:rsidRPr="00EA49A9">
        <w:rPr>
          <w:lang w:val="ru-RU"/>
        </w:rPr>
        <w:t xml:space="preserve">Зарождающиеся </w:t>
      </w:r>
      <w:r w:rsidRPr="00EA49A9">
        <w:rPr>
          <w:lang w:val="ru-RU"/>
        </w:rPr>
        <w:t>в регионе</w:t>
      </w:r>
      <w:r w:rsidR="000E2A4C" w:rsidRPr="00EA49A9">
        <w:rPr>
          <w:lang w:val="ru-RU"/>
        </w:rPr>
        <w:t xml:space="preserve"> цифровые решения</w:t>
      </w:r>
      <w:r w:rsidR="001D2DAF" w:rsidRPr="00EA49A9">
        <w:rPr>
          <w:lang w:val="ru-RU"/>
        </w:rPr>
        <w:t>, инновации и инициативы</w:t>
      </w:r>
      <w:r w:rsidRPr="00EA49A9">
        <w:rPr>
          <w:lang w:val="ru-RU"/>
        </w:rPr>
        <w:t xml:space="preserve"> имеют </w:t>
      </w:r>
      <w:r w:rsidR="000E2A4C" w:rsidRPr="00EA49A9">
        <w:rPr>
          <w:lang w:val="ru-RU"/>
        </w:rPr>
        <w:t xml:space="preserve">важное </w:t>
      </w:r>
      <w:r w:rsidRPr="00EA49A9">
        <w:rPr>
          <w:lang w:val="ru-RU"/>
        </w:rPr>
        <w:t xml:space="preserve">значение для развивающихся стран с их стремлением к решению вопросов и социально-экономических проблем </w:t>
      </w:r>
      <w:r w:rsidR="000E2A4C" w:rsidRPr="00EA49A9">
        <w:rPr>
          <w:lang w:val="ru-RU"/>
        </w:rPr>
        <w:t>в рамках обеспечения достижения ЦУР</w:t>
      </w:r>
      <w:r w:rsidRPr="00EA49A9">
        <w:rPr>
          <w:lang w:val="ru-RU"/>
        </w:rPr>
        <w:t>. Индия как один из центров ИКТ, программных приложений и инновационных решений обеспечивает потенциальную возможность сотрудничества с МСЭ в</w:t>
      </w:r>
      <w:r w:rsidR="004B4DA4" w:rsidRPr="00EA49A9">
        <w:rPr>
          <w:lang w:val="ru-RU"/>
        </w:rPr>
        <w:t> </w:t>
      </w:r>
      <w:r w:rsidRPr="00EA49A9">
        <w:rPr>
          <w:lang w:val="ru-RU"/>
        </w:rPr>
        <w:t>качестве партнера по разработке решений, актуальных для</w:t>
      </w:r>
      <w:r w:rsidR="001D2DAF" w:rsidRPr="00EA49A9">
        <w:rPr>
          <w:lang w:val="ru-RU"/>
        </w:rPr>
        <w:t xml:space="preserve"> </w:t>
      </w:r>
      <w:r w:rsidRPr="00EA49A9">
        <w:rPr>
          <w:lang w:val="ru-RU"/>
        </w:rPr>
        <w:t xml:space="preserve">развивающихся стран. </w:t>
      </w:r>
    </w:p>
    <w:p w:rsidR="00833F2D" w:rsidRPr="00EA49A9" w:rsidRDefault="005A301A" w:rsidP="009D53AA">
      <w:pPr>
        <w:rPr>
          <w:lang w:val="ru-RU"/>
        </w:rPr>
      </w:pPr>
      <w:r w:rsidRPr="00EA49A9">
        <w:rPr>
          <w:lang w:val="ru-RU"/>
        </w:rPr>
        <w:t>1.9</w:t>
      </w:r>
      <w:r w:rsidRPr="00EA49A9">
        <w:rPr>
          <w:lang w:val="ru-RU"/>
        </w:rPr>
        <w:tab/>
        <w:t xml:space="preserve">На этом фоне и в этом контексте </w:t>
      </w:r>
      <w:r w:rsidRPr="00EA49A9">
        <w:rPr>
          <w:b/>
          <w:bCs/>
          <w:lang w:val="ru-RU"/>
        </w:rPr>
        <w:t xml:space="preserve">Индия предлагает создать зональное отделение МСЭ в Индии в качестве платформы сотрудничества для обмена идеями, историями успеха, инновационными решениями и </w:t>
      </w:r>
      <w:r w:rsidR="004B4DA4" w:rsidRPr="00EA49A9">
        <w:rPr>
          <w:b/>
          <w:bCs/>
          <w:lang w:val="ru-RU"/>
        </w:rPr>
        <w:t xml:space="preserve">опытом </w:t>
      </w:r>
      <w:r w:rsidRPr="00EA49A9">
        <w:rPr>
          <w:b/>
          <w:bCs/>
          <w:lang w:val="ru-RU"/>
        </w:rPr>
        <w:t>глобальны</w:t>
      </w:r>
      <w:r w:rsidR="004B4DA4" w:rsidRPr="00EA49A9">
        <w:rPr>
          <w:b/>
          <w:bCs/>
          <w:lang w:val="ru-RU"/>
        </w:rPr>
        <w:t>х</w:t>
      </w:r>
      <w:r w:rsidRPr="00EA49A9">
        <w:rPr>
          <w:b/>
          <w:bCs/>
          <w:lang w:val="ru-RU"/>
        </w:rPr>
        <w:t xml:space="preserve"> усили</w:t>
      </w:r>
      <w:r w:rsidR="004B4DA4" w:rsidRPr="00EA49A9">
        <w:rPr>
          <w:b/>
          <w:bCs/>
          <w:lang w:val="ru-RU"/>
        </w:rPr>
        <w:t>й</w:t>
      </w:r>
      <w:r w:rsidRPr="00EA49A9">
        <w:rPr>
          <w:b/>
          <w:bCs/>
          <w:lang w:val="ru-RU"/>
        </w:rPr>
        <w:t xml:space="preserve"> в целях обеспечения всеобъемлющего и устойчивого развития с использованием комплексного подхода</w:t>
      </w:r>
      <w:r w:rsidRPr="00EA49A9">
        <w:rPr>
          <w:lang w:val="ru-RU"/>
        </w:rPr>
        <w:t>.</w:t>
      </w:r>
    </w:p>
    <w:p w:rsidR="00833F2D" w:rsidRPr="00EA49A9" w:rsidRDefault="00833F2D" w:rsidP="009D53AA">
      <w:pPr>
        <w:pStyle w:val="Heading1"/>
        <w:rPr>
          <w:lang w:val="ru-RU"/>
        </w:rPr>
      </w:pPr>
      <w:r w:rsidRPr="00EA49A9">
        <w:rPr>
          <w:lang w:val="ru-RU"/>
        </w:rPr>
        <w:lastRenderedPageBreak/>
        <w:t>2</w:t>
      </w:r>
      <w:r w:rsidRPr="00EA49A9">
        <w:rPr>
          <w:lang w:val="ru-RU"/>
        </w:rPr>
        <w:tab/>
      </w:r>
      <w:r w:rsidR="004C7263" w:rsidRPr="00EA49A9">
        <w:rPr>
          <w:lang w:val="ru-RU"/>
        </w:rPr>
        <w:t>Возможность расширения взаимодействия между МСЭ и индийскими инновациями</w:t>
      </w:r>
    </w:p>
    <w:p w:rsidR="00833F2D" w:rsidRPr="00EA49A9" w:rsidRDefault="00833F2D" w:rsidP="009D53AA">
      <w:pPr>
        <w:pStyle w:val="Heading2"/>
        <w:rPr>
          <w:bCs/>
          <w:lang w:val="ru-RU"/>
        </w:rPr>
      </w:pPr>
      <w:r w:rsidRPr="00EA49A9">
        <w:rPr>
          <w:bCs/>
          <w:lang w:val="ru-RU"/>
        </w:rPr>
        <w:t>2.1</w:t>
      </w:r>
      <w:r w:rsidRPr="00EA49A9">
        <w:rPr>
          <w:bCs/>
          <w:lang w:val="ru-RU"/>
        </w:rPr>
        <w:tab/>
      </w:r>
      <w:r w:rsidR="004C7263" w:rsidRPr="00EA49A9">
        <w:rPr>
          <w:lang w:val="ru-RU"/>
        </w:rPr>
        <w:t>Отрасль ИКТ в Индии</w:t>
      </w:r>
      <w:r w:rsidR="004C7263" w:rsidRPr="00EA49A9">
        <w:rPr>
          <w:rStyle w:val="FootnoteReference"/>
          <w:b w:val="0"/>
          <w:bCs/>
          <w:lang w:val="ru-RU"/>
        </w:rPr>
        <w:footnoteReference w:id="4"/>
      </w:r>
    </w:p>
    <w:p w:rsidR="00833F2D" w:rsidRPr="00EA49A9" w:rsidRDefault="004C7263" w:rsidP="009D53AA">
      <w:pPr>
        <w:rPr>
          <w:lang w:val="ru-RU"/>
        </w:rPr>
      </w:pPr>
      <w:r w:rsidRPr="00EA49A9">
        <w:rPr>
          <w:lang w:val="ru-RU"/>
        </w:rPr>
        <w:t>Основные составляющие программы "Цифровая Индия", а именно магистрали широкополосной связи, всеобщий доступ к подвижным соединениям и программа обеспечения всеобщего доступа к интернету, призваны обеспечить крайне необходимый стимул и возможность преобразований для предпринимательства в целях реализации повестки дня "ИКТ в интересах развития" и "Охват цифровыми технологиями". Воздействие широкополосной связи ощущается и проявляется в каждом аспекте социально-экономической жизни и развития. По оценкам, доля интернет-приложений в ВНП Индии в 2015</w:t>
      </w:r>
      <w:r w:rsidR="009D53AA" w:rsidRPr="00EA49A9">
        <w:rPr>
          <w:lang w:val="ru-RU"/>
        </w:rPr>
        <w:t>−</w:t>
      </w:r>
      <w:r w:rsidRPr="00EA49A9">
        <w:rPr>
          <w:lang w:val="ru-RU"/>
        </w:rPr>
        <w:t>2016 годах составила как минимум 20,4 млрд. долл</w:t>
      </w:r>
      <w:r w:rsidR="001D2DAF" w:rsidRPr="00EA49A9">
        <w:rPr>
          <w:lang w:val="ru-RU"/>
        </w:rPr>
        <w:t>.</w:t>
      </w:r>
      <w:r w:rsidRPr="00EA49A9">
        <w:rPr>
          <w:lang w:val="ru-RU"/>
        </w:rPr>
        <w:t xml:space="preserve"> США, а к 2020 году этот показатель может вырасти до 271</w:t>
      </w:r>
      <w:r w:rsidR="00362ECF" w:rsidRPr="00EA49A9">
        <w:rPr>
          <w:lang w:val="ru-RU"/>
        </w:rPr>
        <w:t> </w:t>
      </w:r>
      <w:r w:rsidRPr="00EA49A9">
        <w:rPr>
          <w:lang w:val="ru-RU"/>
        </w:rPr>
        <w:t xml:space="preserve">млрд. </w:t>
      </w:r>
      <w:r w:rsidR="001D2DAF" w:rsidRPr="00EA49A9">
        <w:rPr>
          <w:lang w:val="ru-RU"/>
        </w:rPr>
        <w:t>долл.</w:t>
      </w:r>
      <w:r w:rsidRPr="00EA49A9">
        <w:rPr>
          <w:lang w:val="ru-RU"/>
        </w:rPr>
        <w:t xml:space="preserve"> США.</w:t>
      </w:r>
    </w:p>
    <w:p w:rsidR="00833F2D" w:rsidRPr="00EA49A9" w:rsidRDefault="00362ECF" w:rsidP="00362ECF">
      <w:pPr>
        <w:jc w:val="center"/>
        <w:rPr>
          <w:lang w:val="ru-RU"/>
        </w:rPr>
      </w:pPr>
      <w:r w:rsidRPr="00EA49A9">
        <w:rPr>
          <w:rFonts w:asciiTheme="minorHAnsi" w:hAnsiTheme="minorHAnsi"/>
          <w:szCs w:val="22"/>
          <w:lang w:val="ru-RU" w:eastAsia="zh-CN"/>
        </w:rPr>
        <w:drawing>
          <wp:inline distT="0" distB="0" distL="0" distR="0">
            <wp:extent cx="5000625" cy="22347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08"/>
                    <a:stretch/>
                  </pic:blipFill>
                  <pic:spPr bwMode="auto">
                    <a:xfrm>
                      <a:off x="0" y="0"/>
                      <a:ext cx="5000625" cy="2234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ECF" w:rsidRPr="00EA49A9" w:rsidRDefault="00362ECF" w:rsidP="009D53AA">
      <w:pPr>
        <w:rPr>
          <w:lang w:val="ru-RU"/>
        </w:rPr>
      </w:pPr>
      <w:r w:rsidRPr="00EA49A9">
        <w:rPr>
          <w:lang w:val="ru-RU"/>
        </w:rPr>
        <w:t>По прогнозам, каждый пользователь приложений в Индии будет получать потребительский излишек на уровне в среднем 249 долл. США в год, что составит 74 долл. США из расчета на душу населения</w:t>
      </w:r>
      <w:r w:rsidRPr="00EA49A9">
        <w:rPr>
          <w:rStyle w:val="FootnoteReference"/>
          <w:lang w:val="ru-RU"/>
        </w:rPr>
        <w:footnoteReference w:id="5"/>
      </w:r>
      <w:r w:rsidRPr="00EA49A9">
        <w:rPr>
          <w:lang w:val="ru-RU"/>
        </w:rPr>
        <w:t>.</w:t>
      </w:r>
    </w:p>
    <w:p w:rsidR="00833F2D" w:rsidRPr="00EA49A9" w:rsidRDefault="00362ECF" w:rsidP="009D53AA">
      <w:pPr>
        <w:rPr>
          <w:color w:val="000000" w:themeColor="text1"/>
          <w:lang w:val="ru-RU" w:eastAsia="en-IN"/>
        </w:rPr>
      </w:pPr>
      <w:r w:rsidRPr="00EA49A9">
        <w:rPr>
          <w:lang w:val="ru-RU"/>
        </w:rPr>
        <w:t xml:space="preserve">К другим положительным факторам в истории роста </w:t>
      </w:r>
      <w:r w:rsidR="00AA48B0" w:rsidRPr="00EA49A9">
        <w:rPr>
          <w:lang w:val="ru-RU"/>
        </w:rPr>
        <w:t>сектора электросвязи</w:t>
      </w:r>
      <w:r w:rsidRPr="00EA49A9">
        <w:rPr>
          <w:lang w:val="ru-RU"/>
        </w:rPr>
        <w:t xml:space="preserve"> относятся существенное снижение цен на смартфоны, особенно на смартфоны 4G начального уровня, экспоненциальный рост уровня потребления данных от 561 млн. </w:t>
      </w:r>
      <w:r w:rsidR="001D2DAF" w:rsidRPr="00EA49A9">
        <w:rPr>
          <w:lang w:val="ru-RU"/>
        </w:rPr>
        <w:t>гигабайтов</w:t>
      </w:r>
      <w:r w:rsidRPr="00EA49A9">
        <w:rPr>
          <w:lang w:val="ru-RU"/>
        </w:rPr>
        <w:t xml:space="preserve"> в первом квартале 2016</w:t>
      </w:r>
      <w:r w:rsidR="009D53AA" w:rsidRPr="00EA49A9">
        <w:rPr>
          <w:lang w:val="ru-RU"/>
        </w:rPr>
        <w:t>−</w:t>
      </w:r>
      <w:r w:rsidRPr="00EA49A9">
        <w:rPr>
          <w:lang w:val="ru-RU"/>
        </w:rPr>
        <w:t xml:space="preserve">2017 финансового года до 3574 млн. </w:t>
      </w:r>
      <w:r w:rsidR="001D2DAF" w:rsidRPr="00EA49A9">
        <w:rPr>
          <w:lang w:val="ru-RU"/>
        </w:rPr>
        <w:t>гигабайтов</w:t>
      </w:r>
      <w:r w:rsidRPr="00EA49A9">
        <w:rPr>
          <w:lang w:val="ru-RU"/>
        </w:rPr>
        <w:t xml:space="preserve"> в четвертом квартале того же года, рост транзакций в рамках мобильного банкинга по показателям объема и суммы транзакций, рост плотности телефонной связи и рост числа абонентов.</w:t>
      </w:r>
    </w:p>
    <w:p w:rsidR="00833F2D" w:rsidRPr="00EA49A9" w:rsidRDefault="00833F2D" w:rsidP="009D53AA">
      <w:pPr>
        <w:pStyle w:val="Heading2"/>
        <w:rPr>
          <w:bCs/>
          <w:lang w:val="ru-RU"/>
        </w:rPr>
      </w:pPr>
      <w:r w:rsidRPr="00EA49A9">
        <w:rPr>
          <w:bCs/>
          <w:lang w:val="ru-RU"/>
        </w:rPr>
        <w:t>2.2</w:t>
      </w:r>
      <w:r w:rsidRPr="00EA49A9">
        <w:rPr>
          <w:bCs/>
          <w:lang w:val="ru-RU"/>
        </w:rPr>
        <w:tab/>
      </w:r>
      <w:r w:rsidR="00362ECF" w:rsidRPr="00EA49A9">
        <w:rPr>
          <w:lang w:val="ru-RU"/>
        </w:rPr>
        <w:t>Индия и крупномасштабные программы ИКТ</w:t>
      </w:r>
    </w:p>
    <w:p w:rsidR="00833F2D" w:rsidRPr="00EA49A9" w:rsidRDefault="00362ECF" w:rsidP="009D53AA">
      <w:pPr>
        <w:rPr>
          <w:color w:val="000000" w:themeColor="text1"/>
          <w:lang w:val="ru-RU"/>
        </w:rPr>
      </w:pPr>
      <w:r w:rsidRPr="00EA49A9">
        <w:rPr>
          <w:lang w:val="ru-RU"/>
        </w:rPr>
        <w:t xml:space="preserve">Учитывая важную роль ИКТ в качестве фактора, содействующего выполнению задач в области развития и экономики, основанной на знаниях, правительство Индии приступило к крупномасштабному внедрению ИКТ в национальные программы в целях охвата всей территории страны, несмотря на проблемы, связанные с разнообразием </w:t>
      </w:r>
      <w:r w:rsidR="001D2DAF" w:rsidRPr="00EA49A9">
        <w:rPr>
          <w:lang w:val="ru-RU"/>
        </w:rPr>
        <w:t xml:space="preserve">ее </w:t>
      </w:r>
      <w:r w:rsidRPr="00EA49A9">
        <w:rPr>
          <w:lang w:val="ru-RU"/>
        </w:rPr>
        <w:t xml:space="preserve">географических условий, языков и возможностей доступа. </w:t>
      </w:r>
    </w:p>
    <w:tbl>
      <w:tblPr>
        <w:tblStyle w:val="TableGrid"/>
        <w:tblW w:w="8730" w:type="dxa"/>
        <w:tblInd w:w="558" w:type="dxa"/>
        <w:tblLook w:val="04A0" w:firstRow="1" w:lastRow="0" w:firstColumn="1" w:lastColumn="0" w:noHBand="0" w:noVBand="1"/>
      </w:tblPr>
      <w:tblGrid>
        <w:gridCol w:w="4860"/>
        <w:gridCol w:w="3870"/>
      </w:tblGrid>
      <w:tr w:rsidR="00833F2D" w:rsidRPr="00EA49A9" w:rsidTr="001823EB">
        <w:tc>
          <w:tcPr>
            <w:tcW w:w="4860" w:type="dxa"/>
          </w:tcPr>
          <w:p w:rsidR="00833F2D" w:rsidRPr="00EA49A9" w:rsidRDefault="00362ECF" w:rsidP="00B45E01">
            <w:pPr>
              <w:pStyle w:val="Tablehead"/>
              <w:rPr>
                <w:lang w:val="ru-RU"/>
              </w:rPr>
            </w:pPr>
            <w:r w:rsidRPr="00EA49A9">
              <w:rPr>
                <w:lang w:val="ru-RU"/>
              </w:rPr>
              <w:lastRenderedPageBreak/>
              <w:t>Национальные программы</w:t>
            </w:r>
          </w:p>
        </w:tc>
        <w:tc>
          <w:tcPr>
            <w:tcW w:w="3870" w:type="dxa"/>
          </w:tcPr>
          <w:p w:rsidR="00833F2D" w:rsidRPr="00EA49A9" w:rsidRDefault="00362ECF" w:rsidP="00B45E01">
            <w:pPr>
              <w:pStyle w:val="Tablehead"/>
              <w:rPr>
                <w:lang w:val="ru-RU"/>
              </w:rPr>
            </w:pPr>
            <w:r w:rsidRPr="00EA49A9">
              <w:rPr>
                <w:lang w:val="ru-RU"/>
              </w:rPr>
              <w:t>Охват</w:t>
            </w:r>
          </w:p>
        </w:tc>
      </w:tr>
      <w:tr w:rsidR="00833F2D" w:rsidRPr="00EA49A9" w:rsidTr="001823EB">
        <w:tc>
          <w:tcPr>
            <w:tcW w:w="4860" w:type="dxa"/>
          </w:tcPr>
          <w:p w:rsidR="00833F2D" w:rsidRPr="00EA49A9" w:rsidRDefault="00362ECF" w:rsidP="00BA34BD">
            <w:pPr>
              <w:spacing w:before="0"/>
              <w:rPr>
                <w:color w:val="0070C0"/>
                <w:sz w:val="20"/>
                <w:szCs w:val="20"/>
                <w:lang w:val="ru-RU"/>
              </w:rPr>
            </w:pPr>
            <w:r w:rsidRPr="00EA49A9">
              <w:rPr>
                <w:color w:val="000000" w:themeColor="text1"/>
                <w:sz w:val="20"/>
                <w:szCs w:val="20"/>
                <w:lang w:val="ru-RU"/>
              </w:rPr>
              <w:t>Национальная волоконная</w:t>
            </w:r>
            <w:r w:rsidR="00BA34BD" w:rsidRPr="00EA49A9">
              <w:rPr>
                <w:color w:val="000000" w:themeColor="text1"/>
                <w:sz w:val="20"/>
                <w:szCs w:val="20"/>
                <w:lang w:val="ru-RU"/>
              </w:rPr>
              <w:t xml:space="preserve">-оптическая </w:t>
            </w:r>
            <w:r w:rsidRPr="00EA49A9">
              <w:rPr>
                <w:color w:val="000000" w:themeColor="text1"/>
                <w:sz w:val="20"/>
                <w:szCs w:val="20"/>
                <w:lang w:val="ru-RU"/>
              </w:rPr>
              <w:t>сеть</w:t>
            </w:r>
            <w:r w:rsidR="00833F2D" w:rsidRPr="00EA49A9">
              <w:rPr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833F2D" w:rsidRPr="00EA49A9">
              <w:rPr>
                <w:color w:val="000000" w:themeColor="text1"/>
                <w:sz w:val="20"/>
                <w:szCs w:val="20"/>
                <w:lang w:val="ru-RU"/>
              </w:rPr>
              <w:t>BharatNet</w:t>
            </w:r>
            <w:proofErr w:type="spellEnd"/>
            <w:r w:rsidR="00833F2D" w:rsidRPr="00EA49A9">
              <w:rPr>
                <w:color w:val="000000" w:themeColor="text1"/>
                <w:sz w:val="20"/>
                <w:szCs w:val="20"/>
                <w:lang w:val="ru-RU"/>
              </w:rPr>
              <w:t>)</w:t>
            </w:r>
            <w:r w:rsidR="00833F2D" w:rsidRPr="00EA49A9">
              <w:rPr>
                <w:rStyle w:val="FootnoteReference"/>
                <w:lang w:val="ru-RU"/>
              </w:rPr>
              <w:footnoteReference w:id="6"/>
            </w:r>
          </w:p>
        </w:tc>
        <w:tc>
          <w:tcPr>
            <w:tcW w:w="3870" w:type="dxa"/>
          </w:tcPr>
          <w:p w:rsidR="00833F2D" w:rsidRPr="00EA49A9" w:rsidRDefault="00362ECF" w:rsidP="00362ECF">
            <w:pPr>
              <w:spacing w:before="0"/>
              <w:rPr>
                <w:color w:val="0070C0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Волоконно-оптическое соединение для 250</w:t>
            </w:r>
            <w:r w:rsidRPr="00EA49A9">
              <w:rPr>
                <w:rFonts w:asciiTheme="minorHAnsi" w:hAnsiTheme="minorHAnsi"/>
                <w:b/>
                <w:color w:val="000000"/>
                <w:sz w:val="20"/>
                <w:szCs w:val="20"/>
                <w:lang w:val="ru-RU"/>
              </w:rPr>
              <w:t> </w:t>
            </w:r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000 групп деревень (около 600 000 деревень)</w:t>
            </w:r>
          </w:p>
        </w:tc>
      </w:tr>
      <w:tr w:rsidR="00833F2D" w:rsidRPr="00EA49A9" w:rsidTr="001823EB">
        <w:tc>
          <w:tcPr>
            <w:tcW w:w="4860" w:type="dxa"/>
          </w:tcPr>
          <w:p w:rsidR="00833F2D" w:rsidRPr="00EA49A9" w:rsidRDefault="00362ECF" w:rsidP="00833F2D">
            <w:pPr>
              <w:spacing w:before="0"/>
              <w:rPr>
                <w:color w:val="000000" w:themeColor="text1"/>
                <w:sz w:val="20"/>
                <w:szCs w:val="20"/>
                <w:lang w:val="ru-RU"/>
              </w:rPr>
            </w:pPr>
            <w:r w:rsidRPr="00EA49A9">
              <w:rPr>
                <w:color w:val="000000" w:themeColor="text1"/>
                <w:sz w:val="20"/>
                <w:szCs w:val="20"/>
                <w:lang w:val="ru-RU"/>
              </w:rPr>
              <w:t>Участие в программах цифровой идентичности</w:t>
            </w:r>
            <w:r w:rsidR="00833F2D" w:rsidRPr="00EA49A9">
              <w:rPr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833F2D" w:rsidRPr="00EA49A9">
              <w:rPr>
                <w:color w:val="000000" w:themeColor="text1"/>
                <w:sz w:val="20"/>
                <w:szCs w:val="20"/>
                <w:lang w:val="ru-RU"/>
              </w:rPr>
              <w:t>Aadhaar</w:t>
            </w:r>
            <w:proofErr w:type="spellEnd"/>
            <w:r w:rsidR="00833F2D" w:rsidRPr="00EA49A9">
              <w:rPr>
                <w:color w:val="000000" w:themeColor="text1"/>
                <w:sz w:val="20"/>
                <w:szCs w:val="20"/>
                <w:lang w:val="ru-RU"/>
              </w:rPr>
              <w:t>)</w:t>
            </w:r>
            <w:r w:rsidR="00833F2D" w:rsidRPr="00EA49A9">
              <w:rPr>
                <w:rStyle w:val="FootnoteReference"/>
                <w:lang w:val="ru-RU"/>
              </w:rPr>
              <w:footnoteReference w:id="7"/>
            </w:r>
          </w:p>
        </w:tc>
        <w:tc>
          <w:tcPr>
            <w:tcW w:w="3870" w:type="dxa"/>
          </w:tcPr>
          <w:p w:rsidR="00833F2D" w:rsidRPr="00EA49A9" w:rsidRDefault="00833F2D" w:rsidP="00833F2D">
            <w:pPr>
              <w:spacing w:before="0"/>
              <w:rPr>
                <w:color w:val="0070C0"/>
                <w:sz w:val="20"/>
                <w:szCs w:val="20"/>
                <w:lang w:val="ru-RU"/>
              </w:rPr>
            </w:pPr>
          </w:p>
        </w:tc>
      </w:tr>
      <w:tr w:rsidR="00833F2D" w:rsidRPr="00EA49A9" w:rsidTr="001823EB">
        <w:tc>
          <w:tcPr>
            <w:tcW w:w="4860" w:type="dxa"/>
          </w:tcPr>
          <w:p w:rsidR="00833F2D" w:rsidRPr="00EA49A9" w:rsidRDefault="00362ECF" w:rsidP="00833F2D">
            <w:pPr>
              <w:spacing w:before="0"/>
              <w:rPr>
                <w:color w:val="0070C0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 xml:space="preserve">Общее число охваченных программой </w:t>
            </w:r>
            <w:proofErr w:type="spellStart"/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Aadhaar</w:t>
            </w:r>
            <w:proofErr w:type="spellEnd"/>
          </w:p>
        </w:tc>
        <w:tc>
          <w:tcPr>
            <w:tcW w:w="3870" w:type="dxa"/>
          </w:tcPr>
          <w:p w:rsidR="00833F2D" w:rsidRPr="00EA49A9" w:rsidRDefault="00833F2D" w:rsidP="00362ECF">
            <w:pPr>
              <w:spacing w:before="0"/>
              <w:rPr>
                <w:color w:val="0070C0"/>
                <w:sz w:val="20"/>
                <w:szCs w:val="20"/>
                <w:lang w:val="ru-RU"/>
              </w:rPr>
            </w:pPr>
            <w:r w:rsidRPr="00EA49A9">
              <w:rPr>
                <w:color w:val="000000" w:themeColor="text1"/>
                <w:sz w:val="20"/>
                <w:szCs w:val="20"/>
                <w:lang w:val="ru-RU"/>
              </w:rPr>
              <w:t>1</w:t>
            </w:r>
            <w:r w:rsidR="00362ECF" w:rsidRPr="00EA49A9">
              <w:rPr>
                <w:color w:val="000000" w:themeColor="text1"/>
                <w:sz w:val="20"/>
                <w:szCs w:val="20"/>
                <w:lang w:val="ru-RU"/>
              </w:rPr>
              <w:t> </w:t>
            </w:r>
            <w:r w:rsidRPr="00EA49A9">
              <w:rPr>
                <w:color w:val="000000" w:themeColor="text1"/>
                <w:sz w:val="20"/>
                <w:szCs w:val="20"/>
                <w:lang w:val="ru-RU"/>
              </w:rPr>
              <w:t>204</w:t>
            </w:r>
            <w:r w:rsidR="00362ECF" w:rsidRPr="00EA49A9">
              <w:rPr>
                <w:color w:val="000000" w:themeColor="text1"/>
                <w:sz w:val="20"/>
                <w:szCs w:val="20"/>
                <w:lang w:val="ru-RU"/>
              </w:rPr>
              <w:t> </w:t>
            </w:r>
            <w:r w:rsidRPr="00EA49A9">
              <w:rPr>
                <w:color w:val="000000" w:themeColor="text1"/>
                <w:sz w:val="20"/>
                <w:szCs w:val="20"/>
                <w:lang w:val="ru-RU"/>
              </w:rPr>
              <w:t>566</w:t>
            </w:r>
            <w:r w:rsidR="00362ECF" w:rsidRPr="00EA49A9">
              <w:rPr>
                <w:color w:val="000000" w:themeColor="text1"/>
                <w:sz w:val="20"/>
                <w:szCs w:val="20"/>
                <w:lang w:val="ru-RU"/>
              </w:rPr>
              <w:t> </w:t>
            </w:r>
            <w:r w:rsidRPr="00EA49A9">
              <w:rPr>
                <w:color w:val="000000" w:themeColor="text1"/>
                <w:sz w:val="20"/>
                <w:szCs w:val="20"/>
                <w:lang w:val="ru-RU"/>
              </w:rPr>
              <w:t>153</w:t>
            </w:r>
          </w:p>
        </w:tc>
      </w:tr>
      <w:tr w:rsidR="00833F2D" w:rsidRPr="00EA49A9" w:rsidTr="001823EB">
        <w:tc>
          <w:tcPr>
            <w:tcW w:w="4860" w:type="dxa"/>
          </w:tcPr>
          <w:p w:rsidR="00833F2D" w:rsidRPr="00EA49A9" w:rsidRDefault="00362ECF" w:rsidP="00833F2D">
            <w:pPr>
              <w:spacing w:before="0"/>
              <w:rPr>
                <w:color w:val="0070C0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 xml:space="preserve">Общее число транзакций </w:t>
            </w:r>
            <w:proofErr w:type="spellStart"/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Aadhaar</w:t>
            </w:r>
            <w:proofErr w:type="spellEnd"/>
          </w:p>
        </w:tc>
        <w:tc>
          <w:tcPr>
            <w:tcW w:w="3870" w:type="dxa"/>
          </w:tcPr>
          <w:p w:rsidR="00833F2D" w:rsidRPr="00EA49A9" w:rsidRDefault="00833F2D" w:rsidP="00362ECF">
            <w:pPr>
              <w:spacing w:before="0"/>
              <w:rPr>
                <w:color w:val="0070C0"/>
                <w:sz w:val="20"/>
                <w:szCs w:val="20"/>
                <w:lang w:val="ru-RU"/>
              </w:rPr>
            </w:pPr>
            <w:r w:rsidRPr="00EA49A9">
              <w:rPr>
                <w:color w:val="000000" w:themeColor="text1"/>
                <w:sz w:val="20"/>
                <w:szCs w:val="20"/>
                <w:lang w:val="ru-RU"/>
              </w:rPr>
              <w:t>17</w:t>
            </w:r>
            <w:r w:rsidR="00362ECF" w:rsidRPr="00EA49A9">
              <w:rPr>
                <w:color w:val="000000" w:themeColor="text1"/>
                <w:sz w:val="20"/>
                <w:szCs w:val="20"/>
                <w:lang w:val="ru-RU"/>
              </w:rPr>
              <w:t> </w:t>
            </w:r>
            <w:r w:rsidRPr="00EA49A9">
              <w:rPr>
                <w:color w:val="000000" w:themeColor="text1"/>
                <w:sz w:val="20"/>
                <w:szCs w:val="20"/>
                <w:lang w:val="ru-RU"/>
              </w:rPr>
              <w:t>888</w:t>
            </w:r>
            <w:r w:rsidR="00362ECF" w:rsidRPr="00EA49A9">
              <w:rPr>
                <w:color w:val="000000" w:themeColor="text1"/>
                <w:sz w:val="20"/>
                <w:szCs w:val="20"/>
                <w:lang w:val="ru-RU"/>
              </w:rPr>
              <w:t> </w:t>
            </w:r>
            <w:r w:rsidRPr="00EA49A9">
              <w:rPr>
                <w:color w:val="000000" w:themeColor="text1"/>
                <w:sz w:val="20"/>
                <w:szCs w:val="20"/>
                <w:lang w:val="ru-RU"/>
              </w:rPr>
              <w:t>841</w:t>
            </w:r>
            <w:r w:rsidR="00362ECF" w:rsidRPr="00EA49A9">
              <w:rPr>
                <w:color w:val="000000" w:themeColor="text1"/>
                <w:sz w:val="20"/>
                <w:szCs w:val="20"/>
                <w:lang w:val="ru-RU"/>
              </w:rPr>
              <w:t> </w:t>
            </w:r>
            <w:r w:rsidRPr="00EA49A9">
              <w:rPr>
                <w:color w:val="000000" w:themeColor="text1"/>
                <w:sz w:val="20"/>
                <w:szCs w:val="20"/>
                <w:lang w:val="ru-RU"/>
              </w:rPr>
              <w:t>942</w:t>
            </w:r>
          </w:p>
        </w:tc>
      </w:tr>
      <w:tr w:rsidR="00833F2D" w:rsidRPr="00EA49A9" w:rsidTr="001823EB">
        <w:tc>
          <w:tcPr>
            <w:tcW w:w="4860" w:type="dxa"/>
          </w:tcPr>
          <w:p w:rsidR="00833F2D" w:rsidRPr="00EA49A9" w:rsidRDefault="00362ECF" w:rsidP="00833F2D">
            <w:pPr>
              <w:spacing w:before="0"/>
              <w:rPr>
                <w:color w:val="0070C0"/>
                <w:sz w:val="20"/>
                <w:szCs w:val="20"/>
                <w:lang w:val="ru-RU"/>
              </w:rPr>
            </w:pPr>
            <w:r w:rsidRPr="00EA49A9">
              <w:rPr>
                <w:sz w:val="20"/>
                <w:szCs w:val="20"/>
                <w:lang w:val="ru-RU"/>
              </w:rPr>
              <w:t>Охват цифровыми финансовыми услугами</w:t>
            </w:r>
            <w:r w:rsidR="00833F2D" w:rsidRPr="00EA49A9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="00833F2D" w:rsidRPr="00EA49A9">
              <w:rPr>
                <w:sz w:val="20"/>
                <w:szCs w:val="20"/>
                <w:lang w:val="ru-RU"/>
              </w:rPr>
              <w:t>Jandhan</w:t>
            </w:r>
            <w:proofErr w:type="spellEnd"/>
            <w:r w:rsidR="00833F2D" w:rsidRPr="00EA49A9">
              <w:rPr>
                <w:sz w:val="20"/>
                <w:szCs w:val="20"/>
                <w:lang w:val="ru-RU"/>
              </w:rPr>
              <w:t>)</w:t>
            </w:r>
            <w:r w:rsidR="00833F2D" w:rsidRPr="00EA49A9">
              <w:rPr>
                <w:rStyle w:val="FootnoteReference"/>
                <w:lang w:val="ru-RU"/>
              </w:rPr>
              <w:footnoteReference w:id="8"/>
            </w:r>
          </w:p>
        </w:tc>
        <w:tc>
          <w:tcPr>
            <w:tcW w:w="3870" w:type="dxa"/>
          </w:tcPr>
          <w:p w:rsidR="00833F2D" w:rsidRPr="00EA49A9" w:rsidRDefault="00833F2D" w:rsidP="00833F2D">
            <w:pPr>
              <w:spacing w:before="0"/>
              <w:rPr>
                <w:color w:val="0070C0"/>
                <w:sz w:val="20"/>
                <w:szCs w:val="20"/>
                <w:lang w:val="ru-RU"/>
              </w:rPr>
            </w:pPr>
          </w:p>
        </w:tc>
      </w:tr>
      <w:tr w:rsidR="00833F2D" w:rsidRPr="00EA49A9" w:rsidTr="001823EB">
        <w:tc>
          <w:tcPr>
            <w:tcW w:w="4860" w:type="dxa"/>
          </w:tcPr>
          <w:p w:rsidR="00833F2D" w:rsidRPr="00EA49A9" w:rsidRDefault="00362ECF" w:rsidP="00833F2D">
            <w:pPr>
              <w:spacing w:before="0"/>
              <w:rPr>
                <w:color w:val="0070C0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sz w:val="20"/>
                <w:szCs w:val="20"/>
                <w:lang w:val="ru-RU"/>
              </w:rPr>
              <w:t>Количество открытых банковских счетов</w:t>
            </w:r>
          </w:p>
        </w:tc>
        <w:tc>
          <w:tcPr>
            <w:tcW w:w="3870" w:type="dxa"/>
          </w:tcPr>
          <w:p w:rsidR="00833F2D" w:rsidRPr="00EA49A9" w:rsidRDefault="00833F2D" w:rsidP="00362ECF">
            <w:pPr>
              <w:spacing w:before="0"/>
              <w:rPr>
                <w:color w:val="0070C0"/>
                <w:sz w:val="20"/>
                <w:szCs w:val="20"/>
                <w:lang w:val="ru-RU"/>
              </w:rPr>
            </w:pPr>
            <w:r w:rsidRPr="00EA49A9">
              <w:rPr>
                <w:sz w:val="20"/>
                <w:szCs w:val="20"/>
                <w:lang w:val="ru-RU"/>
              </w:rPr>
              <w:t>313</w:t>
            </w:r>
            <w:r w:rsidR="00362ECF" w:rsidRPr="00EA49A9">
              <w:rPr>
                <w:sz w:val="20"/>
                <w:szCs w:val="20"/>
                <w:lang w:val="ru-RU"/>
              </w:rPr>
              <w:t> млн.</w:t>
            </w:r>
          </w:p>
        </w:tc>
      </w:tr>
      <w:tr w:rsidR="00833F2D" w:rsidRPr="00EA49A9" w:rsidTr="001823EB">
        <w:tc>
          <w:tcPr>
            <w:tcW w:w="4860" w:type="dxa"/>
          </w:tcPr>
          <w:p w:rsidR="00833F2D" w:rsidRPr="00EA49A9" w:rsidRDefault="00340F56" w:rsidP="00833F2D">
            <w:pPr>
              <w:spacing w:before="0"/>
              <w:rPr>
                <w:color w:val="0070C0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sz w:val="20"/>
                <w:szCs w:val="20"/>
                <w:lang w:val="ru-RU"/>
              </w:rPr>
              <w:t>Количество выданных дебетовых карт в рупиях</w:t>
            </w:r>
          </w:p>
        </w:tc>
        <w:tc>
          <w:tcPr>
            <w:tcW w:w="3870" w:type="dxa"/>
          </w:tcPr>
          <w:p w:rsidR="00833F2D" w:rsidRPr="00EA49A9" w:rsidRDefault="00833F2D" w:rsidP="00362ECF">
            <w:pPr>
              <w:spacing w:before="0"/>
              <w:rPr>
                <w:color w:val="0070C0"/>
                <w:sz w:val="20"/>
                <w:szCs w:val="20"/>
                <w:lang w:val="ru-RU"/>
              </w:rPr>
            </w:pPr>
            <w:r w:rsidRPr="00EA49A9">
              <w:rPr>
                <w:sz w:val="20"/>
                <w:szCs w:val="20"/>
                <w:lang w:val="ru-RU"/>
              </w:rPr>
              <w:t>236</w:t>
            </w:r>
            <w:r w:rsidR="00362ECF" w:rsidRPr="00EA49A9">
              <w:rPr>
                <w:sz w:val="20"/>
                <w:szCs w:val="20"/>
                <w:lang w:val="ru-RU"/>
              </w:rPr>
              <w:t> млн.</w:t>
            </w:r>
          </w:p>
        </w:tc>
      </w:tr>
      <w:tr w:rsidR="00833F2D" w:rsidRPr="00EA49A9" w:rsidTr="001823EB">
        <w:tc>
          <w:tcPr>
            <w:tcW w:w="4860" w:type="dxa"/>
          </w:tcPr>
          <w:p w:rsidR="00833F2D" w:rsidRPr="00EA49A9" w:rsidRDefault="00340F56" w:rsidP="00340F56">
            <w:pPr>
              <w:spacing w:before="0"/>
              <w:rPr>
                <w:color w:val="0070C0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sz w:val="20"/>
                <w:szCs w:val="20"/>
                <w:lang w:val="ru-RU"/>
              </w:rPr>
              <w:t>Количество женщин-бенефициаров в сельских и городских регионах</w:t>
            </w:r>
          </w:p>
        </w:tc>
        <w:tc>
          <w:tcPr>
            <w:tcW w:w="3870" w:type="dxa"/>
          </w:tcPr>
          <w:p w:rsidR="00833F2D" w:rsidRPr="00EA49A9" w:rsidRDefault="00833F2D" w:rsidP="00340F56">
            <w:pPr>
              <w:spacing w:before="0"/>
              <w:rPr>
                <w:sz w:val="20"/>
                <w:szCs w:val="20"/>
                <w:lang w:val="ru-RU"/>
              </w:rPr>
            </w:pPr>
            <w:r w:rsidRPr="00EA49A9">
              <w:rPr>
                <w:sz w:val="20"/>
                <w:szCs w:val="20"/>
                <w:lang w:val="ru-RU"/>
              </w:rPr>
              <w:t>165</w:t>
            </w:r>
            <w:r w:rsidR="00340F56" w:rsidRPr="00EA49A9">
              <w:rPr>
                <w:sz w:val="20"/>
                <w:szCs w:val="20"/>
                <w:lang w:val="ru-RU"/>
              </w:rPr>
              <w:t> млн.</w:t>
            </w:r>
          </w:p>
        </w:tc>
      </w:tr>
      <w:tr w:rsidR="00833F2D" w:rsidRPr="00EA49A9" w:rsidTr="001823EB">
        <w:tc>
          <w:tcPr>
            <w:tcW w:w="4860" w:type="dxa"/>
          </w:tcPr>
          <w:p w:rsidR="00833F2D" w:rsidRPr="00EA49A9" w:rsidRDefault="00340F56" w:rsidP="00833F2D">
            <w:pPr>
              <w:spacing w:before="0"/>
              <w:rPr>
                <w:color w:val="0070C0"/>
                <w:sz w:val="20"/>
                <w:szCs w:val="20"/>
                <w:lang w:val="ru-RU"/>
              </w:rPr>
            </w:pPr>
            <w:r w:rsidRPr="00EA49A9">
              <w:rPr>
                <w:color w:val="000000" w:themeColor="text1"/>
                <w:sz w:val="20"/>
                <w:szCs w:val="20"/>
                <w:lang w:val="ru-RU"/>
              </w:rPr>
              <w:t>Высшее образование</w:t>
            </w:r>
          </w:p>
        </w:tc>
        <w:tc>
          <w:tcPr>
            <w:tcW w:w="3870" w:type="dxa"/>
          </w:tcPr>
          <w:p w:rsidR="00833F2D" w:rsidRPr="00EA49A9" w:rsidRDefault="00833F2D" w:rsidP="00833F2D">
            <w:pPr>
              <w:spacing w:before="0"/>
              <w:rPr>
                <w:sz w:val="20"/>
                <w:szCs w:val="20"/>
                <w:lang w:val="ru-RU"/>
              </w:rPr>
            </w:pPr>
          </w:p>
        </w:tc>
      </w:tr>
      <w:tr w:rsidR="0035199A" w:rsidRPr="00EA49A9" w:rsidTr="001823EB">
        <w:tc>
          <w:tcPr>
            <w:tcW w:w="4860" w:type="dxa"/>
          </w:tcPr>
          <w:p w:rsidR="0035199A" w:rsidRPr="00EA49A9" w:rsidRDefault="0035199A" w:rsidP="001823EB">
            <w:pPr>
              <w:spacing w:before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sz w:val="20"/>
                <w:szCs w:val="20"/>
                <w:lang w:val="ru-RU"/>
              </w:rPr>
              <w:t>Количество университетов</w:t>
            </w:r>
            <w:r w:rsidRPr="00EA49A9">
              <w:rPr>
                <w:rStyle w:val="FootnoteReference"/>
                <w:lang w:val="ru-RU"/>
              </w:rPr>
              <w:footnoteReference w:id="9"/>
            </w:r>
          </w:p>
        </w:tc>
        <w:tc>
          <w:tcPr>
            <w:tcW w:w="3870" w:type="dxa"/>
          </w:tcPr>
          <w:p w:rsidR="0035199A" w:rsidRPr="00EA49A9" w:rsidRDefault="0035199A" w:rsidP="001823EB">
            <w:pPr>
              <w:spacing w:before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sz w:val="20"/>
                <w:szCs w:val="20"/>
                <w:lang w:val="ru-RU"/>
              </w:rPr>
              <w:t>677</w:t>
            </w:r>
          </w:p>
        </w:tc>
      </w:tr>
      <w:tr w:rsidR="0035199A" w:rsidRPr="00EA49A9" w:rsidTr="001823EB">
        <w:tc>
          <w:tcPr>
            <w:tcW w:w="4860" w:type="dxa"/>
          </w:tcPr>
          <w:p w:rsidR="0035199A" w:rsidRPr="00EA49A9" w:rsidRDefault="0035199A" w:rsidP="001823EB">
            <w:pPr>
              <w:spacing w:before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sz w:val="20"/>
                <w:szCs w:val="20"/>
                <w:lang w:val="ru-RU"/>
              </w:rPr>
              <w:t>Количество колледжей</w:t>
            </w:r>
          </w:p>
        </w:tc>
        <w:tc>
          <w:tcPr>
            <w:tcW w:w="3870" w:type="dxa"/>
          </w:tcPr>
          <w:p w:rsidR="0035199A" w:rsidRPr="00EA49A9" w:rsidRDefault="0035199A" w:rsidP="0035199A">
            <w:pPr>
              <w:spacing w:before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sz w:val="20"/>
                <w:szCs w:val="20"/>
                <w:lang w:val="ru-RU"/>
              </w:rPr>
              <w:t>37 204</w:t>
            </w:r>
          </w:p>
        </w:tc>
      </w:tr>
      <w:tr w:rsidR="0035199A" w:rsidRPr="00EA49A9" w:rsidTr="001823EB">
        <w:tc>
          <w:tcPr>
            <w:tcW w:w="4860" w:type="dxa"/>
          </w:tcPr>
          <w:p w:rsidR="0035199A" w:rsidRPr="00EA49A9" w:rsidRDefault="0035199A" w:rsidP="001823EB">
            <w:pPr>
              <w:spacing w:before="0"/>
              <w:rPr>
                <w:rFonts w:asciiTheme="minorHAnsi" w:hAnsiTheme="minorHAnsi"/>
                <w:color w:val="0070C0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Количество институтов, предлагающих инженерно-технологические программы</w:t>
            </w:r>
            <w:r w:rsidRPr="00EA49A9">
              <w:rPr>
                <w:rStyle w:val="FootnoteReference"/>
                <w:lang w:val="ru-RU"/>
              </w:rPr>
              <w:footnoteReference w:id="10"/>
            </w:r>
          </w:p>
        </w:tc>
        <w:tc>
          <w:tcPr>
            <w:tcW w:w="3870" w:type="dxa"/>
          </w:tcPr>
          <w:p w:rsidR="0035199A" w:rsidRPr="00EA49A9" w:rsidRDefault="0035199A" w:rsidP="0035199A">
            <w:pPr>
              <w:spacing w:before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6 472</w:t>
            </w:r>
          </w:p>
        </w:tc>
      </w:tr>
      <w:tr w:rsidR="0035199A" w:rsidRPr="00EA49A9" w:rsidTr="001823EB">
        <w:tc>
          <w:tcPr>
            <w:tcW w:w="4860" w:type="dxa"/>
          </w:tcPr>
          <w:p w:rsidR="0035199A" w:rsidRPr="00EA49A9" w:rsidRDefault="0035199A" w:rsidP="001823EB">
            <w:pPr>
              <w:spacing w:before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Общий уровень охвата</w:t>
            </w:r>
          </w:p>
        </w:tc>
        <w:tc>
          <w:tcPr>
            <w:tcW w:w="3870" w:type="dxa"/>
          </w:tcPr>
          <w:p w:rsidR="0035199A" w:rsidRPr="00EA49A9" w:rsidRDefault="0035199A" w:rsidP="001823EB">
            <w:pPr>
              <w:spacing w:before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3 млн. в год</w:t>
            </w:r>
          </w:p>
        </w:tc>
      </w:tr>
    </w:tbl>
    <w:p w:rsidR="00833F2D" w:rsidRPr="00EA49A9" w:rsidRDefault="00833F2D" w:rsidP="00B45E01">
      <w:pPr>
        <w:pStyle w:val="Heading2"/>
        <w:spacing w:after="120"/>
        <w:rPr>
          <w:bCs/>
          <w:lang w:val="ru-RU"/>
        </w:rPr>
      </w:pPr>
      <w:r w:rsidRPr="00EA49A9">
        <w:rPr>
          <w:bCs/>
          <w:lang w:val="ru-RU"/>
        </w:rPr>
        <w:t>2.3</w:t>
      </w:r>
      <w:r w:rsidRPr="00EA49A9">
        <w:rPr>
          <w:bCs/>
          <w:lang w:val="ru-RU"/>
        </w:rPr>
        <w:tab/>
      </w:r>
      <w:r w:rsidR="00A21B67" w:rsidRPr="00EA49A9">
        <w:rPr>
          <w:lang w:val="ru-RU"/>
        </w:rPr>
        <w:t>Участие людей в программах ИКТ и электронного государственного управления</w:t>
      </w:r>
    </w:p>
    <w:tbl>
      <w:tblPr>
        <w:tblStyle w:val="TableGrid"/>
        <w:tblW w:w="8730" w:type="dxa"/>
        <w:tblInd w:w="558" w:type="dxa"/>
        <w:tblLook w:val="04A0" w:firstRow="1" w:lastRow="0" w:firstColumn="1" w:lastColumn="0" w:noHBand="0" w:noVBand="1"/>
      </w:tblPr>
      <w:tblGrid>
        <w:gridCol w:w="4860"/>
        <w:gridCol w:w="3870"/>
      </w:tblGrid>
      <w:tr w:rsidR="00A21B67" w:rsidRPr="00EA49A9" w:rsidTr="001823EB">
        <w:tc>
          <w:tcPr>
            <w:tcW w:w="4860" w:type="dxa"/>
          </w:tcPr>
          <w:p w:rsidR="00A21B67" w:rsidRPr="00EA49A9" w:rsidRDefault="00A21B67" w:rsidP="001823EB">
            <w:pPr>
              <w:spacing w:before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3870" w:type="dxa"/>
          </w:tcPr>
          <w:p w:rsidR="00A21B67" w:rsidRPr="00EA49A9" w:rsidRDefault="00A21B67" w:rsidP="001823EB">
            <w:pPr>
              <w:spacing w:before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Глобальный рейтинг</w:t>
            </w:r>
          </w:p>
        </w:tc>
      </w:tr>
      <w:tr w:rsidR="00A21B67" w:rsidRPr="00EA49A9" w:rsidTr="001823EB">
        <w:tc>
          <w:tcPr>
            <w:tcW w:w="4860" w:type="dxa"/>
          </w:tcPr>
          <w:p w:rsidR="00A21B67" w:rsidRPr="00EA49A9" w:rsidRDefault="00A21B67" w:rsidP="001823EB">
            <w:pPr>
              <w:spacing w:before="0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Намеченные результаты деятельности в области знаний и технологий</w:t>
            </w:r>
            <w:r w:rsidRPr="00EA49A9">
              <w:rPr>
                <w:rStyle w:val="FootnoteReference"/>
                <w:lang w:val="ru-RU"/>
              </w:rPr>
              <w:footnoteReference w:id="11"/>
            </w:r>
          </w:p>
        </w:tc>
        <w:tc>
          <w:tcPr>
            <w:tcW w:w="3870" w:type="dxa"/>
          </w:tcPr>
          <w:p w:rsidR="00A21B67" w:rsidRPr="00EA49A9" w:rsidRDefault="00A21B67" w:rsidP="001823EB">
            <w:pPr>
              <w:spacing w:before="0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38</w:t>
            </w:r>
          </w:p>
        </w:tc>
      </w:tr>
      <w:tr w:rsidR="00A21B67" w:rsidRPr="00EA49A9" w:rsidTr="001823EB">
        <w:tc>
          <w:tcPr>
            <w:tcW w:w="4860" w:type="dxa"/>
          </w:tcPr>
          <w:p w:rsidR="00A21B67" w:rsidRPr="00EA49A9" w:rsidRDefault="00A21B67" w:rsidP="001823EB">
            <w:pPr>
              <w:spacing w:before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Увязка с инновациями</w:t>
            </w:r>
          </w:p>
        </w:tc>
        <w:tc>
          <w:tcPr>
            <w:tcW w:w="3870" w:type="dxa"/>
          </w:tcPr>
          <w:p w:rsidR="00A21B67" w:rsidRPr="00EA49A9" w:rsidRDefault="00A21B67" w:rsidP="001823EB">
            <w:pPr>
              <w:spacing w:before="0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37</w:t>
            </w:r>
          </w:p>
        </w:tc>
      </w:tr>
      <w:tr w:rsidR="00A21B67" w:rsidRPr="00EA49A9" w:rsidTr="001823EB">
        <w:tc>
          <w:tcPr>
            <w:tcW w:w="4860" w:type="dxa"/>
          </w:tcPr>
          <w:p w:rsidR="00A21B67" w:rsidRPr="00EA49A9" w:rsidRDefault="00A21B67" w:rsidP="001823EB">
            <w:pPr>
              <w:spacing w:before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Онлайновые государственные услуги</w:t>
            </w:r>
          </w:p>
        </w:tc>
        <w:tc>
          <w:tcPr>
            <w:tcW w:w="3870" w:type="dxa"/>
          </w:tcPr>
          <w:p w:rsidR="00A21B67" w:rsidRPr="00EA49A9" w:rsidRDefault="00A21B67" w:rsidP="001823EB">
            <w:pPr>
              <w:spacing w:before="0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33</w:t>
            </w:r>
          </w:p>
        </w:tc>
      </w:tr>
      <w:tr w:rsidR="00A21B67" w:rsidRPr="00EA49A9" w:rsidTr="001823EB">
        <w:tc>
          <w:tcPr>
            <w:tcW w:w="4860" w:type="dxa"/>
          </w:tcPr>
          <w:p w:rsidR="00A21B67" w:rsidRPr="00EA49A9" w:rsidRDefault="00A21B67" w:rsidP="001823EB">
            <w:pPr>
              <w:spacing w:before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 xml:space="preserve">Электронное участие </w:t>
            </w:r>
          </w:p>
        </w:tc>
        <w:tc>
          <w:tcPr>
            <w:tcW w:w="3870" w:type="dxa"/>
          </w:tcPr>
          <w:p w:rsidR="00A21B67" w:rsidRPr="00EA49A9" w:rsidRDefault="00A21B67" w:rsidP="001823EB">
            <w:pPr>
              <w:spacing w:before="0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27</w:t>
            </w:r>
          </w:p>
        </w:tc>
      </w:tr>
      <w:tr w:rsidR="00A21B67" w:rsidRPr="00EA49A9" w:rsidTr="001823EB">
        <w:tc>
          <w:tcPr>
            <w:tcW w:w="4860" w:type="dxa"/>
          </w:tcPr>
          <w:p w:rsidR="00A21B67" w:rsidRPr="00EA49A9" w:rsidRDefault="00A21B67" w:rsidP="001823EB">
            <w:pPr>
              <w:spacing w:before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Количество пользователей социальных сетей</w:t>
            </w:r>
          </w:p>
        </w:tc>
        <w:tc>
          <w:tcPr>
            <w:tcW w:w="3870" w:type="dxa"/>
          </w:tcPr>
          <w:p w:rsidR="00A21B67" w:rsidRPr="00EA49A9" w:rsidRDefault="00A21B67" w:rsidP="001823EB">
            <w:pPr>
              <w:spacing w:before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A49A9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Более 250 млн.</w:t>
            </w:r>
          </w:p>
        </w:tc>
      </w:tr>
    </w:tbl>
    <w:p w:rsidR="00833F2D" w:rsidRPr="00EA49A9" w:rsidRDefault="00833F2D" w:rsidP="009D53AA">
      <w:pPr>
        <w:pStyle w:val="Heading2"/>
        <w:rPr>
          <w:lang w:val="ru-RU"/>
        </w:rPr>
      </w:pPr>
      <w:r w:rsidRPr="00EA49A9">
        <w:rPr>
          <w:lang w:val="ru-RU"/>
        </w:rPr>
        <w:t>2.4</w:t>
      </w:r>
      <w:r w:rsidRPr="00EA49A9">
        <w:rPr>
          <w:lang w:val="ru-RU"/>
        </w:rPr>
        <w:tab/>
      </w:r>
      <w:r w:rsidR="00A21B67" w:rsidRPr="00EA49A9">
        <w:rPr>
          <w:lang w:val="ru-RU"/>
        </w:rPr>
        <w:t xml:space="preserve">Программа </w:t>
      </w:r>
      <w:proofErr w:type="spellStart"/>
      <w:r w:rsidRPr="00EA49A9">
        <w:rPr>
          <w:lang w:val="ru-RU"/>
        </w:rPr>
        <w:t>India</w:t>
      </w:r>
      <w:proofErr w:type="spellEnd"/>
      <w:r w:rsidRPr="00EA49A9">
        <w:rPr>
          <w:lang w:val="ru-RU"/>
        </w:rPr>
        <w:t xml:space="preserve"> </w:t>
      </w:r>
      <w:proofErr w:type="spellStart"/>
      <w:r w:rsidRPr="00EA49A9">
        <w:rPr>
          <w:lang w:val="ru-RU"/>
        </w:rPr>
        <w:t>Stack</w:t>
      </w:r>
      <w:proofErr w:type="spellEnd"/>
    </w:p>
    <w:p w:rsidR="00833F2D" w:rsidRPr="00EA49A9" w:rsidRDefault="00A21B67" w:rsidP="00B45E01">
      <w:pPr>
        <w:rPr>
          <w:color w:val="000000" w:themeColor="text1"/>
          <w:shd w:val="clear" w:color="auto" w:fill="FFFFFF"/>
          <w:lang w:val="ru-RU"/>
        </w:rPr>
      </w:pPr>
      <w:r w:rsidRPr="00EA49A9">
        <w:rPr>
          <w:shd w:val="clear" w:color="auto" w:fill="FFFFFF"/>
          <w:lang w:val="ru-RU"/>
        </w:rPr>
        <w:t xml:space="preserve">Правительство Индии использует программы </w:t>
      </w:r>
      <w:proofErr w:type="spellStart"/>
      <w:r w:rsidRPr="00EA49A9">
        <w:rPr>
          <w:shd w:val="clear" w:color="auto" w:fill="FFFFFF"/>
          <w:lang w:val="ru-RU"/>
        </w:rPr>
        <w:t>India</w:t>
      </w:r>
      <w:proofErr w:type="spellEnd"/>
      <w:r w:rsidRPr="00EA49A9">
        <w:rPr>
          <w:shd w:val="clear" w:color="auto" w:fill="FFFFFF"/>
          <w:lang w:val="ru-RU"/>
        </w:rPr>
        <w:t xml:space="preserve"> </w:t>
      </w:r>
      <w:proofErr w:type="spellStart"/>
      <w:r w:rsidRPr="00EA49A9">
        <w:rPr>
          <w:shd w:val="clear" w:color="auto" w:fill="FFFFFF"/>
          <w:lang w:val="ru-RU"/>
        </w:rPr>
        <w:t>Stack</w:t>
      </w:r>
      <w:proofErr w:type="spellEnd"/>
      <w:r w:rsidRPr="00EA49A9">
        <w:rPr>
          <w:shd w:val="clear" w:color="auto" w:fill="FFFFFF"/>
          <w:lang w:val="ru-RU"/>
        </w:rPr>
        <w:t xml:space="preserve"> и </w:t>
      </w:r>
      <w:proofErr w:type="spellStart"/>
      <w:r w:rsidRPr="00EA49A9">
        <w:rPr>
          <w:shd w:val="clear" w:color="auto" w:fill="FFFFFF"/>
          <w:lang w:val="ru-RU"/>
        </w:rPr>
        <w:t>JAM</w:t>
      </w:r>
      <w:proofErr w:type="spellEnd"/>
      <w:r w:rsidRPr="00EA49A9">
        <w:rPr>
          <w:shd w:val="clear" w:color="auto" w:fill="FFFFFF"/>
          <w:lang w:val="ru-RU"/>
        </w:rPr>
        <w:t xml:space="preserve"> (сокращенно от </w:t>
      </w:r>
      <w:proofErr w:type="spellStart"/>
      <w:r w:rsidRPr="00EA49A9">
        <w:rPr>
          <w:shd w:val="clear" w:color="auto" w:fill="FFFFFF"/>
          <w:lang w:val="ru-RU"/>
        </w:rPr>
        <w:t>Jan</w:t>
      </w:r>
      <w:proofErr w:type="spellEnd"/>
      <w:r w:rsidRPr="00EA49A9">
        <w:rPr>
          <w:shd w:val="clear" w:color="auto" w:fill="FFFFFF"/>
          <w:lang w:val="ru-RU"/>
        </w:rPr>
        <w:t xml:space="preserve"> </w:t>
      </w:r>
      <w:proofErr w:type="spellStart"/>
      <w:r w:rsidRPr="00EA49A9">
        <w:rPr>
          <w:shd w:val="clear" w:color="auto" w:fill="FFFFFF"/>
          <w:lang w:val="ru-RU"/>
        </w:rPr>
        <w:t>Dhan-Aadhaar-Mobile</w:t>
      </w:r>
      <w:proofErr w:type="spellEnd"/>
      <w:r w:rsidRPr="00EA49A9">
        <w:rPr>
          <w:shd w:val="clear" w:color="auto" w:fill="FFFFFF"/>
          <w:lang w:val="ru-RU"/>
        </w:rPr>
        <w:t xml:space="preserve">) </w:t>
      </w:r>
      <w:proofErr w:type="spellStart"/>
      <w:r w:rsidRPr="00EA49A9">
        <w:rPr>
          <w:shd w:val="clear" w:color="auto" w:fill="FFFFFF"/>
          <w:lang w:val="ru-RU"/>
        </w:rPr>
        <w:t>Trinity</w:t>
      </w:r>
      <w:proofErr w:type="spellEnd"/>
      <w:r w:rsidRPr="00EA49A9">
        <w:rPr>
          <w:shd w:val="clear" w:color="auto" w:fill="FFFFFF"/>
          <w:lang w:val="ru-RU"/>
        </w:rPr>
        <w:t xml:space="preserve"> в поддержку развития отрасли цифровых и финансовых технологий</w:t>
      </w:r>
      <w:r w:rsidRPr="00EA49A9">
        <w:rPr>
          <w:rStyle w:val="FootnoteReference"/>
          <w:lang w:val="ru-RU"/>
        </w:rPr>
        <w:footnoteReference w:id="12"/>
      </w:r>
      <w:r w:rsidRPr="00EA49A9">
        <w:rPr>
          <w:shd w:val="clear" w:color="auto" w:fill="FFFFFF"/>
          <w:lang w:val="ru-RU"/>
        </w:rPr>
        <w:t>.</w:t>
      </w:r>
      <w:r w:rsidR="00440A4E" w:rsidRPr="00EA49A9">
        <w:rPr>
          <w:spacing w:val="20"/>
          <w:shd w:val="clear" w:color="auto" w:fill="FFFFFF"/>
          <w:lang w:val="ru-RU"/>
        </w:rPr>
        <w:t xml:space="preserve"> </w:t>
      </w:r>
      <w:proofErr w:type="spellStart"/>
      <w:r w:rsidRPr="00EA49A9">
        <w:rPr>
          <w:shd w:val="clear" w:color="auto" w:fill="FFFFFF"/>
          <w:lang w:val="ru-RU"/>
        </w:rPr>
        <w:t>India</w:t>
      </w:r>
      <w:proofErr w:type="spellEnd"/>
      <w:r w:rsidRPr="00EA49A9">
        <w:rPr>
          <w:shd w:val="clear" w:color="auto" w:fill="FFFFFF"/>
          <w:lang w:val="ru-RU"/>
        </w:rPr>
        <w:t xml:space="preserve"> </w:t>
      </w:r>
      <w:proofErr w:type="spellStart"/>
      <w:r w:rsidRPr="00EA49A9">
        <w:rPr>
          <w:shd w:val="clear" w:color="auto" w:fill="FFFFFF"/>
          <w:lang w:val="ru-RU"/>
        </w:rPr>
        <w:t>Stack</w:t>
      </w:r>
      <w:proofErr w:type="spellEnd"/>
      <w:r w:rsidRPr="00EA49A9">
        <w:rPr>
          <w:shd w:val="clear" w:color="auto" w:fill="FFFFFF"/>
          <w:lang w:val="ru-RU"/>
        </w:rPr>
        <w:t xml:space="preserve"> представляет </w:t>
      </w:r>
      <w:r w:rsidRPr="00EA49A9">
        <w:rPr>
          <w:lang w:val="ru-RU"/>
        </w:rPr>
        <w:t>собой</w:t>
      </w:r>
      <w:r w:rsidRPr="00EA49A9">
        <w:rPr>
          <w:shd w:val="clear" w:color="auto" w:fill="FFFFFF"/>
          <w:lang w:val="ru-RU"/>
        </w:rPr>
        <w:t xml:space="preserve"> </w:t>
      </w:r>
      <w:r w:rsidRPr="00EA49A9">
        <w:rPr>
          <w:lang w:val="ru-RU"/>
        </w:rPr>
        <w:t>комплект</w:t>
      </w:r>
      <w:r w:rsidRPr="00EA49A9">
        <w:rPr>
          <w:shd w:val="clear" w:color="auto" w:fill="FFFFFF"/>
          <w:lang w:val="ru-RU"/>
        </w:rPr>
        <w:t xml:space="preserve"> </w:t>
      </w:r>
      <w:proofErr w:type="spellStart"/>
      <w:r w:rsidRPr="00EA49A9">
        <w:rPr>
          <w:shd w:val="clear" w:color="auto" w:fill="FFFFFF"/>
          <w:lang w:val="ru-RU"/>
        </w:rPr>
        <w:t>API</w:t>
      </w:r>
      <w:proofErr w:type="spellEnd"/>
      <w:r w:rsidRPr="00EA49A9">
        <w:rPr>
          <w:shd w:val="clear" w:color="auto" w:fill="FFFFFF"/>
          <w:lang w:val="ru-RU"/>
        </w:rPr>
        <w:t xml:space="preserve">, позволяющий </w:t>
      </w:r>
      <w:r w:rsidRPr="00EA49A9">
        <w:rPr>
          <w:lang w:val="ru-RU"/>
        </w:rPr>
        <w:t>органам</w:t>
      </w:r>
      <w:r w:rsidRPr="00EA49A9">
        <w:rPr>
          <w:shd w:val="clear" w:color="auto" w:fill="FFFFFF"/>
          <w:lang w:val="ru-RU"/>
        </w:rPr>
        <w:t xml:space="preserve"> государственного управления, предприятиям, </w:t>
      </w:r>
      <w:proofErr w:type="spellStart"/>
      <w:r w:rsidRPr="00EA49A9">
        <w:rPr>
          <w:shd w:val="clear" w:color="auto" w:fill="FFFFFF"/>
          <w:lang w:val="ru-RU"/>
        </w:rPr>
        <w:t>стартапам</w:t>
      </w:r>
      <w:proofErr w:type="spellEnd"/>
      <w:r w:rsidRPr="00EA49A9">
        <w:rPr>
          <w:shd w:val="clear" w:color="auto" w:fill="FFFFFF"/>
          <w:lang w:val="ru-RU"/>
        </w:rPr>
        <w:t xml:space="preserve"> и разработчикам пользоваться уникальной цифровой инфраструктурой для решения непростых проблем в Индии </w:t>
      </w:r>
      <w:r w:rsidR="00CD220D" w:rsidRPr="00EA49A9">
        <w:rPr>
          <w:shd w:val="clear" w:color="auto" w:fill="FFFFFF"/>
          <w:lang w:val="ru-RU"/>
        </w:rPr>
        <w:t xml:space="preserve">и двигаться </w:t>
      </w:r>
      <w:r w:rsidRPr="00EA49A9">
        <w:rPr>
          <w:shd w:val="clear" w:color="auto" w:fill="FFFFFF"/>
          <w:lang w:val="ru-RU"/>
        </w:rPr>
        <w:t>в направлении дистанционного, безбумажного и безналичного обслуживания.</w:t>
      </w:r>
      <w:r w:rsidR="00440A4E" w:rsidRPr="00EA49A9">
        <w:rPr>
          <w:spacing w:val="30"/>
          <w:shd w:val="clear" w:color="auto" w:fill="FFFFFF"/>
          <w:lang w:val="ru-RU"/>
        </w:rPr>
        <w:t xml:space="preserve"> </w:t>
      </w:r>
      <w:proofErr w:type="spellStart"/>
      <w:r w:rsidRPr="00EA49A9">
        <w:rPr>
          <w:shd w:val="clear" w:color="auto" w:fill="FFFFFF"/>
          <w:lang w:val="ru-RU"/>
        </w:rPr>
        <w:t>JAM</w:t>
      </w:r>
      <w:proofErr w:type="spellEnd"/>
      <w:r w:rsidRPr="00EA49A9">
        <w:rPr>
          <w:shd w:val="clear" w:color="auto" w:fill="FFFFFF"/>
          <w:lang w:val="ru-RU"/>
        </w:rPr>
        <w:t xml:space="preserve"> </w:t>
      </w:r>
      <w:proofErr w:type="spellStart"/>
      <w:r w:rsidRPr="00EA49A9">
        <w:rPr>
          <w:shd w:val="clear" w:color="auto" w:fill="FFFFFF"/>
          <w:lang w:val="ru-RU"/>
        </w:rPr>
        <w:t>Trinity</w:t>
      </w:r>
      <w:proofErr w:type="spellEnd"/>
      <w:r w:rsidRPr="00EA49A9">
        <w:rPr>
          <w:shd w:val="clear" w:color="auto" w:fill="FFFFFF"/>
          <w:lang w:val="ru-RU"/>
        </w:rPr>
        <w:t xml:space="preserve"> представляет собой инициативу индийского правительства, направленную на привязку счетов </w:t>
      </w:r>
      <w:proofErr w:type="spellStart"/>
      <w:r w:rsidRPr="00EA49A9">
        <w:rPr>
          <w:shd w:val="clear" w:color="auto" w:fill="FFFFFF"/>
          <w:lang w:val="ru-RU"/>
        </w:rPr>
        <w:t>Jan</w:t>
      </w:r>
      <w:proofErr w:type="spellEnd"/>
      <w:r w:rsidRPr="00EA49A9">
        <w:rPr>
          <w:shd w:val="clear" w:color="auto" w:fill="FFFFFF"/>
          <w:lang w:val="ru-RU"/>
        </w:rPr>
        <w:t xml:space="preserve"> </w:t>
      </w:r>
      <w:proofErr w:type="spellStart"/>
      <w:r w:rsidRPr="00EA49A9">
        <w:rPr>
          <w:shd w:val="clear" w:color="auto" w:fill="FFFFFF"/>
          <w:lang w:val="ru-RU"/>
        </w:rPr>
        <w:t>Dhan</w:t>
      </w:r>
      <w:proofErr w:type="spellEnd"/>
      <w:r w:rsidRPr="00EA49A9">
        <w:rPr>
          <w:shd w:val="clear" w:color="auto" w:fill="FFFFFF"/>
          <w:lang w:val="ru-RU"/>
        </w:rPr>
        <w:t xml:space="preserve">, номеров подвижной связи и карточек </w:t>
      </w:r>
      <w:proofErr w:type="spellStart"/>
      <w:r w:rsidRPr="00EA49A9">
        <w:rPr>
          <w:shd w:val="clear" w:color="auto" w:fill="FFFFFF"/>
          <w:lang w:val="ru-RU"/>
        </w:rPr>
        <w:t>Aadhaar</w:t>
      </w:r>
      <w:proofErr w:type="spellEnd"/>
      <w:r w:rsidRPr="00EA49A9">
        <w:rPr>
          <w:shd w:val="clear" w:color="auto" w:fill="FFFFFF"/>
          <w:lang w:val="ru-RU"/>
        </w:rPr>
        <w:t xml:space="preserve"> индийских граждан, с тем чтобы остановить утечку государственных субсидий.</w:t>
      </w:r>
    </w:p>
    <w:p w:rsidR="00833F2D" w:rsidRPr="00EA49A9" w:rsidRDefault="00DB2062" w:rsidP="00B45E01">
      <w:pPr>
        <w:pStyle w:val="Heading2"/>
        <w:rPr>
          <w:bCs/>
          <w:lang w:val="ru-RU"/>
        </w:rPr>
      </w:pPr>
      <w:r w:rsidRPr="00EA49A9">
        <w:rPr>
          <w:bCs/>
          <w:lang w:val="ru-RU"/>
        </w:rPr>
        <w:lastRenderedPageBreak/>
        <w:t>2.5</w:t>
      </w:r>
      <w:r w:rsidRPr="00EA49A9">
        <w:rPr>
          <w:bCs/>
          <w:lang w:val="ru-RU"/>
        </w:rPr>
        <w:tab/>
      </w:r>
      <w:r w:rsidR="00CD220D" w:rsidRPr="00EA49A9">
        <w:rPr>
          <w:lang w:val="ru-RU"/>
        </w:rPr>
        <w:t>Программное обеспечение в поддержку инноваций</w:t>
      </w:r>
    </w:p>
    <w:p w:rsidR="00833F2D" w:rsidRPr="00EA49A9" w:rsidRDefault="00CD220D" w:rsidP="00B45E01">
      <w:pPr>
        <w:rPr>
          <w:color w:val="000000" w:themeColor="text1"/>
          <w:shd w:val="clear" w:color="auto" w:fill="FFFFFF"/>
          <w:lang w:val="ru-RU"/>
        </w:rPr>
      </w:pPr>
      <w:r w:rsidRPr="00EA49A9">
        <w:rPr>
          <w:shd w:val="clear" w:color="auto" w:fill="FFFFFF"/>
          <w:lang w:val="ru-RU"/>
        </w:rPr>
        <w:t xml:space="preserve">Конвергенция услуг, </w:t>
      </w:r>
      <w:r w:rsidRPr="00EA49A9">
        <w:rPr>
          <w:lang w:val="ru-RU"/>
        </w:rPr>
        <w:t>приложений</w:t>
      </w:r>
      <w:r w:rsidRPr="00EA49A9">
        <w:rPr>
          <w:shd w:val="clear" w:color="auto" w:fill="FFFFFF"/>
          <w:lang w:val="ru-RU"/>
        </w:rPr>
        <w:t xml:space="preserve"> и устройств ИКТ ведет к появлению новых, в том числе сетевых возможностей вне зависимости от платформы.</w:t>
      </w:r>
      <w:r w:rsidR="00440A4E" w:rsidRPr="00EA49A9">
        <w:rPr>
          <w:spacing w:val="20"/>
          <w:shd w:val="clear" w:color="auto" w:fill="FFFFFF"/>
          <w:lang w:val="ru-RU"/>
        </w:rPr>
        <w:t xml:space="preserve"> </w:t>
      </w:r>
      <w:r w:rsidRPr="00EA49A9">
        <w:rPr>
          <w:shd w:val="clear" w:color="auto" w:fill="FFFFFF"/>
          <w:lang w:val="ru-RU"/>
        </w:rPr>
        <w:t>Программное обеспечение и программные решения как никогда раньше способствуют инновациям, связанным с продуктами и услугами ИКТ.</w:t>
      </w:r>
      <w:r w:rsidR="00440A4E" w:rsidRPr="00EA49A9">
        <w:rPr>
          <w:spacing w:val="20"/>
          <w:shd w:val="clear" w:color="auto" w:fill="FFFFFF"/>
          <w:lang w:val="ru-RU"/>
        </w:rPr>
        <w:t xml:space="preserve"> </w:t>
      </w:r>
      <w:r w:rsidRPr="00EA49A9">
        <w:rPr>
          <w:shd w:val="clear" w:color="auto" w:fill="FFFFFF"/>
          <w:lang w:val="ru-RU"/>
        </w:rPr>
        <w:t xml:space="preserve">Индия, обладающая прочной базой в </w:t>
      </w:r>
      <w:r w:rsidRPr="00EA49A9">
        <w:rPr>
          <w:lang w:val="ru-RU"/>
        </w:rPr>
        <w:t>области</w:t>
      </w:r>
      <w:r w:rsidRPr="00EA49A9">
        <w:rPr>
          <w:shd w:val="clear" w:color="auto" w:fill="FFFFFF"/>
          <w:lang w:val="ru-RU"/>
        </w:rPr>
        <w:t xml:space="preserve"> ИТ и услуг на основе информационных технологий, продолжает вносить свой вклад в глобальную индустрию программного обеспечения</w:t>
      </w:r>
      <w:r w:rsidRPr="00EA49A9">
        <w:rPr>
          <w:rStyle w:val="FootnoteReference"/>
          <w:lang w:val="ru-RU"/>
        </w:rPr>
        <w:footnoteReference w:id="13"/>
      </w:r>
      <w:r w:rsidRPr="00EA49A9">
        <w:rPr>
          <w:shd w:val="clear" w:color="auto" w:fill="FFFFFF"/>
          <w:lang w:val="ru-RU"/>
        </w:rPr>
        <w:t>.</w:t>
      </w:r>
    </w:p>
    <w:p w:rsidR="00CD220D" w:rsidRPr="00EA49A9" w:rsidRDefault="00DB2062" w:rsidP="009D53AA">
      <w:pPr>
        <w:pStyle w:val="Heading2"/>
        <w:rPr>
          <w:lang w:val="ru-RU"/>
        </w:rPr>
      </w:pPr>
      <w:r w:rsidRPr="00EA49A9">
        <w:rPr>
          <w:bCs/>
          <w:lang w:val="ru-RU"/>
        </w:rPr>
        <w:t>2.6</w:t>
      </w:r>
      <w:r w:rsidRPr="00EA49A9">
        <w:rPr>
          <w:bCs/>
          <w:lang w:val="ru-RU"/>
        </w:rPr>
        <w:tab/>
      </w:r>
      <w:r w:rsidR="00CD220D" w:rsidRPr="00EA49A9">
        <w:rPr>
          <w:lang w:val="ru-RU"/>
        </w:rPr>
        <w:t>Использование интернета малыми и средними предприятиями (МСП) – широкомасштабная инициатива в действии</w:t>
      </w:r>
    </w:p>
    <w:p w:rsidR="00833F2D" w:rsidRPr="00EA49A9" w:rsidRDefault="00CD220D" w:rsidP="00B45E01">
      <w:pPr>
        <w:rPr>
          <w:color w:val="000000" w:themeColor="text1"/>
          <w:shd w:val="clear" w:color="auto" w:fill="FFFFFF"/>
          <w:lang w:val="ru-RU"/>
        </w:rPr>
      </w:pPr>
      <w:r w:rsidRPr="00EA49A9">
        <w:rPr>
          <w:shd w:val="clear" w:color="auto" w:fill="FFFFFF"/>
          <w:lang w:val="ru-RU"/>
        </w:rPr>
        <w:t>Число МСП в Индии превышает 51</w:t>
      </w:r>
      <w:r w:rsidR="000449D4" w:rsidRPr="00EA49A9">
        <w:rPr>
          <w:shd w:val="clear" w:color="auto" w:fill="FFFFFF"/>
          <w:lang w:val="ru-RU"/>
        </w:rPr>
        <w:t> </w:t>
      </w:r>
      <w:r w:rsidRPr="00EA49A9">
        <w:rPr>
          <w:lang w:val="ru-RU"/>
        </w:rPr>
        <w:t>миллион</w:t>
      </w:r>
      <w:r w:rsidRPr="00EA49A9">
        <w:rPr>
          <w:shd w:val="clear" w:color="auto" w:fill="FFFFFF"/>
          <w:lang w:val="ru-RU"/>
        </w:rPr>
        <w:t>, из которых только 10</w:t>
      </w:r>
      <w:r w:rsidR="000449D4" w:rsidRPr="00EA49A9">
        <w:rPr>
          <w:shd w:val="clear" w:color="auto" w:fill="FFFFFF"/>
          <w:lang w:val="ru-RU"/>
        </w:rPr>
        <w:t> </w:t>
      </w:r>
      <w:r w:rsidRPr="00EA49A9">
        <w:rPr>
          <w:shd w:val="clear" w:color="auto" w:fill="FFFFFF"/>
          <w:lang w:val="ru-RU"/>
        </w:rPr>
        <w:t>миллионов компаний готовы к</w:t>
      </w:r>
      <w:r w:rsidR="000449D4" w:rsidRPr="00EA49A9">
        <w:rPr>
          <w:shd w:val="clear" w:color="auto" w:fill="FFFFFF"/>
          <w:lang w:val="ru-RU"/>
        </w:rPr>
        <w:t> </w:t>
      </w:r>
      <w:r w:rsidRPr="00EA49A9">
        <w:rPr>
          <w:shd w:val="clear" w:color="auto" w:fill="FFFFFF"/>
          <w:lang w:val="ru-RU"/>
        </w:rPr>
        <w:t>использованию технологий. Чтобы привлечь МСП к использованию интернета, внедряется ряд широкомасштабных программ для частного сектора.</w:t>
      </w:r>
      <w:r w:rsidR="00440A4E" w:rsidRPr="00EA49A9">
        <w:rPr>
          <w:color w:val="000000"/>
          <w:spacing w:val="20"/>
          <w:shd w:val="clear" w:color="auto" w:fill="FFFFFF"/>
          <w:lang w:val="ru-RU"/>
        </w:rPr>
        <w:t xml:space="preserve"> </w:t>
      </w:r>
      <w:r w:rsidRPr="00EA49A9">
        <w:rPr>
          <w:shd w:val="clear" w:color="auto" w:fill="FFFFFF"/>
          <w:lang w:val="ru-RU"/>
        </w:rPr>
        <w:t xml:space="preserve">Достаточно отметить, что </w:t>
      </w:r>
      <w:r w:rsidR="000449D4" w:rsidRPr="00EA49A9">
        <w:rPr>
          <w:shd w:val="clear" w:color="auto" w:fill="FFFFFF"/>
          <w:lang w:val="ru-RU"/>
        </w:rPr>
        <w:t xml:space="preserve">присутствующие </w:t>
      </w:r>
      <w:r w:rsidRPr="00EA49A9">
        <w:rPr>
          <w:shd w:val="clear" w:color="auto" w:fill="FFFFFF"/>
          <w:lang w:val="ru-RU"/>
        </w:rPr>
        <w:t>в</w:t>
      </w:r>
      <w:r w:rsidR="000449D4" w:rsidRPr="00EA49A9">
        <w:rPr>
          <w:shd w:val="clear" w:color="auto" w:fill="FFFFFF"/>
          <w:lang w:val="ru-RU"/>
        </w:rPr>
        <w:t> </w:t>
      </w:r>
      <w:r w:rsidRPr="00EA49A9">
        <w:rPr>
          <w:shd w:val="clear" w:color="auto" w:fill="FFFFFF"/>
          <w:lang w:val="ru-RU"/>
        </w:rPr>
        <w:t xml:space="preserve">интернете </w:t>
      </w:r>
      <w:r w:rsidR="000449D4" w:rsidRPr="00EA49A9">
        <w:rPr>
          <w:shd w:val="clear" w:color="auto" w:fill="FFFFFF"/>
          <w:lang w:val="ru-RU"/>
        </w:rPr>
        <w:t>МСП получают</w:t>
      </w:r>
      <w:r w:rsidRPr="00EA49A9">
        <w:rPr>
          <w:shd w:val="clear" w:color="auto" w:fill="FFFFFF"/>
          <w:lang w:val="ru-RU"/>
        </w:rPr>
        <w:t xml:space="preserve"> доход на 51</w:t>
      </w:r>
      <w:r w:rsidR="000449D4" w:rsidRPr="00EA49A9">
        <w:rPr>
          <w:shd w:val="clear" w:color="auto" w:fill="FFFFFF"/>
          <w:lang w:val="ru-RU"/>
        </w:rPr>
        <w:t> </w:t>
      </w:r>
      <w:r w:rsidRPr="00EA49A9">
        <w:rPr>
          <w:shd w:val="clear" w:color="auto" w:fill="FFFFFF"/>
          <w:lang w:val="ru-RU"/>
        </w:rPr>
        <w:t>процент выше и прибыль на 19</w:t>
      </w:r>
      <w:r w:rsidR="000449D4" w:rsidRPr="00EA49A9">
        <w:rPr>
          <w:shd w:val="clear" w:color="auto" w:fill="FFFFFF"/>
          <w:lang w:val="ru-RU"/>
        </w:rPr>
        <w:t> </w:t>
      </w:r>
      <w:r w:rsidRPr="00EA49A9">
        <w:rPr>
          <w:shd w:val="clear" w:color="auto" w:fill="FFFFFF"/>
          <w:lang w:val="ru-RU"/>
        </w:rPr>
        <w:t xml:space="preserve">процентов больше, чем </w:t>
      </w:r>
      <w:r w:rsidR="000449D4" w:rsidRPr="00EA49A9">
        <w:rPr>
          <w:shd w:val="clear" w:color="auto" w:fill="FFFFFF"/>
          <w:lang w:val="ru-RU"/>
        </w:rPr>
        <w:t>МСП, не использующи</w:t>
      </w:r>
      <w:r w:rsidR="001D2DAF" w:rsidRPr="00EA49A9">
        <w:rPr>
          <w:shd w:val="clear" w:color="auto" w:fill="FFFFFF"/>
          <w:lang w:val="ru-RU"/>
        </w:rPr>
        <w:t>е</w:t>
      </w:r>
      <w:r w:rsidR="000449D4" w:rsidRPr="00EA49A9">
        <w:rPr>
          <w:shd w:val="clear" w:color="auto" w:fill="FFFFFF"/>
          <w:lang w:val="ru-RU"/>
        </w:rPr>
        <w:t xml:space="preserve"> интернет</w:t>
      </w:r>
      <w:r w:rsidRPr="00EA49A9">
        <w:rPr>
          <w:rStyle w:val="FootnoteReference"/>
          <w:lang w:val="ru-RU"/>
        </w:rPr>
        <w:footnoteReference w:id="14"/>
      </w:r>
      <w:r w:rsidRPr="00EA49A9">
        <w:rPr>
          <w:color w:val="191919"/>
          <w:shd w:val="clear" w:color="auto" w:fill="FFFFFF"/>
          <w:lang w:val="ru-RU"/>
        </w:rPr>
        <w:t>.</w:t>
      </w:r>
      <w:r w:rsidR="00440A4E" w:rsidRPr="00EA49A9">
        <w:rPr>
          <w:color w:val="000000"/>
          <w:spacing w:val="20"/>
          <w:shd w:val="clear" w:color="auto" w:fill="FFFFFF"/>
          <w:lang w:val="ru-RU"/>
        </w:rPr>
        <w:t xml:space="preserve"> </w:t>
      </w:r>
      <w:r w:rsidRPr="00EA49A9">
        <w:rPr>
          <w:color w:val="191919"/>
          <w:shd w:val="clear" w:color="auto" w:fill="FFFFFF"/>
          <w:lang w:val="ru-RU"/>
        </w:rPr>
        <w:t xml:space="preserve">В Индии </w:t>
      </w:r>
      <w:r w:rsidR="000449D4" w:rsidRPr="00EA49A9">
        <w:rPr>
          <w:color w:val="191919"/>
          <w:shd w:val="clear" w:color="auto" w:fill="FFFFFF"/>
          <w:lang w:val="ru-RU"/>
        </w:rPr>
        <w:t xml:space="preserve">в </w:t>
      </w:r>
      <w:r w:rsidRPr="00EA49A9">
        <w:rPr>
          <w:color w:val="191919"/>
          <w:shd w:val="clear" w:color="auto" w:fill="FFFFFF"/>
          <w:lang w:val="ru-RU"/>
        </w:rPr>
        <w:t xml:space="preserve">МСП </w:t>
      </w:r>
      <w:r w:rsidR="000449D4" w:rsidRPr="00EA49A9">
        <w:rPr>
          <w:color w:val="191919"/>
          <w:shd w:val="clear" w:color="auto" w:fill="FFFFFF"/>
          <w:lang w:val="ru-RU"/>
        </w:rPr>
        <w:t>заняты</w:t>
      </w:r>
      <w:r w:rsidRPr="00EA49A9">
        <w:rPr>
          <w:color w:val="191919"/>
          <w:shd w:val="clear" w:color="auto" w:fill="FFFFFF"/>
          <w:lang w:val="ru-RU"/>
        </w:rPr>
        <w:t xml:space="preserve"> около 106</w:t>
      </w:r>
      <w:r w:rsidR="000449D4" w:rsidRPr="00EA49A9">
        <w:rPr>
          <w:color w:val="191919"/>
          <w:shd w:val="clear" w:color="auto" w:fill="FFFFFF"/>
          <w:lang w:val="ru-RU"/>
        </w:rPr>
        <w:t> </w:t>
      </w:r>
      <w:r w:rsidRPr="00EA49A9">
        <w:rPr>
          <w:color w:val="191919"/>
          <w:shd w:val="clear" w:color="auto" w:fill="FFFFFF"/>
          <w:lang w:val="ru-RU"/>
        </w:rPr>
        <w:t xml:space="preserve">миллионов </w:t>
      </w:r>
      <w:r w:rsidR="000449D4" w:rsidRPr="00EA49A9">
        <w:rPr>
          <w:color w:val="191919"/>
          <w:shd w:val="clear" w:color="auto" w:fill="FFFFFF"/>
          <w:lang w:val="ru-RU"/>
        </w:rPr>
        <w:t>человек</w:t>
      </w:r>
      <w:r w:rsidRPr="00EA49A9">
        <w:rPr>
          <w:color w:val="191919"/>
          <w:shd w:val="clear" w:color="auto" w:fill="FFFFFF"/>
          <w:lang w:val="ru-RU"/>
        </w:rPr>
        <w:t xml:space="preserve"> (40</w:t>
      </w:r>
      <w:r w:rsidR="000449D4" w:rsidRPr="00EA49A9">
        <w:rPr>
          <w:color w:val="191919"/>
          <w:shd w:val="clear" w:color="auto" w:fill="FFFFFF"/>
          <w:lang w:val="ru-RU"/>
        </w:rPr>
        <w:t xml:space="preserve"> процентов </w:t>
      </w:r>
      <w:r w:rsidRPr="00EA49A9">
        <w:rPr>
          <w:color w:val="191919"/>
          <w:shd w:val="clear" w:color="auto" w:fill="FFFFFF"/>
          <w:lang w:val="ru-RU"/>
        </w:rPr>
        <w:t xml:space="preserve">трудовых ресурсов Индии), </w:t>
      </w:r>
      <w:r w:rsidR="000449D4" w:rsidRPr="00EA49A9">
        <w:rPr>
          <w:color w:val="191919"/>
          <w:shd w:val="clear" w:color="auto" w:fill="FFFFFF"/>
          <w:lang w:val="ru-RU"/>
        </w:rPr>
        <w:t>они уступают в этом</w:t>
      </w:r>
      <w:r w:rsidRPr="00EA49A9">
        <w:rPr>
          <w:color w:val="191919"/>
          <w:shd w:val="clear" w:color="auto" w:fill="FFFFFF"/>
          <w:lang w:val="ru-RU"/>
        </w:rPr>
        <w:t xml:space="preserve"> только сельскохозяйственному сектору</w:t>
      </w:r>
      <w:r w:rsidRPr="00EA49A9">
        <w:rPr>
          <w:rStyle w:val="FootnoteReference"/>
          <w:lang w:val="ru-RU"/>
        </w:rPr>
        <w:footnoteReference w:id="15"/>
      </w:r>
      <w:r w:rsidRPr="00EA49A9">
        <w:rPr>
          <w:color w:val="333333"/>
          <w:lang w:val="ru-RU"/>
        </w:rPr>
        <w:t xml:space="preserve">. </w:t>
      </w:r>
      <w:r w:rsidRPr="00EA49A9">
        <w:rPr>
          <w:color w:val="000000"/>
          <w:shd w:val="clear" w:color="auto" w:fill="FFFFFF"/>
          <w:lang w:val="ru-RU"/>
        </w:rPr>
        <w:t xml:space="preserve">Банковские услуги для </w:t>
      </w:r>
      <w:proofErr w:type="spellStart"/>
      <w:r w:rsidRPr="00EA49A9">
        <w:rPr>
          <w:color w:val="000000"/>
          <w:shd w:val="clear" w:color="auto" w:fill="FFFFFF"/>
          <w:lang w:val="ru-RU"/>
        </w:rPr>
        <w:t>ММСП</w:t>
      </w:r>
      <w:proofErr w:type="spellEnd"/>
      <w:r w:rsidRPr="00EA49A9">
        <w:rPr>
          <w:color w:val="000000"/>
          <w:shd w:val="clear" w:color="auto" w:fill="FFFFFF"/>
          <w:lang w:val="ru-RU"/>
        </w:rPr>
        <w:t xml:space="preserve"> могут стать </w:t>
      </w:r>
      <w:r w:rsidRPr="00EA49A9">
        <w:rPr>
          <w:lang w:val="ru-RU"/>
        </w:rPr>
        <w:t>четвертым</w:t>
      </w:r>
      <w:r w:rsidRPr="00EA49A9">
        <w:rPr>
          <w:color w:val="000000"/>
          <w:shd w:val="clear" w:color="auto" w:fill="FFFFFF"/>
          <w:lang w:val="ru-RU"/>
        </w:rPr>
        <w:t xml:space="preserve"> по размеру сектором, на работу которого повлияют финансовые технологии в течение последующих </w:t>
      </w:r>
      <w:r w:rsidR="00440A4E" w:rsidRPr="00EA49A9">
        <w:rPr>
          <w:color w:val="000000"/>
          <w:shd w:val="clear" w:color="auto" w:fill="FFFFFF"/>
          <w:lang w:val="ru-RU"/>
        </w:rPr>
        <w:t>пят</w:t>
      </w:r>
      <w:r w:rsidR="00F2480C" w:rsidRPr="00EA49A9">
        <w:rPr>
          <w:color w:val="000000"/>
          <w:shd w:val="clear" w:color="auto" w:fill="FFFFFF"/>
          <w:lang w:val="ru-RU"/>
        </w:rPr>
        <w:t xml:space="preserve">и </w:t>
      </w:r>
      <w:r w:rsidRPr="00EA49A9">
        <w:rPr>
          <w:color w:val="000000"/>
          <w:shd w:val="clear" w:color="auto" w:fill="FFFFFF"/>
          <w:lang w:val="ru-RU"/>
        </w:rPr>
        <w:t>лет, после внедрения управления банковским обслуживанием потребителей, оплатой и инвестициями/состояниями (</w:t>
      </w:r>
      <w:r w:rsidR="000449D4" w:rsidRPr="00EA49A9">
        <w:rPr>
          <w:color w:val="000000"/>
          <w:shd w:val="clear" w:color="auto" w:fill="FFFFFF"/>
          <w:lang w:val="ru-RU"/>
        </w:rPr>
        <w:t>проведенный компанией</w:t>
      </w:r>
      <w:r w:rsidRPr="00EA49A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A49A9">
        <w:rPr>
          <w:color w:val="000000"/>
          <w:shd w:val="clear" w:color="auto" w:fill="FFFFFF"/>
          <w:lang w:val="ru-RU"/>
        </w:rPr>
        <w:t>PwC</w:t>
      </w:r>
      <w:proofErr w:type="spellEnd"/>
      <w:r w:rsidRPr="00EA49A9">
        <w:rPr>
          <w:color w:val="000000"/>
          <w:shd w:val="clear" w:color="auto" w:fill="FFFFFF"/>
          <w:lang w:val="ru-RU"/>
        </w:rPr>
        <w:t xml:space="preserve"> </w:t>
      </w:r>
      <w:r w:rsidR="000449D4" w:rsidRPr="00EA49A9">
        <w:rPr>
          <w:color w:val="000000"/>
          <w:shd w:val="clear" w:color="auto" w:fill="FFFFFF"/>
          <w:lang w:val="ru-RU"/>
        </w:rPr>
        <w:t xml:space="preserve">Всемирный обзор сегмента </w:t>
      </w:r>
      <w:proofErr w:type="spellStart"/>
      <w:r w:rsidR="000449D4" w:rsidRPr="00EA49A9">
        <w:rPr>
          <w:color w:val="000000"/>
          <w:shd w:val="clear" w:color="auto" w:fill="FFFFFF"/>
          <w:lang w:val="ru-RU"/>
        </w:rPr>
        <w:t>FinTech</w:t>
      </w:r>
      <w:proofErr w:type="spellEnd"/>
      <w:r w:rsidR="000449D4" w:rsidRPr="00EA49A9">
        <w:rPr>
          <w:color w:val="000000"/>
          <w:shd w:val="clear" w:color="auto" w:fill="FFFFFF"/>
          <w:lang w:val="ru-RU"/>
        </w:rPr>
        <w:t xml:space="preserve"> </w:t>
      </w:r>
      <w:r w:rsidRPr="00EA49A9">
        <w:rPr>
          <w:color w:val="000000"/>
          <w:shd w:val="clear" w:color="auto" w:fill="FFFFFF"/>
          <w:lang w:val="ru-RU"/>
        </w:rPr>
        <w:t>за 2016</w:t>
      </w:r>
      <w:r w:rsidR="000449D4" w:rsidRPr="00EA49A9">
        <w:rPr>
          <w:color w:val="000000"/>
          <w:shd w:val="clear" w:color="auto" w:fill="FFFFFF"/>
          <w:lang w:val="ru-RU"/>
        </w:rPr>
        <w:t> </w:t>
      </w:r>
      <w:r w:rsidRPr="00EA49A9">
        <w:rPr>
          <w:color w:val="000000"/>
          <w:shd w:val="clear" w:color="auto" w:fill="FFFFFF"/>
          <w:lang w:val="ru-RU"/>
        </w:rPr>
        <w:t>год).</w:t>
      </w:r>
    </w:p>
    <w:p w:rsidR="00833F2D" w:rsidRPr="00EA49A9" w:rsidRDefault="00833F2D" w:rsidP="00B45E01">
      <w:pPr>
        <w:pStyle w:val="Heading1"/>
        <w:rPr>
          <w:lang w:val="ru-RU"/>
        </w:rPr>
      </w:pPr>
      <w:r w:rsidRPr="00EA49A9">
        <w:rPr>
          <w:lang w:val="ru-RU"/>
        </w:rPr>
        <w:t>3</w:t>
      </w:r>
      <w:r w:rsidR="00DB2062" w:rsidRPr="00EA49A9">
        <w:rPr>
          <w:lang w:val="ru-RU"/>
        </w:rPr>
        <w:tab/>
      </w:r>
      <w:r w:rsidR="0020387E" w:rsidRPr="00EA49A9">
        <w:rPr>
          <w:lang w:val="ru-RU"/>
        </w:rPr>
        <w:t>Вклад Индии в развитие глобальной экосистемы ИКТ в недавнем прошлом</w:t>
      </w:r>
    </w:p>
    <w:p w:rsidR="00833F2D" w:rsidRPr="00EA49A9" w:rsidRDefault="00833F2D" w:rsidP="00B45E01">
      <w:pPr>
        <w:rPr>
          <w:lang w:val="ru-RU"/>
        </w:rPr>
      </w:pPr>
      <w:r w:rsidRPr="00EA49A9">
        <w:rPr>
          <w:shd w:val="clear" w:color="auto" w:fill="FFFFFF"/>
          <w:lang w:val="ru-RU"/>
        </w:rPr>
        <w:t>3.1</w:t>
      </w:r>
      <w:r w:rsidRPr="00EA49A9">
        <w:rPr>
          <w:color w:val="0070C0"/>
          <w:shd w:val="clear" w:color="auto" w:fill="FFFFFF"/>
          <w:lang w:val="ru-RU"/>
        </w:rPr>
        <w:tab/>
      </w:r>
      <w:r w:rsidR="0020387E" w:rsidRPr="00EA49A9">
        <w:rPr>
          <w:shd w:val="clear" w:color="auto" w:fill="FFFFFF"/>
          <w:lang w:val="ru-RU"/>
        </w:rPr>
        <w:t xml:space="preserve">Индия занимается осуществлением различных программ </w:t>
      </w:r>
      <w:r w:rsidR="00BA34BD" w:rsidRPr="00EA49A9">
        <w:rPr>
          <w:shd w:val="clear" w:color="auto" w:fill="FFFFFF"/>
          <w:lang w:val="ru-RU"/>
        </w:rPr>
        <w:t>создания</w:t>
      </w:r>
      <w:r w:rsidR="0020387E" w:rsidRPr="00EA49A9">
        <w:rPr>
          <w:shd w:val="clear" w:color="auto" w:fill="FFFFFF"/>
          <w:lang w:val="ru-RU"/>
        </w:rPr>
        <w:t xml:space="preserve"> потенциала и другими видами деятельности в области развития в регионе </w:t>
      </w:r>
      <w:proofErr w:type="spellStart"/>
      <w:r w:rsidR="0020387E" w:rsidRPr="00EA49A9">
        <w:rPr>
          <w:shd w:val="clear" w:color="auto" w:fill="FFFFFF"/>
          <w:lang w:val="ru-RU"/>
        </w:rPr>
        <w:t>АСЕАН</w:t>
      </w:r>
      <w:proofErr w:type="spellEnd"/>
      <w:r w:rsidR="0020387E" w:rsidRPr="00EA49A9">
        <w:rPr>
          <w:shd w:val="clear" w:color="auto" w:fill="FFFFFF"/>
          <w:lang w:val="ru-RU"/>
        </w:rPr>
        <w:t xml:space="preserve">, особенно в странах </w:t>
      </w:r>
      <w:proofErr w:type="spellStart"/>
      <w:r w:rsidR="0020387E" w:rsidRPr="00EA49A9">
        <w:rPr>
          <w:shd w:val="clear" w:color="auto" w:fill="FFFFFF"/>
          <w:lang w:val="ru-RU"/>
        </w:rPr>
        <w:t>КЛМВ</w:t>
      </w:r>
      <w:proofErr w:type="spellEnd"/>
      <w:r w:rsidR="0020387E" w:rsidRPr="00EA49A9">
        <w:rPr>
          <w:shd w:val="clear" w:color="auto" w:fill="FFFFFF"/>
          <w:lang w:val="ru-RU"/>
        </w:rPr>
        <w:t xml:space="preserve">. В настоящее время Индия </w:t>
      </w:r>
      <w:r w:rsidR="0020387E" w:rsidRPr="00EA49A9">
        <w:rPr>
          <w:lang w:val="ru-RU"/>
        </w:rPr>
        <w:t>осуществляет</w:t>
      </w:r>
      <w:r w:rsidR="0020387E" w:rsidRPr="00EA49A9">
        <w:rPr>
          <w:shd w:val="clear" w:color="auto" w:fill="FFFFFF"/>
          <w:lang w:val="ru-RU"/>
        </w:rPr>
        <w:t xml:space="preserve"> и финансирует пилотный проект "Цифровая деревня" в странах </w:t>
      </w:r>
      <w:proofErr w:type="spellStart"/>
      <w:r w:rsidR="0020387E" w:rsidRPr="00EA49A9">
        <w:rPr>
          <w:shd w:val="clear" w:color="auto" w:fill="FFFFFF"/>
          <w:lang w:val="ru-RU"/>
        </w:rPr>
        <w:t>КЛМВ</w:t>
      </w:r>
      <w:proofErr w:type="spellEnd"/>
      <w:r w:rsidR="0020387E" w:rsidRPr="00EA49A9">
        <w:rPr>
          <w:shd w:val="clear" w:color="auto" w:fill="FFFFFF"/>
          <w:lang w:val="ru-RU"/>
        </w:rPr>
        <w:t xml:space="preserve">. Кроме того, также в процессе рассмотрения находятся дополнительные программы </w:t>
      </w:r>
      <w:r w:rsidR="00BA34BD" w:rsidRPr="00EA49A9">
        <w:rPr>
          <w:shd w:val="clear" w:color="auto" w:fill="FFFFFF"/>
          <w:lang w:val="ru-RU"/>
        </w:rPr>
        <w:t>создания</w:t>
      </w:r>
      <w:r w:rsidR="0020387E" w:rsidRPr="00EA49A9">
        <w:rPr>
          <w:shd w:val="clear" w:color="auto" w:fill="FFFFFF"/>
          <w:lang w:val="ru-RU"/>
        </w:rPr>
        <w:t xml:space="preserve"> потенциала в рамках различных центров профессионального мастерства (ЦПМ). Индия намерена вести аналогичную деятельность в Южно-Азиатском регионе и за его пределами в соответствии с требованиями МСЭ. </w:t>
      </w:r>
      <w:r w:rsidR="0020387E" w:rsidRPr="00EA49A9">
        <w:rPr>
          <w:lang w:val="ru-RU"/>
        </w:rPr>
        <w:t>Кроме того, Индия планирует создавать ц</w:t>
      </w:r>
      <w:r w:rsidR="0020387E" w:rsidRPr="00EA49A9">
        <w:rPr>
          <w:shd w:val="clear" w:color="auto" w:fill="FFFFFF"/>
          <w:lang w:val="ru-RU"/>
        </w:rPr>
        <w:t xml:space="preserve">ентры профессионального мастерства </w:t>
      </w:r>
      <w:r w:rsidR="0020387E" w:rsidRPr="00EA49A9">
        <w:rPr>
          <w:shd w:val="clear" w:color="auto" w:fill="FFFFFF"/>
          <w:lang w:val="ru-RU"/>
        </w:rPr>
        <w:lastRenderedPageBreak/>
        <w:t>для обучения пользованию программным обеспечением и его разработк</w:t>
      </w:r>
      <w:r w:rsidR="001D2DAF" w:rsidRPr="00EA49A9">
        <w:rPr>
          <w:shd w:val="clear" w:color="auto" w:fill="FFFFFF"/>
          <w:lang w:val="ru-RU"/>
        </w:rPr>
        <w:t>и</w:t>
      </w:r>
      <w:r w:rsidR="0020387E" w:rsidRPr="00EA49A9">
        <w:rPr>
          <w:shd w:val="clear" w:color="auto" w:fill="FFFFFF"/>
          <w:lang w:val="ru-RU"/>
        </w:rPr>
        <w:t xml:space="preserve"> в других развивающихся странах, НРС, ЛЛДС и СИДС.</w:t>
      </w:r>
    </w:p>
    <w:p w:rsidR="00833F2D" w:rsidRPr="00EA49A9" w:rsidRDefault="00833F2D" w:rsidP="00B45E01">
      <w:pPr>
        <w:rPr>
          <w:shd w:val="clear" w:color="auto" w:fill="FFFFFF"/>
          <w:lang w:val="ru-RU"/>
        </w:rPr>
      </w:pPr>
      <w:r w:rsidRPr="00EA49A9">
        <w:rPr>
          <w:shd w:val="clear" w:color="auto" w:fill="FFFFFF"/>
          <w:lang w:val="ru-RU"/>
        </w:rPr>
        <w:t>3.2</w:t>
      </w:r>
      <w:r w:rsidRPr="00EA49A9">
        <w:rPr>
          <w:color w:val="0070C0"/>
          <w:shd w:val="clear" w:color="auto" w:fill="FFFFFF"/>
          <w:lang w:val="ru-RU"/>
        </w:rPr>
        <w:tab/>
      </w:r>
      <w:r w:rsidR="00896A1F" w:rsidRPr="00EA49A9">
        <w:rPr>
          <w:b/>
          <w:bCs/>
          <w:shd w:val="clear" w:color="auto" w:fill="FFFFFF"/>
          <w:lang w:val="ru-RU"/>
        </w:rPr>
        <w:t>Азиатско-Тихоокеанский центр профессионального мастерства МСЭ при Центре повышения квалификации в области электросвязи (</w:t>
      </w:r>
      <w:proofErr w:type="spellStart"/>
      <w:r w:rsidR="00896A1F" w:rsidRPr="00EA49A9">
        <w:rPr>
          <w:b/>
          <w:bCs/>
          <w:shd w:val="clear" w:color="auto" w:fill="FFFFFF"/>
          <w:lang w:val="ru-RU"/>
        </w:rPr>
        <w:t>ALTTC</w:t>
      </w:r>
      <w:proofErr w:type="spellEnd"/>
      <w:r w:rsidR="00896A1F" w:rsidRPr="00EA49A9">
        <w:rPr>
          <w:b/>
          <w:bCs/>
          <w:shd w:val="clear" w:color="auto" w:fill="FFFFFF"/>
          <w:lang w:val="ru-RU"/>
        </w:rPr>
        <w:t>), Индия</w:t>
      </w:r>
      <w:r w:rsidR="00896A1F" w:rsidRPr="00EA49A9">
        <w:rPr>
          <w:lang w:val="ru-RU"/>
        </w:rPr>
        <w:t xml:space="preserve">. </w:t>
      </w:r>
      <w:r w:rsidR="00896A1F" w:rsidRPr="00EA49A9">
        <w:rPr>
          <w:shd w:val="clear" w:color="auto" w:fill="FFFFFF"/>
          <w:lang w:val="ru-RU"/>
        </w:rPr>
        <w:t xml:space="preserve">Центр повышения квалификации в области электросвязи в </w:t>
      </w:r>
      <w:proofErr w:type="spellStart"/>
      <w:r w:rsidR="00896A1F" w:rsidRPr="00EA49A9">
        <w:rPr>
          <w:shd w:val="clear" w:color="auto" w:fill="FFFFFF"/>
          <w:lang w:val="ru-RU"/>
        </w:rPr>
        <w:t>Газиабаде</w:t>
      </w:r>
      <w:proofErr w:type="spellEnd"/>
      <w:r w:rsidR="00896A1F" w:rsidRPr="00EA49A9">
        <w:rPr>
          <w:shd w:val="clear" w:color="auto" w:fill="FFFFFF"/>
          <w:lang w:val="ru-RU"/>
        </w:rPr>
        <w:t xml:space="preserve"> (Индия) был создан в рамках совместной инициативы МСЭ, ПРООН и</w:t>
      </w:r>
      <w:r w:rsidR="001D2DAF" w:rsidRPr="00EA49A9">
        <w:rPr>
          <w:shd w:val="clear" w:color="auto" w:fill="FFFFFF"/>
          <w:lang w:val="ru-RU"/>
        </w:rPr>
        <w:t> </w:t>
      </w:r>
      <w:r w:rsidR="00896A1F" w:rsidRPr="00EA49A9">
        <w:rPr>
          <w:shd w:val="clear" w:color="auto" w:fill="FFFFFF"/>
          <w:lang w:val="ru-RU"/>
        </w:rPr>
        <w:t xml:space="preserve">правительства Индии. Центр </w:t>
      </w:r>
      <w:proofErr w:type="spellStart"/>
      <w:r w:rsidR="00896A1F" w:rsidRPr="00EA49A9">
        <w:rPr>
          <w:shd w:val="clear" w:color="auto" w:fill="FFFFFF"/>
          <w:lang w:val="ru-RU"/>
        </w:rPr>
        <w:t>ALTTC</w:t>
      </w:r>
      <w:proofErr w:type="spellEnd"/>
      <w:r w:rsidR="00896A1F" w:rsidRPr="00EA49A9">
        <w:rPr>
          <w:shd w:val="clear" w:color="auto" w:fill="FFFFFF"/>
          <w:lang w:val="ru-RU"/>
        </w:rPr>
        <w:t xml:space="preserve"> получил аккредитацию ISO 9001-2008 в качестве высшего учебного заведения. Центр повышения квалификации ведет большую работу по расширению прав и</w:t>
      </w:r>
      <w:r w:rsidR="001D2DAF" w:rsidRPr="00EA49A9">
        <w:rPr>
          <w:shd w:val="clear" w:color="auto" w:fill="FFFFFF"/>
          <w:lang w:val="ru-RU"/>
        </w:rPr>
        <w:t> </w:t>
      </w:r>
      <w:r w:rsidR="00896A1F" w:rsidRPr="00EA49A9">
        <w:rPr>
          <w:shd w:val="clear" w:color="auto" w:fill="FFFFFF"/>
          <w:lang w:val="ru-RU"/>
        </w:rPr>
        <w:t xml:space="preserve">возможностей не только в индийском секторе </w:t>
      </w:r>
      <w:r w:rsidR="00AA48B0" w:rsidRPr="00EA49A9">
        <w:rPr>
          <w:shd w:val="clear" w:color="auto" w:fill="FFFFFF"/>
          <w:lang w:val="ru-RU"/>
        </w:rPr>
        <w:t>электросвязи</w:t>
      </w:r>
      <w:r w:rsidR="00896A1F" w:rsidRPr="00EA49A9">
        <w:rPr>
          <w:shd w:val="clear" w:color="auto" w:fill="FFFFFF"/>
          <w:lang w:val="ru-RU"/>
        </w:rPr>
        <w:t xml:space="preserve">, но и в Азиатско-Тихоокеанском регионе в целом. МСЭ назначил </w:t>
      </w:r>
      <w:proofErr w:type="spellStart"/>
      <w:r w:rsidR="00896A1F" w:rsidRPr="00EA49A9">
        <w:rPr>
          <w:shd w:val="clear" w:color="auto" w:fill="FFFFFF"/>
          <w:lang w:val="ru-RU"/>
        </w:rPr>
        <w:t>ALTTC</w:t>
      </w:r>
      <w:proofErr w:type="spellEnd"/>
      <w:r w:rsidR="00896A1F" w:rsidRPr="00EA49A9">
        <w:rPr>
          <w:shd w:val="clear" w:color="auto" w:fill="FFFFFF"/>
          <w:lang w:val="ru-RU"/>
        </w:rPr>
        <w:t xml:space="preserve"> центром профессионального мастерства в области широкополосной связи. Помимо производителей оборудования</w:t>
      </w:r>
      <w:r w:rsidR="00AA48B0" w:rsidRPr="00EA49A9">
        <w:rPr>
          <w:shd w:val="clear" w:color="auto" w:fill="FFFFFF"/>
          <w:lang w:val="ru-RU"/>
        </w:rPr>
        <w:t xml:space="preserve"> электросвязи</w:t>
      </w:r>
      <w:r w:rsidR="00896A1F" w:rsidRPr="00EA49A9">
        <w:rPr>
          <w:shd w:val="clear" w:color="auto" w:fill="FFFFFF"/>
          <w:lang w:val="ru-RU"/>
        </w:rPr>
        <w:t>, операторов электросвязи и частных организаций, в настоящее время институт удовлетворяет потребности в учебной подготовке стран</w:t>
      </w:r>
      <w:r w:rsidR="001D2DAF" w:rsidRPr="00EA49A9">
        <w:rPr>
          <w:shd w:val="clear" w:color="auto" w:fill="FFFFFF"/>
          <w:lang w:val="ru-RU"/>
        </w:rPr>
        <w:t xml:space="preserve"> – </w:t>
      </w:r>
      <w:r w:rsidR="00896A1F" w:rsidRPr="00EA49A9">
        <w:rPr>
          <w:shd w:val="clear" w:color="auto" w:fill="FFFFFF"/>
          <w:lang w:val="ru-RU"/>
        </w:rPr>
        <w:t xml:space="preserve">членов </w:t>
      </w:r>
      <w:proofErr w:type="spellStart"/>
      <w:r w:rsidR="00896A1F" w:rsidRPr="00EA49A9">
        <w:rPr>
          <w:shd w:val="clear" w:color="auto" w:fill="FFFFFF"/>
          <w:lang w:val="ru-RU"/>
        </w:rPr>
        <w:t>АСЕАН</w:t>
      </w:r>
      <w:proofErr w:type="spellEnd"/>
      <w:r w:rsidR="00896A1F" w:rsidRPr="00EA49A9">
        <w:rPr>
          <w:shd w:val="clear" w:color="auto" w:fill="FFFFFF"/>
          <w:lang w:val="ru-RU"/>
        </w:rPr>
        <w:t xml:space="preserve">, </w:t>
      </w:r>
      <w:proofErr w:type="spellStart"/>
      <w:r w:rsidR="00896A1F" w:rsidRPr="00EA49A9">
        <w:rPr>
          <w:shd w:val="clear" w:color="auto" w:fill="FFFFFF"/>
          <w:lang w:val="ru-RU"/>
        </w:rPr>
        <w:t>ЭСКАТО</w:t>
      </w:r>
      <w:proofErr w:type="spellEnd"/>
      <w:r w:rsidR="00896A1F" w:rsidRPr="00EA49A9">
        <w:rPr>
          <w:shd w:val="clear" w:color="auto" w:fill="FFFFFF"/>
          <w:lang w:val="ru-RU"/>
        </w:rPr>
        <w:t xml:space="preserve">, АТСЭ, МСЭ, а также содействует осуществлению инициатив правительства Индии в области </w:t>
      </w:r>
      <w:r w:rsidR="00BA34BD" w:rsidRPr="00EA49A9">
        <w:rPr>
          <w:shd w:val="clear" w:color="auto" w:fill="FFFFFF"/>
          <w:lang w:val="ru-RU"/>
        </w:rPr>
        <w:t>создания</w:t>
      </w:r>
      <w:r w:rsidR="00896A1F" w:rsidRPr="00EA49A9">
        <w:rPr>
          <w:shd w:val="clear" w:color="auto" w:fill="FFFFFF"/>
          <w:lang w:val="ru-RU"/>
        </w:rPr>
        <w:t xml:space="preserve"> потенциала.</w:t>
      </w:r>
    </w:p>
    <w:p w:rsidR="00833F2D" w:rsidRPr="00EA49A9" w:rsidRDefault="00833F2D" w:rsidP="00B45E01">
      <w:pPr>
        <w:rPr>
          <w:shd w:val="clear" w:color="auto" w:fill="FFFFFF"/>
          <w:lang w:val="ru-RU"/>
        </w:rPr>
      </w:pPr>
      <w:r w:rsidRPr="00EA49A9">
        <w:rPr>
          <w:shd w:val="clear" w:color="auto" w:fill="FFFFFF"/>
          <w:lang w:val="ru-RU"/>
        </w:rPr>
        <w:t>3.3</w:t>
      </w:r>
      <w:r w:rsidR="00DB2062" w:rsidRPr="00EA49A9">
        <w:rPr>
          <w:shd w:val="clear" w:color="auto" w:fill="FFFFFF"/>
          <w:lang w:val="ru-RU"/>
        </w:rPr>
        <w:tab/>
      </w:r>
      <w:r w:rsidR="00896A1F" w:rsidRPr="00EA49A9">
        <w:rPr>
          <w:b/>
          <w:shd w:val="clear" w:color="auto" w:fill="FFFFFF"/>
          <w:lang w:val="ru-RU"/>
        </w:rPr>
        <w:t>Центр профессионального мастерства для IoT (ЦПМ IoT), Индия</w:t>
      </w:r>
      <w:r w:rsidR="00896A1F" w:rsidRPr="00EA49A9">
        <w:rPr>
          <w:lang w:val="ru-RU"/>
        </w:rPr>
        <w:t>. В</w:t>
      </w:r>
      <w:r w:rsidR="00896A1F" w:rsidRPr="00EA49A9">
        <w:rPr>
          <w:shd w:val="clear" w:color="auto" w:fill="FFFFFF"/>
          <w:lang w:val="ru-RU"/>
        </w:rPr>
        <w:t xml:space="preserve"> 2016 году в Индии был создан Центр профессионального мастерства для IoT в </w:t>
      </w:r>
      <w:proofErr w:type="spellStart"/>
      <w:r w:rsidR="00896A1F" w:rsidRPr="00EA49A9">
        <w:rPr>
          <w:shd w:val="clear" w:color="auto" w:fill="FFFFFF"/>
          <w:lang w:val="ru-RU"/>
        </w:rPr>
        <w:t>Бангалоре</w:t>
      </w:r>
      <w:proofErr w:type="spellEnd"/>
      <w:r w:rsidR="00896A1F" w:rsidRPr="00EA49A9">
        <w:rPr>
          <w:shd w:val="clear" w:color="auto" w:fill="FFFFFF"/>
          <w:lang w:val="ru-RU"/>
        </w:rPr>
        <w:t xml:space="preserve"> в рамках инициативы "Цифровая Индия", </w:t>
      </w:r>
      <w:r w:rsidR="001D2DAF" w:rsidRPr="00EA49A9">
        <w:rPr>
          <w:shd w:val="clear" w:color="auto" w:fill="FFFFFF"/>
          <w:lang w:val="ru-RU"/>
        </w:rPr>
        <w:t xml:space="preserve">направленной </w:t>
      </w:r>
      <w:r w:rsidR="00896A1F" w:rsidRPr="00EA49A9">
        <w:rPr>
          <w:shd w:val="clear" w:color="auto" w:fill="FFFFFF"/>
          <w:lang w:val="ru-RU"/>
        </w:rPr>
        <w:t>на ускорен</w:t>
      </w:r>
      <w:r w:rsidR="001D2DAF" w:rsidRPr="00EA49A9">
        <w:rPr>
          <w:shd w:val="clear" w:color="auto" w:fill="FFFFFF"/>
          <w:lang w:val="ru-RU"/>
        </w:rPr>
        <w:t>ное</w:t>
      </w:r>
      <w:r w:rsidR="00896A1F" w:rsidRPr="00EA49A9">
        <w:rPr>
          <w:shd w:val="clear" w:color="auto" w:fill="FFFFFF"/>
          <w:lang w:val="ru-RU"/>
        </w:rPr>
        <w:t xml:space="preserve"> формировани</w:t>
      </w:r>
      <w:r w:rsidR="001D2DAF" w:rsidRPr="00EA49A9">
        <w:rPr>
          <w:shd w:val="clear" w:color="auto" w:fill="FFFFFF"/>
          <w:lang w:val="ru-RU"/>
        </w:rPr>
        <w:t>е</w:t>
      </w:r>
      <w:r w:rsidR="00896A1F" w:rsidRPr="00EA49A9">
        <w:rPr>
          <w:shd w:val="clear" w:color="auto" w:fill="FFFFFF"/>
          <w:lang w:val="ru-RU"/>
        </w:rPr>
        <w:t xml:space="preserve"> экосистемы IoT на основе потенциала Индии в области ИТ и содействие в завоевании страной лидирующей роли в смежной области аппаратного и программного обеспечения. ЦПМ объединяет </w:t>
      </w:r>
      <w:r w:rsidR="00896A1F" w:rsidRPr="00EA49A9">
        <w:rPr>
          <w:lang w:val="ru-RU"/>
        </w:rPr>
        <w:t>различные</w:t>
      </w:r>
      <w:r w:rsidR="00896A1F" w:rsidRPr="00EA49A9">
        <w:rPr>
          <w:shd w:val="clear" w:color="auto" w:fill="FFFFFF"/>
          <w:lang w:val="ru-RU"/>
        </w:rPr>
        <w:t xml:space="preserve"> структуры, включая </w:t>
      </w:r>
      <w:proofErr w:type="spellStart"/>
      <w:r w:rsidR="00896A1F" w:rsidRPr="00EA49A9">
        <w:rPr>
          <w:shd w:val="clear" w:color="auto" w:fill="FFFFFF"/>
          <w:lang w:val="ru-RU"/>
        </w:rPr>
        <w:t>стартапы</w:t>
      </w:r>
      <w:proofErr w:type="spellEnd"/>
      <w:r w:rsidR="00896A1F" w:rsidRPr="00EA49A9">
        <w:rPr>
          <w:shd w:val="clear" w:color="auto" w:fill="FFFFFF"/>
          <w:lang w:val="ru-RU"/>
        </w:rPr>
        <w:t xml:space="preserve">, предприятия, венчурных инвесторов, государственные органы и академические организации. Основной целью центра является создание инновационных приложений в области IoT, больших данных, </w:t>
      </w:r>
      <w:r w:rsidR="00CE529A" w:rsidRPr="00EA49A9">
        <w:rPr>
          <w:shd w:val="clear" w:color="auto" w:fill="FFFFFF"/>
          <w:lang w:val="ru-RU"/>
        </w:rPr>
        <w:t>дополненной и виртуальной реальности</w:t>
      </w:r>
      <w:r w:rsidR="00896A1F" w:rsidRPr="00EA49A9">
        <w:rPr>
          <w:shd w:val="clear" w:color="auto" w:fill="FFFFFF"/>
          <w:lang w:val="ru-RU"/>
        </w:rPr>
        <w:t xml:space="preserve">, </w:t>
      </w:r>
      <w:r w:rsidR="00CE529A" w:rsidRPr="00EA49A9">
        <w:rPr>
          <w:shd w:val="clear" w:color="auto" w:fill="FFFFFF"/>
          <w:lang w:val="ru-RU"/>
        </w:rPr>
        <w:t>искусственного интеллекта</w:t>
      </w:r>
      <w:r w:rsidR="00896A1F" w:rsidRPr="00EA49A9">
        <w:rPr>
          <w:shd w:val="clear" w:color="auto" w:fill="FFFFFF"/>
          <w:lang w:val="ru-RU"/>
        </w:rPr>
        <w:t xml:space="preserve"> и робототехники для максимального раскрытия их потенциала и реализации возможностей в своей области благодаря инновационному характеру сообщества </w:t>
      </w:r>
      <w:proofErr w:type="spellStart"/>
      <w:r w:rsidR="00896A1F" w:rsidRPr="00EA49A9">
        <w:rPr>
          <w:shd w:val="clear" w:color="auto" w:fill="FFFFFF"/>
          <w:lang w:val="ru-RU"/>
        </w:rPr>
        <w:t>стартапов</w:t>
      </w:r>
      <w:proofErr w:type="spellEnd"/>
      <w:r w:rsidR="00896A1F" w:rsidRPr="00EA49A9">
        <w:rPr>
          <w:shd w:val="clear" w:color="auto" w:fill="FFFFFF"/>
          <w:lang w:val="ru-RU"/>
        </w:rPr>
        <w:t xml:space="preserve"> и использованию опыта корпоративных членов.</w:t>
      </w:r>
    </w:p>
    <w:p w:rsidR="00833F2D" w:rsidRPr="00EA49A9" w:rsidRDefault="00833F2D" w:rsidP="00B45E01">
      <w:pPr>
        <w:rPr>
          <w:shd w:val="clear" w:color="auto" w:fill="FFFFFF"/>
          <w:lang w:val="ru-RU"/>
        </w:rPr>
      </w:pPr>
      <w:r w:rsidRPr="00EA49A9">
        <w:rPr>
          <w:shd w:val="clear" w:color="auto" w:fill="FFFFFF"/>
          <w:lang w:val="ru-RU"/>
        </w:rPr>
        <w:t>3.4</w:t>
      </w:r>
      <w:r w:rsidRPr="00EA49A9">
        <w:rPr>
          <w:color w:val="0070C0"/>
          <w:shd w:val="clear" w:color="auto" w:fill="FFFFFF"/>
          <w:lang w:val="ru-RU"/>
        </w:rPr>
        <w:tab/>
      </w:r>
      <w:r w:rsidR="001823EB" w:rsidRPr="00EA49A9">
        <w:rPr>
          <w:shd w:val="clear" w:color="auto" w:fill="FFFFFF"/>
          <w:lang w:val="ru-RU"/>
        </w:rPr>
        <w:t xml:space="preserve">В последнее время Индия расширила свою поддержку Бутану, направив туда эксперта по разработке нормативно-правовой базы в области ЭМП согласно поручению регионального отделения МСЭ. Кроме того, помимо усилий, направленных на </w:t>
      </w:r>
      <w:r w:rsidR="00BA34BD" w:rsidRPr="00EA49A9">
        <w:rPr>
          <w:lang w:val="ru-RU"/>
        </w:rPr>
        <w:t>создание</w:t>
      </w:r>
      <w:r w:rsidR="001823EB" w:rsidRPr="00EA49A9">
        <w:rPr>
          <w:shd w:val="clear" w:color="auto" w:fill="FFFFFF"/>
          <w:lang w:val="ru-RU"/>
        </w:rPr>
        <w:t xml:space="preserve"> потенциала в области мониторинга и соответствия ЭМП, обмена передовым опытом в рамках учебных программ и проведени</w:t>
      </w:r>
      <w:r w:rsidR="001D2DAF" w:rsidRPr="00EA49A9">
        <w:rPr>
          <w:shd w:val="clear" w:color="auto" w:fill="FFFFFF"/>
          <w:lang w:val="ru-RU"/>
        </w:rPr>
        <w:t>я</w:t>
      </w:r>
      <w:r w:rsidR="001823EB" w:rsidRPr="00EA49A9">
        <w:rPr>
          <w:shd w:val="clear" w:color="auto" w:fill="FFFFFF"/>
          <w:lang w:val="ru-RU"/>
        </w:rPr>
        <w:t xml:space="preserve"> испытаний на местах на основе рекомендаций МСЭ в целях расширения набора навыков в Бутане, были приняты Стандартные операционные процедуры (</w:t>
      </w:r>
      <w:proofErr w:type="spellStart"/>
      <w:r w:rsidR="001823EB" w:rsidRPr="00EA49A9">
        <w:rPr>
          <w:shd w:val="clear" w:color="auto" w:fill="FFFFFF"/>
          <w:lang w:val="ru-RU"/>
        </w:rPr>
        <w:t>СОП</w:t>
      </w:r>
      <w:proofErr w:type="spellEnd"/>
      <w:r w:rsidR="001823EB" w:rsidRPr="00EA49A9">
        <w:rPr>
          <w:shd w:val="clear" w:color="auto" w:fill="FFFFFF"/>
          <w:lang w:val="ru-RU"/>
        </w:rPr>
        <w:t xml:space="preserve">) для проверки базовых станций подвижной связи/радиовещательных станций в Бутане на соответствие требованиям. МСЭ с одобрением признал этот вклад. Индия планирует расширить свою поддержку по разработке необходимого механизма и регламентов в сфере ИКТ в различных странах Южно-Азиатского </w:t>
      </w:r>
      <w:proofErr w:type="spellStart"/>
      <w:r w:rsidR="001823EB" w:rsidRPr="00EA49A9">
        <w:rPr>
          <w:shd w:val="clear" w:color="auto" w:fill="FFFFFF"/>
          <w:lang w:val="ru-RU"/>
        </w:rPr>
        <w:t>субрегиона</w:t>
      </w:r>
      <w:proofErr w:type="spellEnd"/>
      <w:r w:rsidR="001823EB" w:rsidRPr="00EA49A9">
        <w:rPr>
          <w:shd w:val="clear" w:color="auto" w:fill="FFFFFF"/>
          <w:lang w:val="ru-RU"/>
        </w:rPr>
        <w:t>.</w:t>
      </w:r>
    </w:p>
    <w:p w:rsidR="00833F2D" w:rsidRPr="00EA49A9" w:rsidRDefault="00833F2D" w:rsidP="00B45E01">
      <w:pPr>
        <w:rPr>
          <w:shd w:val="clear" w:color="auto" w:fill="FFFFFF"/>
          <w:lang w:val="ru-RU"/>
        </w:rPr>
      </w:pPr>
      <w:r w:rsidRPr="00EA49A9">
        <w:rPr>
          <w:shd w:val="clear" w:color="auto" w:fill="FFFFFF"/>
          <w:lang w:val="ru-RU"/>
        </w:rPr>
        <w:t>3.5</w:t>
      </w:r>
      <w:r w:rsidRPr="00EA49A9">
        <w:rPr>
          <w:shd w:val="clear" w:color="auto" w:fill="FFFFFF"/>
          <w:lang w:val="ru-RU"/>
        </w:rPr>
        <w:tab/>
      </w:r>
      <w:r w:rsidR="001823EB" w:rsidRPr="00EA49A9">
        <w:rPr>
          <w:b/>
          <w:shd w:val="clear" w:color="auto" w:fill="FFFFFF"/>
          <w:lang w:val="ru-RU"/>
        </w:rPr>
        <w:t xml:space="preserve">Проект Информационной магистрали </w:t>
      </w:r>
      <w:proofErr w:type="spellStart"/>
      <w:r w:rsidR="001823EB" w:rsidRPr="00EA49A9">
        <w:rPr>
          <w:b/>
          <w:shd w:val="clear" w:color="auto" w:fill="FFFFFF"/>
          <w:lang w:val="ru-RU"/>
        </w:rPr>
        <w:t>SASEC</w:t>
      </w:r>
      <w:proofErr w:type="spellEnd"/>
      <w:r w:rsidR="001823EB" w:rsidRPr="00EA49A9">
        <w:rPr>
          <w:bCs/>
          <w:shd w:val="clear" w:color="auto" w:fill="FFFFFF"/>
          <w:lang w:val="ru-RU"/>
        </w:rPr>
        <w:t>.</w:t>
      </w:r>
      <w:r w:rsidR="00440A4E" w:rsidRPr="00EA49A9">
        <w:rPr>
          <w:bCs/>
          <w:color w:val="000000"/>
          <w:spacing w:val="20"/>
          <w:shd w:val="clear" w:color="auto" w:fill="FFFFFF"/>
          <w:lang w:val="ru-RU"/>
        </w:rPr>
        <w:t xml:space="preserve"> </w:t>
      </w:r>
      <w:r w:rsidR="001823EB" w:rsidRPr="00EA49A9">
        <w:rPr>
          <w:shd w:val="clear" w:color="auto" w:fill="FFFFFF"/>
          <w:lang w:val="ru-RU"/>
        </w:rPr>
        <w:t>В Индии расположен центр управления сетью (</w:t>
      </w:r>
      <w:proofErr w:type="spellStart"/>
      <w:r w:rsidR="001823EB" w:rsidRPr="00EA49A9">
        <w:rPr>
          <w:shd w:val="clear" w:color="auto" w:fill="FFFFFF"/>
          <w:lang w:val="ru-RU"/>
        </w:rPr>
        <w:t>NOC</w:t>
      </w:r>
      <w:proofErr w:type="spellEnd"/>
      <w:r w:rsidR="001823EB" w:rsidRPr="00EA49A9">
        <w:rPr>
          <w:shd w:val="clear" w:color="auto" w:fill="FFFFFF"/>
          <w:lang w:val="ru-RU"/>
        </w:rPr>
        <w:t xml:space="preserve">) проекта Информационной магистрали </w:t>
      </w:r>
      <w:proofErr w:type="spellStart"/>
      <w:r w:rsidR="001823EB" w:rsidRPr="00EA49A9">
        <w:rPr>
          <w:shd w:val="clear" w:color="auto" w:fill="FFFFFF"/>
          <w:lang w:val="ru-RU"/>
        </w:rPr>
        <w:t>SASEC</w:t>
      </w:r>
      <w:proofErr w:type="spellEnd"/>
      <w:r w:rsidR="001823EB" w:rsidRPr="00EA49A9">
        <w:rPr>
          <w:shd w:val="clear" w:color="auto" w:fill="FFFFFF"/>
          <w:lang w:val="ru-RU"/>
        </w:rPr>
        <w:t xml:space="preserve">, реализуемого в </w:t>
      </w:r>
      <w:proofErr w:type="spellStart"/>
      <w:r w:rsidR="001823EB" w:rsidRPr="00EA49A9">
        <w:rPr>
          <w:shd w:val="clear" w:color="auto" w:fill="FFFFFF"/>
          <w:lang w:val="ru-RU"/>
        </w:rPr>
        <w:t>Силигури</w:t>
      </w:r>
      <w:proofErr w:type="spellEnd"/>
      <w:r w:rsidR="001823EB" w:rsidRPr="00EA49A9">
        <w:rPr>
          <w:shd w:val="clear" w:color="auto" w:fill="FFFFFF"/>
          <w:lang w:val="ru-RU"/>
        </w:rPr>
        <w:t xml:space="preserve">, штат Западная Бенгалия. Данный проект призван объединить </w:t>
      </w:r>
      <w:proofErr w:type="spellStart"/>
      <w:r w:rsidR="001823EB" w:rsidRPr="00EA49A9">
        <w:rPr>
          <w:shd w:val="clear" w:color="auto" w:fill="FFFFFF"/>
          <w:lang w:val="ru-RU"/>
        </w:rPr>
        <w:t>исследовательско</w:t>
      </w:r>
      <w:proofErr w:type="spellEnd"/>
      <w:r w:rsidR="001823EB" w:rsidRPr="00EA49A9">
        <w:rPr>
          <w:shd w:val="clear" w:color="auto" w:fill="FFFFFF"/>
          <w:lang w:val="ru-RU"/>
        </w:rPr>
        <w:t>-учебные центры (</w:t>
      </w:r>
      <w:proofErr w:type="spellStart"/>
      <w:r w:rsidR="001823EB" w:rsidRPr="00EA49A9">
        <w:rPr>
          <w:shd w:val="clear" w:color="auto" w:fill="FFFFFF"/>
          <w:lang w:val="ru-RU"/>
        </w:rPr>
        <w:t>ИУЦ</w:t>
      </w:r>
      <w:proofErr w:type="spellEnd"/>
      <w:r w:rsidR="001823EB" w:rsidRPr="00EA49A9">
        <w:rPr>
          <w:shd w:val="clear" w:color="auto" w:fill="FFFFFF"/>
          <w:lang w:val="ru-RU"/>
        </w:rPr>
        <w:t xml:space="preserve">) в Индии, Непале, Бутане и Бангладеш </w:t>
      </w:r>
      <w:r w:rsidR="001823EB" w:rsidRPr="00EA49A9">
        <w:rPr>
          <w:lang w:val="ru-RU"/>
        </w:rPr>
        <w:t>посредством</w:t>
      </w:r>
      <w:r w:rsidR="001823EB" w:rsidRPr="00EA49A9">
        <w:rPr>
          <w:shd w:val="clear" w:color="auto" w:fill="FFFFFF"/>
          <w:lang w:val="ru-RU"/>
        </w:rPr>
        <w:t xml:space="preserve"> региональной волоконно-оптической сети с пропускной способностью 1 Гбит/с, которая со временем будет увеличена до 10 Гбит/с. </w:t>
      </w:r>
      <w:proofErr w:type="spellStart"/>
      <w:r w:rsidR="001823EB" w:rsidRPr="00EA49A9">
        <w:rPr>
          <w:shd w:val="clear" w:color="auto" w:fill="FFFFFF"/>
          <w:lang w:val="ru-RU"/>
        </w:rPr>
        <w:t>ИУЦ</w:t>
      </w:r>
      <w:proofErr w:type="spellEnd"/>
      <w:r w:rsidR="001823EB" w:rsidRPr="00EA49A9">
        <w:rPr>
          <w:shd w:val="clear" w:color="auto" w:fill="FFFFFF"/>
          <w:lang w:val="ru-RU"/>
        </w:rPr>
        <w:t xml:space="preserve"> этих стран занимаются разработкой различных приложений, проводят различные онлайновые курсы и т. д. с помощью 25 сельских общинных электронных центров (</w:t>
      </w:r>
      <w:proofErr w:type="spellStart"/>
      <w:r w:rsidR="001823EB" w:rsidRPr="00EA49A9">
        <w:rPr>
          <w:shd w:val="clear" w:color="auto" w:fill="FFFFFF"/>
          <w:lang w:val="ru-RU"/>
        </w:rPr>
        <w:t>ОЭЦ</w:t>
      </w:r>
      <w:proofErr w:type="spellEnd"/>
      <w:r w:rsidR="001823EB" w:rsidRPr="00EA49A9">
        <w:rPr>
          <w:shd w:val="clear" w:color="auto" w:fill="FFFFFF"/>
          <w:lang w:val="ru-RU"/>
        </w:rPr>
        <w:t xml:space="preserve">), подключенных к </w:t>
      </w:r>
      <w:proofErr w:type="spellStart"/>
      <w:r w:rsidR="001823EB" w:rsidRPr="00EA49A9">
        <w:rPr>
          <w:shd w:val="clear" w:color="auto" w:fill="FFFFFF"/>
          <w:lang w:val="ru-RU"/>
        </w:rPr>
        <w:t>ИУЦ</w:t>
      </w:r>
      <w:proofErr w:type="spellEnd"/>
      <w:r w:rsidR="001823EB" w:rsidRPr="00EA49A9">
        <w:rPr>
          <w:shd w:val="clear" w:color="auto" w:fill="FFFFFF"/>
          <w:lang w:val="ru-RU"/>
        </w:rPr>
        <w:t>, в целях расширения цифровых прав и возможностей и создания условий для получения средств к существованию для сельского населения с возможностью дальнейшего расширения.</w:t>
      </w:r>
    </w:p>
    <w:p w:rsidR="00833F2D" w:rsidRPr="00EA49A9" w:rsidRDefault="00833F2D" w:rsidP="00B45E01">
      <w:pPr>
        <w:rPr>
          <w:lang w:val="ru-RU"/>
        </w:rPr>
      </w:pPr>
      <w:r w:rsidRPr="00EA49A9">
        <w:rPr>
          <w:lang w:val="ru-RU"/>
        </w:rPr>
        <w:t>3.6</w:t>
      </w:r>
      <w:r w:rsidR="001823EB" w:rsidRPr="00EA49A9">
        <w:rPr>
          <w:lang w:val="ru-RU"/>
        </w:rPr>
        <w:tab/>
        <w:t>Еще одной крупной региональной инициативой стал запуск Южно-Азиатского геостационарного спутника связи, полностью разработанного и профинансированного Индией. С помощью этого спутника государства Южной Азии будут получать различные услуги и приложения ИКТ. Эта инициатива заслуживает дальнейшего развития посредством взаимодействия в рамках совместных усилий.</w:t>
      </w:r>
    </w:p>
    <w:p w:rsidR="00CA55DF" w:rsidRPr="00EA49A9" w:rsidRDefault="00833F2D" w:rsidP="00B45E01">
      <w:pPr>
        <w:rPr>
          <w:lang w:val="ru-RU"/>
        </w:rPr>
      </w:pPr>
      <w:r w:rsidRPr="00EA49A9">
        <w:rPr>
          <w:shd w:val="clear" w:color="auto" w:fill="FFFFFF"/>
          <w:lang w:val="ru-RU"/>
        </w:rPr>
        <w:t>3.7</w:t>
      </w:r>
      <w:r w:rsidRPr="00EA49A9">
        <w:rPr>
          <w:shd w:val="clear" w:color="auto" w:fill="FFFFFF"/>
          <w:lang w:val="ru-RU"/>
        </w:rPr>
        <w:tab/>
      </w:r>
      <w:r w:rsidR="00CA55DF" w:rsidRPr="00EA49A9">
        <w:rPr>
          <w:b/>
          <w:shd w:val="clear" w:color="auto" w:fill="FFFFFF"/>
          <w:lang w:val="ru-RU"/>
        </w:rPr>
        <w:t>Первый международный симпозиум "Глобальная инициатива по охвату финансовыми услугами" (</w:t>
      </w:r>
      <w:proofErr w:type="spellStart"/>
      <w:r w:rsidR="00CA55DF" w:rsidRPr="00EA49A9">
        <w:rPr>
          <w:b/>
          <w:shd w:val="clear" w:color="auto" w:fill="FFFFFF"/>
          <w:lang w:val="ru-RU"/>
        </w:rPr>
        <w:t>FIGI</w:t>
      </w:r>
      <w:proofErr w:type="spellEnd"/>
      <w:r w:rsidR="00CA55DF" w:rsidRPr="00EA49A9">
        <w:rPr>
          <w:b/>
          <w:shd w:val="clear" w:color="auto" w:fill="FFFFFF"/>
          <w:lang w:val="ru-RU"/>
        </w:rPr>
        <w:t>)</w:t>
      </w:r>
      <w:r w:rsidR="00CA55DF" w:rsidRPr="006450CE">
        <w:rPr>
          <w:bCs/>
          <w:shd w:val="clear" w:color="auto" w:fill="FFFFFF"/>
          <w:lang w:val="ru-RU"/>
        </w:rPr>
        <w:t xml:space="preserve">. </w:t>
      </w:r>
      <w:r w:rsidR="00CA55DF" w:rsidRPr="00EA49A9">
        <w:rPr>
          <w:shd w:val="clear" w:color="auto" w:fill="FFFFFF"/>
          <w:lang w:val="ru-RU"/>
        </w:rPr>
        <w:t xml:space="preserve">Индия создала экосистему, обеспечивающую возможности для экспоненциального </w:t>
      </w:r>
      <w:r w:rsidR="00CA55DF" w:rsidRPr="00EA49A9">
        <w:rPr>
          <w:shd w:val="clear" w:color="auto" w:fill="FFFFFF"/>
          <w:lang w:val="ru-RU"/>
        </w:rPr>
        <w:lastRenderedPageBreak/>
        <w:t xml:space="preserve">роста </w:t>
      </w:r>
      <w:proofErr w:type="spellStart"/>
      <w:r w:rsidR="00CA55DF" w:rsidRPr="00EA49A9">
        <w:rPr>
          <w:shd w:val="clear" w:color="auto" w:fill="FFFFFF"/>
          <w:lang w:val="ru-RU"/>
        </w:rPr>
        <w:t>стартапов</w:t>
      </w:r>
      <w:proofErr w:type="spellEnd"/>
      <w:r w:rsidR="00CA55DF" w:rsidRPr="00EA49A9">
        <w:rPr>
          <w:shd w:val="clear" w:color="auto" w:fill="FFFFFF"/>
          <w:lang w:val="ru-RU"/>
        </w:rPr>
        <w:t xml:space="preserve"> и их превращения в крупные предприятия. В настоящее время в сфере цифровых финансовых услуг в Индии работает более 600 </w:t>
      </w:r>
      <w:proofErr w:type="spellStart"/>
      <w:r w:rsidR="00CA55DF" w:rsidRPr="00EA49A9">
        <w:rPr>
          <w:shd w:val="clear" w:color="auto" w:fill="FFFFFF"/>
          <w:lang w:val="ru-RU"/>
        </w:rPr>
        <w:t>стартапов</w:t>
      </w:r>
      <w:proofErr w:type="spellEnd"/>
      <w:r w:rsidR="00CA55DF" w:rsidRPr="00EA49A9">
        <w:rPr>
          <w:shd w:val="clear" w:color="auto" w:fill="FFFFFF"/>
          <w:lang w:val="ru-RU"/>
        </w:rPr>
        <w:t xml:space="preserve"> в области финансовых технологий, и их число в различных сегментах растет в результате таких инициатив, как целенаправленные государственные </w:t>
      </w:r>
      <w:r w:rsidR="00CA55DF" w:rsidRPr="00EA49A9">
        <w:rPr>
          <w:lang w:val="ru-RU"/>
        </w:rPr>
        <w:t>программы</w:t>
      </w:r>
      <w:r w:rsidR="00CA55DF" w:rsidRPr="00EA49A9">
        <w:rPr>
          <w:shd w:val="clear" w:color="auto" w:fill="FFFFFF"/>
          <w:lang w:val="ru-RU"/>
        </w:rPr>
        <w:t xml:space="preserve"> ускорения и предоставления соответствующих льгот регуляторными органами и банками. За последние несколько лет </w:t>
      </w:r>
      <w:proofErr w:type="spellStart"/>
      <w:r w:rsidR="00CA55DF" w:rsidRPr="00EA49A9">
        <w:rPr>
          <w:shd w:val="clear" w:color="auto" w:fill="FFFFFF"/>
          <w:lang w:val="ru-RU"/>
        </w:rPr>
        <w:t>стартапы</w:t>
      </w:r>
      <w:proofErr w:type="spellEnd"/>
      <w:r w:rsidR="00CA55DF" w:rsidRPr="00EA49A9">
        <w:rPr>
          <w:shd w:val="clear" w:color="auto" w:fill="FFFFFF"/>
          <w:lang w:val="ru-RU"/>
        </w:rPr>
        <w:t xml:space="preserve"> в области финансовых технологий разработали ряд инновационных продуктов и услуг, включая электронные кошельки, приложения для получения ссуд и страховые приложения на основе технологических инноваций. Индийский рынок программного обеспечения в области финансовых технологий</w:t>
      </w:r>
      <w:r w:rsidR="00CA55DF" w:rsidRPr="00EA49A9">
        <w:rPr>
          <w:rStyle w:val="FootnoteReference"/>
          <w:lang w:val="ru-RU"/>
        </w:rPr>
        <w:footnoteReference w:id="16"/>
      </w:r>
      <w:r w:rsidR="00CA55DF" w:rsidRPr="00EA49A9">
        <w:rPr>
          <w:shd w:val="clear" w:color="auto" w:fill="FFFFFF"/>
          <w:lang w:val="ru-RU"/>
        </w:rPr>
        <w:t xml:space="preserve"> может достичь к 2020 году уровня 2,4 млрд. долл. США по сравнению с текущим уровнем 1,2 млрд. долл. США в</w:t>
      </w:r>
      <w:r w:rsidR="00CE529A" w:rsidRPr="00EA49A9">
        <w:rPr>
          <w:shd w:val="clear" w:color="auto" w:fill="FFFFFF"/>
          <w:lang w:val="ru-RU"/>
        </w:rPr>
        <w:t> </w:t>
      </w:r>
      <w:r w:rsidR="00CA55DF" w:rsidRPr="00EA49A9">
        <w:rPr>
          <w:shd w:val="clear" w:color="auto" w:fill="FFFFFF"/>
          <w:lang w:val="ru-RU"/>
        </w:rPr>
        <w:t>2016</w:t>
      </w:r>
      <w:r w:rsidR="00CE529A" w:rsidRPr="00EA49A9">
        <w:rPr>
          <w:shd w:val="clear" w:color="auto" w:fill="FFFFFF"/>
          <w:lang w:val="ru-RU"/>
        </w:rPr>
        <w:t> </w:t>
      </w:r>
      <w:r w:rsidR="00CA55DF" w:rsidRPr="00EA49A9">
        <w:rPr>
          <w:shd w:val="clear" w:color="auto" w:fill="FFFFFF"/>
          <w:lang w:val="ru-RU"/>
        </w:rPr>
        <w:t xml:space="preserve">финансовом году. </w:t>
      </w:r>
    </w:p>
    <w:p w:rsidR="00833F2D" w:rsidRPr="00EA49A9" w:rsidRDefault="00CA55DF" w:rsidP="00B45E01">
      <w:pPr>
        <w:rPr>
          <w:shd w:val="clear" w:color="auto" w:fill="FFFFFF"/>
          <w:lang w:val="ru-RU"/>
        </w:rPr>
      </w:pPr>
      <w:r w:rsidRPr="00EA49A9">
        <w:rPr>
          <w:shd w:val="clear" w:color="auto" w:fill="FFFFFF"/>
          <w:lang w:val="ru-RU"/>
        </w:rPr>
        <w:t xml:space="preserve">МСЭ одобрил эти достижения </w:t>
      </w:r>
      <w:r w:rsidRPr="00EA49A9">
        <w:rPr>
          <w:lang w:val="ru-RU"/>
        </w:rPr>
        <w:t>Индии</w:t>
      </w:r>
      <w:r w:rsidRPr="00EA49A9">
        <w:rPr>
          <w:shd w:val="clear" w:color="auto" w:fill="FFFFFF"/>
          <w:lang w:val="ru-RU"/>
        </w:rPr>
        <w:t xml:space="preserve"> и предложил стране принять у себя первый международный симпозиум "Глобальная инициатива по охвату финансовыми услугами", который был успешно проведен в </w:t>
      </w:r>
      <w:proofErr w:type="spellStart"/>
      <w:r w:rsidRPr="00EA49A9">
        <w:rPr>
          <w:shd w:val="clear" w:color="auto" w:fill="FFFFFF"/>
          <w:lang w:val="ru-RU"/>
        </w:rPr>
        <w:t>Бангалоре</w:t>
      </w:r>
      <w:proofErr w:type="spellEnd"/>
      <w:r w:rsidRPr="00EA49A9">
        <w:rPr>
          <w:shd w:val="clear" w:color="auto" w:fill="FFFFFF"/>
          <w:lang w:val="ru-RU"/>
        </w:rPr>
        <w:t xml:space="preserve"> в ноябре 2017 года и получил заслуженное признание МСЭ и мирового сообщества в целом. Необходимо наладить постоянное взаимодействие в этой области, с тем </w:t>
      </w:r>
      <w:proofErr w:type="gramStart"/>
      <w:r w:rsidRPr="00EA49A9">
        <w:rPr>
          <w:shd w:val="clear" w:color="auto" w:fill="FFFFFF"/>
          <w:lang w:val="ru-RU"/>
        </w:rPr>
        <w:t>чтобы</w:t>
      </w:r>
      <w:proofErr w:type="gramEnd"/>
      <w:r w:rsidRPr="00EA49A9">
        <w:rPr>
          <w:shd w:val="clear" w:color="auto" w:fill="FFFFFF"/>
          <w:lang w:val="ru-RU"/>
        </w:rPr>
        <w:t xml:space="preserve"> объединив усилия, обеспечить </w:t>
      </w:r>
      <w:r w:rsidR="00440A4E" w:rsidRPr="00EA49A9">
        <w:rPr>
          <w:shd w:val="clear" w:color="auto" w:fill="FFFFFF"/>
          <w:lang w:val="ru-RU"/>
        </w:rPr>
        <w:t xml:space="preserve">дальнейшее </w:t>
      </w:r>
      <w:r w:rsidRPr="00EA49A9">
        <w:rPr>
          <w:shd w:val="clear" w:color="auto" w:fill="FFFFFF"/>
          <w:lang w:val="ru-RU"/>
        </w:rPr>
        <w:t>распространение инициатив по охвату финансовыми услугами в регионе.</w:t>
      </w:r>
    </w:p>
    <w:p w:rsidR="00833F2D" w:rsidRPr="00EA49A9" w:rsidRDefault="00833F2D" w:rsidP="00EA49A9">
      <w:pPr>
        <w:rPr>
          <w:lang w:val="ru-RU"/>
        </w:rPr>
      </w:pPr>
      <w:r w:rsidRPr="00EA49A9">
        <w:rPr>
          <w:shd w:val="clear" w:color="auto" w:fill="FFFFFF"/>
          <w:lang w:val="ru-RU"/>
        </w:rPr>
        <w:t>3.8</w:t>
      </w:r>
      <w:r w:rsidRPr="00EA49A9">
        <w:rPr>
          <w:color w:val="0070C0"/>
          <w:shd w:val="clear" w:color="auto" w:fill="FFFFFF"/>
          <w:lang w:val="ru-RU"/>
        </w:rPr>
        <w:tab/>
      </w:r>
      <w:r w:rsidR="00CA55DF" w:rsidRPr="00EA49A9">
        <w:rPr>
          <w:shd w:val="clear" w:color="auto" w:fill="FFFFFF"/>
          <w:lang w:val="ru-RU"/>
        </w:rPr>
        <w:t xml:space="preserve">Индия осуществила Панафриканскую программу </w:t>
      </w:r>
      <w:proofErr w:type="spellStart"/>
      <w:r w:rsidR="00CA55DF" w:rsidRPr="00EA49A9">
        <w:rPr>
          <w:shd w:val="clear" w:color="auto" w:fill="FFFFFF"/>
          <w:lang w:val="ru-RU"/>
        </w:rPr>
        <w:t>телеобучения</w:t>
      </w:r>
      <w:proofErr w:type="spellEnd"/>
      <w:r w:rsidR="00CA55DF" w:rsidRPr="00EA49A9">
        <w:rPr>
          <w:shd w:val="clear" w:color="auto" w:fill="FFFFFF"/>
          <w:lang w:val="ru-RU"/>
        </w:rPr>
        <w:t xml:space="preserve"> и телемедицины, создав электронные сети между индийскими университетами, индийскими больницами первичной медико-санитарной помощи и 48</w:t>
      </w:r>
      <w:r w:rsidR="001C2143" w:rsidRPr="00EA49A9">
        <w:rPr>
          <w:shd w:val="clear" w:color="auto" w:fill="FFFFFF"/>
          <w:lang w:val="ru-RU"/>
        </w:rPr>
        <w:t> </w:t>
      </w:r>
      <w:r w:rsidR="00CA55DF" w:rsidRPr="00EA49A9">
        <w:rPr>
          <w:shd w:val="clear" w:color="auto" w:fill="FFFFFF"/>
          <w:lang w:val="ru-RU"/>
        </w:rPr>
        <w:t xml:space="preserve">странами Африки. На следующем этапе эти программы будут осуществляться посредством облачных решений, с тем чтобы возможностями проекта могла воспользоваться аудитория, находящаяся в других географических или отдаленных регионах. </w:t>
      </w:r>
      <w:r w:rsidR="00CA55DF" w:rsidRPr="00EA49A9">
        <w:rPr>
          <w:lang w:val="ru-RU"/>
        </w:rPr>
        <w:t xml:space="preserve">Индия планирует в будущем воспроизвести эту модель и в Южно-Азиатском регионе и будет рада сотрудничеству с МСЭ в этой области. </w:t>
      </w:r>
      <w:r w:rsidR="001C2143" w:rsidRPr="00EA49A9">
        <w:rPr>
          <w:lang w:val="ru-RU"/>
        </w:rPr>
        <w:t>В распоряжении Индии имеется большое число экспертов в области электросвязи и ИТ,</w:t>
      </w:r>
      <w:r w:rsidR="00CA55DF" w:rsidRPr="00EA49A9">
        <w:rPr>
          <w:lang w:val="ru-RU"/>
        </w:rPr>
        <w:t xml:space="preserve"> которые могут быть задействованы для разработки политики в области ИКТ, наработки опыта в регламентарных вопросах, создания инфраструктуры, осуществления национальных программ ИКТ и программ </w:t>
      </w:r>
      <w:r w:rsidR="00BA34BD" w:rsidRPr="00EA49A9">
        <w:rPr>
          <w:lang w:val="ru-RU"/>
        </w:rPr>
        <w:t>создания</w:t>
      </w:r>
      <w:r w:rsidR="00CA55DF" w:rsidRPr="00EA49A9">
        <w:rPr>
          <w:lang w:val="ru-RU"/>
        </w:rPr>
        <w:t xml:space="preserve"> потенциала в регионе и за его пределами.</w:t>
      </w:r>
    </w:p>
    <w:p w:rsidR="00833F2D" w:rsidRPr="00EA49A9" w:rsidRDefault="00833F2D" w:rsidP="00EA49A9">
      <w:pPr>
        <w:rPr>
          <w:lang w:val="ru-RU"/>
        </w:rPr>
      </w:pPr>
      <w:r w:rsidRPr="00EA49A9">
        <w:rPr>
          <w:lang w:val="ru-RU"/>
        </w:rPr>
        <w:t>3.9</w:t>
      </w:r>
      <w:r w:rsidRPr="00EA49A9">
        <w:rPr>
          <w:lang w:val="ru-RU"/>
        </w:rPr>
        <w:tab/>
      </w:r>
      <w:r w:rsidR="0013157E" w:rsidRPr="00EA49A9">
        <w:rPr>
          <w:lang w:val="ru-RU"/>
        </w:rPr>
        <w:t>Позиция Индии была подтверждена Аддис-Абебской программой действий третьей Международной конференции по финансированию развития (</w:t>
      </w:r>
      <w:smartTag w:uri="urn:schemas-microsoft-com:office:smarttags" w:element="metricconverter">
        <w:smartTagPr>
          <w:attr w:name="ProductID" w:val="2015 г"/>
        </w:smartTagPr>
        <w:r w:rsidR="0013157E" w:rsidRPr="00EA49A9">
          <w:rPr>
            <w:lang w:val="ru-RU"/>
          </w:rPr>
          <w:t>2015 год</w:t>
        </w:r>
      </w:smartTag>
      <w:r w:rsidR="0013157E" w:rsidRPr="00EA49A9">
        <w:rPr>
          <w:lang w:val="ru-RU"/>
        </w:rPr>
        <w:t xml:space="preserve">). В ней подчеркивается, что "создание, развитие и распространение новых инноваций и технологий, а также связанных с ними ноу-хау, включая передачу технологий на взаимно согласованных условиях, представляют собой мощные движущие силы экономического роста и устойчивого развития". Индия готова осуществить передачу разработанных в </w:t>
      </w:r>
      <w:r w:rsidR="00CE529A" w:rsidRPr="00EA49A9">
        <w:rPr>
          <w:lang w:val="ru-RU"/>
        </w:rPr>
        <w:t>стране</w:t>
      </w:r>
      <w:r w:rsidR="0013157E" w:rsidRPr="00EA49A9">
        <w:rPr>
          <w:lang w:val="ru-RU"/>
        </w:rPr>
        <w:t xml:space="preserve"> недорогих технологий, которые в высшей степени пригодны для сельских районов, через Банк технологий ООН при помощи МСЭ и его различных международных и региональных организаций, имея твердое намерение добиться самообеспеченности для других развивающихся стран и обеспечить приемлемость различных услуг ИКТ в ценовом отношении.</w:t>
      </w:r>
    </w:p>
    <w:p w:rsidR="00833F2D" w:rsidRPr="00EA49A9" w:rsidRDefault="00833F2D" w:rsidP="00EA49A9">
      <w:pPr>
        <w:rPr>
          <w:shd w:val="clear" w:color="auto" w:fill="FFFFFF"/>
          <w:lang w:val="ru-RU"/>
        </w:rPr>
      </w:pPr>
      <w:r w:rsidRPr="00EA49A9">
        <w:rPr>
          <w:shd w:val="clear" w:color="auto" w:fill="FFFFFF"/>
          <w:lang w:val="ru-RU"/>
        </w:rPr>
        <w:t>3.10</w:t>
      </w:r>
      <w:r w:rsidR="00DB2062" w:rsidRPr="00EA49A9">
        <w:rPr>
          <w:shd w:val="clear" w:color="auto" w:fill="FFFFFF"/>
          <w:lang w:val="ru-RU"/>
        </w:rPr>
        <w:tab/>
      </w:r>
      <w:r w:rsidR="0013157E" w:rsidRPr="00EA49A9">
        <w:rPr>
          <w:shd w:val="clear" w:color="auto" w:fill="FFFFFF"/>
          <w:lang w:val="ru-RU"/>
        </w:rPr>
        <w:t>Индия уже предприняла значительные шаги по развитию экосистемы IoT/</w:t>
      </w:r>
      <w:proofErr w:type="spellStart"/>
      <w:r w:rsidR="0013157E" w:rsidRPr="00EA49A9">
        <w:rPr>
          <w:shd w:val="clear" w:color="auto" w:fill="FFFFFF"/>
          <w:lang w:val="ru-RU"/>
        </w:rPr>
        <w:t>oneM2M</w:t>
      </w:r>
      <w:proofErr w:type="spellEnd"/>
      <w:r w:rsidR="0013157E" w:rsidRPr="00EA49A9">
        <w:rPr>
          <w:shd w:val="clear" w:color="auto" w:fill="FFFFFF"/>
          <w:lang w:val="ru-RU"/>
        </w:rPr>
        <w:t xml:space="preserve">/ для управления операциями в случае бедствий и других решений, связанных с недорогостоящими технологиями, которые могут оказаться </w:t>
      </w:r>
      <w:r w:rsidR="0013157E" w:rsidRPr="00EA49A9">
        <w:rPr>
          <w:lang w:val="ru-RU"/>
        </w:rPr>
        <w:t>весьма</w:t>
      </w:r>
      <w:r w:rsidR="0013157E" w:rsidRPr="00EA49A9">
        <w:rPr>
          <w:shd w:val="clear" w:color="auto" w:fill="FFFFFF"/>
          <w:lang w:val="ru-RU"/>
        </w:rPr>
        <w:t xml:space="preserve"> эффективными в среде без установок кондиционирования воздуха/сельских районах. Индия готова оказать полную поддержку при использовании этих технологий для развития Южно</w:t>
      </w:r>
      <w:r w:rsidR="0013157E" w:rsidRPr="00EA49A9">
        <w:rPr>
          <w:lang w:val="ru-RU"/>
        </w:rPr>
        <w:t>-</w:t>
      </w:r>
      <w:r w:rsidR="0013157E" w:rsidRPr="00EA49A9">
        <w:rPr>
          <w:shd w:val="clear" w:color="auto" w:fill="FFFFFF"/>
          <w:lang w:val="ru-RU"/>
        </w:rPr>
        <w:t>Азиатского региона.</w:t>
      </w:r>
    </w:p>
    <w:p w:rsidR="00833F2D" w:rsidRPr="00EA49A9" w:rsidRDefault="00833F2D" w:rsidP="00EA49A9">
      <w:pPr>
        <w:rPr>
          <w:bCs/>
          <w:shd w:val="clear" w:color="auto" w:fill="FFFFFF"/>
          <w:lang w:val="ru-RU"/>
        </w:rPr>
      </w:pPr>
      <w:r w:rsidRPr="00EA49A9">
        <w:rPr>
          <w:lang w:val="ru-RU"/>
        </w:rPr>
        <w:t>3.11</w:t>
      </w:r>
      <w:r w:rsidRPr="00EA49A9">
        <w:rPr>
          <w:color w:val="0070C0"/>
          <w:lang w:val="ru-RU"/>
        </w:rPr>
        <w:tab/>
      </w:r>
      <w:r w:rsidR="00C443DE" w:rsidRPr="00EA49A9">
        <w:rPr>
          <w:lang w:val="ru-RU"/>
        </w:rPr>
        <w:t xml:space="preserve">Все вышеуказанные проекты, ресурсы и концепции в отношении оказываемой Индией поддержки развивающимся странам в данном регионе и за его пределами в целях претворения в жизнь нашей общей концепции построения обществ, основанных на знаниях, могут быть эффективно и действенно реализованы на основе платформы, предложенной предполагаемым </w:t>
      </w:r>
      <w:r w:rsidR="00C443DE" w:rsidRPr="00EA49A9">
        <w:rPr>
          <w:b/>
          <w:lang w:val="ru-RU"/>
        </w:rPr>
        <w:t>зональным отделением МСЭ для стран Южной Азии в Индии.</w:t>
      </w:r>
      <w:r w:rsidR="00C443DE" w:rsidRPr="00EA49A9">
        <w:rPr>
          <w:lang w:val="ru-RU"/>
        </w:rPr>
        <w:t xml:space="preserve"> </w:t>
      </w:r>
      <w:r w:rsidR="00C443DE" w:rsidRPr="00EA49A9">
        <w:rPr>
          <w:b/>
          <w:lang w:val="ru-RU"/>
        </w:rPr>
        <w:t xml:space="preserve">Все эти инициативы и многие другие глобальные/региональные совместные усилия могут быть упорядочены и реализованы с </w:t>
      </w:r>
      <w:r w:rsidR="00C443DE" w:rsidRPr="00EA49A9">
        <w:rPr>
          <w:b/>
          <w:lang w:val="ru-RU"/>
        </w:rPr>
        <w:lastRenderedPageBreak/>
        <w:t>использованием целенаправленного подхода в тесной связи и сотрудничестве с МСЭ посредством предлагаемого зонального отделения в Индии</w:t>
      </w:r>
      <w:r w:rsidR="00C443DE" w:rsidRPr="00EA49A9">
        <w:rPr>
          <w:bCs/>
          <w:lang w:val="ru-RU"/>
        </w:rPr>
        <w:t>.</w:t>
      </w:r>
    </w:p>
    <w:p w:rsidR="00833F2D" w:rsidRPr="00EA49A9" w:rsidRDefault="00833F2D" w:rsidP="00EA49A9">
      <w:pPr>
        <w:pStyle w:val="Heading1"/>
        <w:rPr>
          <w:lang w:val="ru-RU" w:eastAsia="en-IN"/>
        </w:rPr>
      </w:pPr>
      <w:r w:rsidRPr="00EA49A9">
        <w:rPr>
          <w:lang w:val="ru-RU" w:eastAsia="en-IN"/>
        </w:rPr>
        <w:t>4</w:t>
      </w:r>
      <w:r w:rsidR="00DB2062" w:rsidRPr="00EA49A9">
        <w:rPr>
          <w:lang w:val="ru-RU" w:eastAsia="en-IN"/>
        </w:rPr>
        <w:tab/>
      </w:r>
      <w:r w:rsidR="004F222C" w:rsidRPr="00EA49A9">
        <w:rPr>
          <w:lang w:val="ru-RU"/>
        </w:rPr>
        <w:t>Потенциальные возможности согласно предложению</w:t>
      </w:r>
    </w:p>
    <w:p w:rsidR="00833F2D" w:rsidRPr="00EA49A9" w:rsidRDefault="00833F2D" w:rsidP="00EA49A9">
      <w:pPr>
        <w:rPr>
          <w:lang w:val="ru-RU"/>
        </w:rPr>
      </w:pPr>
      <w:r w:rsidRPr="00EA49A9">
        <w:rPr>
          <w:lang w:val="ru-RU" w:eastAsia="en-IN"/>
        </w:rPr>
        <w:t>4.1</w:t>
      </w:r>
      <w:r w:rsidRPr="00EA49A9">
        <w:rPr>
          <w:lang w:val="ru-RU" w:eastAsia="en-IN"/>
        </w:rPr>
        <w:tab/>
      </w:r>
      <w:r w:rsidR="004F222C" w:rsidRPr="00EA49A9">
        <w:rPr>
          <w:lang w:val="ru-RU"/>
        </w:rPr>
        <w:t xml:space="preserve">Существуют значительный синергизм и потенциальные возможности для расширения взаимодействия между индийским сектором ИКТ и программами МСЭ в сфере оказания содействия ИКТ в странах Южно-Азиатского </w:t>
      </w:r>
      <w:proofErr w:type="spellStart"/>
      <w:r w:rsidR="004F222C" w:rsidRPr="00EA49A9">
        <w:rPr>
          <w:lang w:val="ru-RU"/>
        </w:rPr>
        <w:t>субрегиона</w:t>
      </w:r>
      <w:proofErr w:type="spellEnd"/>
      <w:r w:rsidR="004F222C" w:rsidRPr="00EA49A9">
        <w:rPr>
          <w:lang w:val="ru-RU"/>
        </w:rPr>
        <w:t xml:space="preserve"> и развивающихся странах с учетом важности инновационных решений, предлагаемых индийским технологическим сектором. Исчерпывающий перечень инноваций в рамках программы "Цифровая Индия" приведен по адресу </w:t>
      </w:r>
      <w:hyperlink r:id="rId13" w:history="1">
        <w:r w:rsidR="004F222C" w:rsidRPr="00EA49A9">
          <w:rPr>
            <w:rStyle w:val="Hyperlink"/>
            <w:rFonts w:asciiTheme="minorHAnsi" w:hAnsiTheme="minorHAnsi"/>
            <w:szCs w:val="22"/>
            <w:lang w:val="ru-RU"/>
          </w:rPr>
          <w:t>http://digitalindia.gov.in/di-initiatives</w:t>
        </w:r>
      </w:hyperlink>
      <w:r w:rsidR="004F222C" w:rsidRPr="00EA49A9">
        <w:rPr>
          <w:lang w:val="ru-RU"/>
        </w:rPr>
        <w:t>. Инновации касаются таких областей, как развитие сельских районов, программы развития, транспорт, здравоохранение, образование, управление проектами, развитие женщин и детей, безопасность, развитие навыков, управлени</w:t>
      </w:r>
      <w:r w:rsidR="00440A4E" w:rsidRPr="00EA49A9">
        <w:rPr>
          <w:lang w:val="ru-RU"/>
        </w:rPr>
        <w:t>е</w:t>
      </w:r>
      <w:r w:rsidR="004F222C" w:rsidRPr="00EA49A9">
        <w:rPr>
          <w:lang w:val="ru-RU"/>
        </w:rPr>
        <w:t xml:space="preserve"> и т. д. Такие решения и взаимодействие будут иметь важное значение для преодолени</w:t>
      </w:r>
      <w:r w:rsidR="001D2DAF" w:rsidRPr="00EA49A9">
        <w:rPr>
          <w:lang w:val="ru-RU"/>
        </w:rPr>
        <w:t>е</w:t>
      </w:r>
      <w:r w:rsidR="004F222C" w:rsidRPr="00EA49A9">
        <w:rPr>
          <w:lang w:val="ru-RU"/>
        </w:rPr>
        <w:t xml:space="preserve"> цифрового разрыва и оказания технической помощи развивающимся странам путем разработки эффективных основ для инфраструктуры, электронного государственного управления и </w:t>
      </w:r>
      <w:proofErr w:type="spellStart"/>
      <w:r w:rsidR="004F222C" w:rsidRPr="00EA49A9">
        <w:rPr>
          <w:lang w:val="ru-RU"/>
        </w:rPr>
        <w:t>межсекторального</w:t>
      </w:r>
      <w:proofErr w:type="spellEnd"/>
      <w:r w:rsidR="004F222C" w:rsidRPr="00EA49A9">
        <w:rPr>
          <w:lang w:val="ru-RU"/>
        </w:rPr>
        <w:t xml:space="preserve"> применения ИКТ в целях широкомасштабного удовлетворения потребностей людей.</w:t>
      </w:r>
    </w:p>
    <w:p w:rsidR="00833F2D" w:rsidRPr="00EA49A9" w:rsidRDefault="00833F2D" w:rsidP="00EA49A9">
      <w:pPr>
        <w:rPr>
          <w:lang w:val="ru-RU"/>
        </w:rPr>
      </w:pPr>
      <w:r w:rsidRPr="00EA49A9">
        <w:rPr>
          <w:lang w:val="ru-RU"/>
        </w:rPr>
        <w:t>4.2</w:t>
      </w:r>
      <w:r w:rsidRPr="00EA49A9">
        <w:rPr>
          <w:lang w:val="ru-RU"/>
        </w:rPr>
        <w:tab/>
      </w:r>
      <w:r w:rsidR="00FA3661" w:rsidRPr="00EA49A9">
        <w:rPr>
          <w:lang w:val="ru-RU"/>
        </w:rPr>
        <w:t xml:space="preserve">Выгодным для всех решением было бы создание </w:t>
      </w:r>
      <w:r w:rsidR="00FA3661" w:rsidRPr="00EA49A9">
        <w:rPr>
          <w:b/>
          <w:lang w:val="ru-RU"/>
        </w:rPr>
        <w:t>зонального отделения для стран Южной Азии и технологического инновационного центра в Индии</w:t>
      </w:r>
      <w:r w:rsidR="00FA3661" w:rsidRPr="00EA49A9">
        <w:rPr>
          <w:lang w:val="ru-RU"/>
        </w:rPr>
        <w:t>, призванных удовлетворить региональные потребности с акцентом на Южной Азии.</w:t>
      </w:r>
    </w:p>
    <w:p w:rsidR="00833F2D" w:rsidRPr="00EA49A9" w:rsidRDefault="00833F2D" w:rsidP="00EA49A9">
      <w:pPr>
        <w:rPr>
          <w:lang w:val="ru-RU"/>
        </w:rPr>
      </w:pPr>
      <w:r w:rsidRPr="00EA49A9">
        <w:rPr>
          <w:lang w:val="ru-RU"/>
        </w:rPr>
        <w:t>4.3</w:t>
      </w:r>
      <w:r w:rsidRPr="00EA49A9">
        <w:rPr>
          <w:lang w:val="ru-RU"/>
        </w:rPr>
        <w:tab/>
      </w:r>
      <w:r w:rsidR="00D45839" w:rsidRPr="00EA49A9">
        <w:rPr>
          <w:lang w:val="ru-RU"/>
        </w:rPr>
        <w:t>Такое взаимодействие может служить для МСЭ отличной платформой для разработки решений на основе ИКТ в рамках технического сотрудничества, которые бы способствовали достижению программных целей МСЭ в Азиатско-Тихоокеанском регионе и во всем мире в партнерстве с Индией.</w:t>
      </w:r>
    </w:p>
    <w:p w:rsidR="00833F2D" w:rsidRPr="00EA49A9" w:rsidRDefault="00833F2D" w:rsidP="00EA49A9">
      <w:pPr>
        <w:rPr>
          <w:lang w:val="ru-RU"/>
        </w:rPr>
      </w:pPr>
      <w:r w:rsidRPr="00EA49A9">
        <w:rPr>
          <w:shd w:val="clear" w:color="auto" w:fill="FFFFFF"/>
          <w:lang w:val="ru-RU"/>
        </w:rPr>
        <w:t>4.4</w:t>
      </w:r>
      <w:r w:rsidRPr="00EA49A9">
        <w:rPr>
          <w:shd w:val="clear" w:color="auto" w:fill="FFFFFF"/>
          <w:lang w:val="ru-RU"/>
        </w:rPr>
        <w:tab/>
      </w:r>
      <w:r w:rsidR="00D45839" w:rsidRPr="00EA49A9">
        <w:rPr>
          <w:shd w:val="clear" w:color="auto" w:fill="FFFFFF"/>
          <w:lang w:val="ru-RU"/>
        </w:rPr>
        <w:t xml:space="preserve">Система Организации Объединенных Наций в Индии включает 26 организаций, удовлетворяющих </w:t>
      </w:r>
      <w:r w:rsidR="00D45839" w:rsidRPr="00EA49A9">
        <w:rPr>
          <w:lang w:val="ru-RU"/>
        </w:rPr>
        <w:t>региональные</w:t>
      </w:r>
      <w:r w:rsidR="00D45839" w:rsidRPr="00EA49A9">
        <w:rPr>
          <w:shd w:val="clear" w:color="auto" w:fill="FFFFFF"/>
          <w:lang w:val="ru-RU"/>
        </w:rPr>
        <w:t xml:space="preserve"> потребности. С учетом того, что ИКТ являются естественным фактором содействия мерам по достижению ЦУР, отделение МСЭ в Индии могло бы способствовать </w:t>
      </w:r>
      <w:proofErr w:type="spellStart"/>
      <w:r w:rsidR="00D45839" w:rsidRPr="00EA49A9">
        <w:rPr>
          <w:shd w:val="clear" w:color="auto" w:fill="FFFFFF"/>
          <w:lang w:val="ru-RU"/>
        </w:rPr>
        <w:t>межсекторальным</w:t>
      </w:r>
      <w:proofErr w:type="spellEnd"/>
      <w:r w:rsidR="00D45839" w:rsidRPr="00EA49A9">
        <w:rPr>
          <w:shd w:val="clear" w:color="auto" w:fill="FFFFFF"/>
          <w:lang w:val="ru-RU"/>
        </w:rPr>
        <w:t xml:space="preserve"> усилиям в области применения и использования ИКТ.</w:t>
      </w:r>
    </w:p>
    <w:p w:rsidR="00833F2D" w:rsidRPr="00EA49A9" w:rsidRDefault="00833F2D" w:rsidP="00EA49A9">
      <w:pPr>
        <w:pStyle w:val="Heading1"/>
        <w:rPr>
          <w:lang w:val="ru-RU"/>
        </w:rPr>
      </w:pPr>
      <w:r w:rsidRPr="00EA49A9">
        <w:rPr>
          <w:lang w:val="ru-RU"/>
        </w:rPr>
        <w:t>5</w:t>
      </w:r>
      <w:r w:rsidR="00DB2062" w:rsidRPr="00EA49A9">
        <w:rPr>
          <w:lang w:val="ru-RU"/>
        </w:rPr>
        <w:tab/>
      </w:r>
      <w:r w:rsidR="00C21717" w:rsidRPr="00EA49A9">
        <w:rPr>
          <w:lang w:val="ru-RU"/>
        </w:rPr>
        <w:t>Предложение индийской администрации</w:t>
      </w:r>
    </w:p>
    <w:p w:rsidR="00C21717" w:rsidRPr="00EA49A9" w:rsidRDefault="00EA49A9" w:rsidP="00EA49A9">
      <w:pPr>
        <w:pStyle w:val="enumlev1"/>
        <w:rPr>
          <w:lang w:val="ru-RU"/>
        </w:rPr>
      </w:pPr>
      <w:r w:rsidRPr="00EA49A9">
        <w:rPr>
          <w:lang w:val="ru-RU"/>
        </w:rPr>
        <w:t>•</w:t>
      </w:r>
      <w:r w:rsidRPr="00EA49A9">
        <w:rPr>
          <w:lang w:val="ru-RU"/>
        </w:rPr>
        <w:tab/>
      </w:r>
      <w:r w:rsidR="00C21717" w:rsidRPr="00EA49A9">
        <w:rPr>
          <w:lang w:val="ru-RU"/>
        </w:rPr>
        <w:t xml:space="preserve">Разместить зональное отделение МСЭ для стран Южной Азии и технологический инновационный центр в Нью-Дели или </w:t>
      </w:r>
      <w:proofErr w:type="spellStart"/>
      <w:r w:rsidR="00C21717" w:rsidRPr="00EA49A9">
        <w:rPr>
          <w:lang w:val="ru-RU"/>
        </w:rPr>
        <w:t>Бангалоре</w:t>
      </w:r>
      <w:proofErr w:type="spellEnd"/>
      <w:r w:rsidR="00C21717" w:rsidRPr="00EA49A9">
        <w:rPr>
          <w:lang w:val="ru-RU"/>
        </w:rPr>
        <w:t xml:space="preserve"> и обеспечить необходимые материально-технические средства, включая пространство, инфраструктуру и другие условия;</w:t>
      </w:r>
    </w:p>
    <w:p w:rsidR="00C21717" w:rsidRPr="00EA49A9" w:rsidRDefault="00EA49A9" w:rsidP="00EA49A9">
      <w:pPr>
        <w:pStyle w:val="enumlev1"/>
        <w:rPr>
          <w:lang w:val="ru-RU"/>
        </w:rPr>
      </w:pPr>
      <w:r w:rsidRPr="00EA49A9">
        <w:rPr>
          <w:lang w:val="ru-RU"/>
        </w:rPr>
        <w:t>•</w:t>
      </w:r>
      <w:r w:rsidRPr="00EA49A9">
        <w:rPr>
          <w:lang w:val="ru-RU"/>
        </w:rPr>
        <w:tab/>
      </w:r>
      <w:r w:rsidRPr="00EA49A9">
        <w:rPr>
          <w:lang w:val="ru-RU"/>
        </w:rPr>
        <w:t xml:space="preserve">откомандировать </w:t>
      </w:r>
      <w:r w:rsidR="00C21717" w:rsidRPr="00EA49A9">
        <w:rPr>
          <w:lang w:val="ru-RU"/>
        </w:rPr>
        <w:t>сотрудников категории специалистов и общей категории, необходимых для поддержки деятельности, на первоначальный срок 4</w:t>
      </w:r>
      <w:r w:rsidR="00E9399F" w:rsidRPr="00EA49A9">
        <w:rPr>
          <w:lang w:val="ru-RU"/>
        </w:rPr>
        <w:t> </w:t>
      </w:r>
      <w:r w:rsidR="00C21717" w:rsidRPr="00EA49A9">
        <w:rPr>
          <w:lang w:val="ru-RU"/>
        </w:rPr>
        <w:t xml:space="preserve">года с последующим продлением срока </w:t>
      </w:r>
      <w:r w:rsidR="00E9399F" w:rsidRPr="00EA49A9">
        <w:rPr>
          <w:lang w:val="ru-RU"/>
        </w:rPr>
        <w:t>при необходимости</w:t>
      </w:r>
      <w:r w:rsidR="00C21717" w:rsidRPr="00EA49A9">
        <w:rPr>
          <w:lang w:val="ru-RU"/>
        </w:rPr>
        <w:t>. Участие других стран приветствуется и будет осуществляться в</w:t>
      </w:r>
      <w:r w:rsidR="00E9399F" w:rsidRPr="00EA49A9">
        <w:rPr>
          <w:lang w:val="ru-RU"/>
        </w:rPr>
        <w:t> </w:t>
      </w:r>
      <w:r w:rsidR="00C21717" w:rsidRPr="00EA49A9">
        <w:rPr>
          <w:lang w:val="ru-RU"/>
        </w:rPr>
        <w:t xml:space="preserve">соответствии с </w:t>
      </w:r>
      <w:proofErr w:type="spellStart"/>
      <w:r w:rsidR="00C21717" w:rsidRPr="00EA49A9">
        <w:rPr>
          <w:lang w:val="ru-RU"/>
        </w:rPr>
        <w:t>СОП</w:t>
      </w:r>
      <w:proofErr w:type="spellEnd"/>
      <w:r w:rsidR="00C21717" w:rsidRPr="00EA49A9">
        <w:rPr>
          <w:lang w:val="ru-RU"/>
        </w:rPr>
        <w:t xml:space="preserve"> МСЭ;</w:t>
      </w:r>
    </w:p>
    <w:p w:rsidR="00C21717" w:rsidRPr="00EA49A9" w:rsidRDefault="00EA49A9" w:rsidP="00EA49A9">
      <w:pPr>
        <w:pStyle w:val="enumlev1"/>
        <w:rPr>
          <w:lang w:val="ru-RU"/>
        </w:rPr>
      </w:pPr>
      <w:r w:rsidRPr="00EA49A9">
        <w:rPr>
          <w:lang w:val="ru-RU"/>
        </w:rPr>
        <w:t>•</w:t>
      </w:r>
      <w:r w:rsidRPr="00EA49A9">
        <w:rPr>
          <w:lang w:val="ru-RU"/>
        </w:rPr>
        <w:tab/>
      </w:r>
      <w:r w:rsidRPr="00EA49A9">
        <w:rPr>
          <w:lang w:val="ru-RU"/>
        </w:rPr>
        <w:t xml:space="preserve">предложить </w:t>
      </w:r>
      <w:r w:rsidR="00C21717" w:rsidRPr="00EA49A9">
        <w:rPr>
          <w:lang w:val="ru-RU"/>
        </w:rPr>
        <w:t xml:space="preserve">необходимые </w:t>
      </w:r>
      <w:r w:rsidR="00E9399F" w:rsidRPr="00EA49A9">
        <w:rPr>
          <w:lang w:val="ru-RU"/>
        </w:rPr>
        <w:t>иммунитеты</w:t>
      </w:r>
      <w:r w:rsidR="00C21717" w:rsidRPr="00EA49A9">
        <w:rPr>
          <w:lang w:val="ru-RU"/>
        </w:rPr>
        <w:t xml:space="preserve"> и привилегии по мере необходимости; и </w:t>
      </w:r>
    </w:p>
    <w:p w:rsidR="00833F2D" w:rsidRPr="00EA49A9" w:rsidRDefault="00EA49A9" w:rsidP="00EA49A9">
      <w:pPr>
        <w:pStyle w:val="enumlev1"/>
        <w:rPr>
          <w:lang w:val="ru-RU"/>
        </w:rPr>
      </w:pPr>
      <w:r w:rsidRPr="00EA49A9">
        <w:rPr>
          <w:lang w:val="ru-RU"/>
        </w:rPr>
        <w:t>•</w:t>
      </w:r>
      <w:r w:rsidRPr="00EA49A9">
        <w:rPr>
          <w:lang w:val="ru-RU"/>
        </w:rPr>
        <w:tab/>
      </w:r>
      <w:r w:rsidRPr="00EA49A9">
        <w:rPr>
          <w:lang w:val="ru-RU"/>
        </w:rPr>
        <w:t xml:space="preserve">разработать </w:t>
      </w:r>
      <w:r w:rsidR="00C21717" w:rsidRPr="00EA49A9">
        <w:rPr>
          <w:lang w:val="ru-RU"/>
        </w:rPr>
        <w:t>в дальнейшем дополнительные подробности на основе консультаций с</w:t>
      </w:r>
      <w:r w:rsidR="00E9399F" w:rsidRPr="00EA49A9">
        <w:rPr>
          <w:lang w:val="ru-RU"/>
        </w:rPr>
        <w:t> </w:t>
      </w:r>
      <w:r w:rsidR="00C21717" w:rsidRPr="00EA49A9">
        <w:rPr>
          <w:lang w:val="ru-RU"/>
        </w:rPr>
        <w:t>Секретариатом и другими странами региона.</w:t>
      </w:r>
    </w:p>
    <w:p w:rsidR="00833F2D" w:rsidRPr="00EA49A9" w:rsidRDefault="00E9399F" w:rsidP="00EA49A9">
      <w:pPr>
        <w:rPr>
          <w:lang w:val="ru-RU"/>
        </w:rPr>
      </w:pPr>
      <w:r w:rsidRPr="00EA49A9">
        <w:rPr>
          <w:lang w:val="ru-RU"/>
        </w:rPr>
        <w:t xml:space="preserve">С учетом значительных возможностей, указанных выше, индийская администрация обращается к Членам Совета за поддержкой для создания </w:t>
      </w:r>
      <w:r w:rsidRPr="00EA49A9">
        <w:rPr>
          <w:b/>
          <w:lang w:val="ru-RU"/>
        </w:rPr>
        <w:t>зонального отделения для стран Южной Азии и технологического инновационного цен</w:t>
      </w:r>
      <w:bookmarkStart w:id="9" w:name="_GoBack"/>
      <w:bookmarkEnd w:id="9"/>
      <w:r w:rsidRPr="00EA49A9">
        <w:rPr>
          <w:b/>
          <w:lang w:val="ru-RU"/>
        </w:rPr>
        <w:t>тра в Индии</w:t>
      </w:r>
      <w:r w:rsidRPr="00EA49A9">
        <w:rPr>
          <w:lang w:val="ru-RU"/>
        </w:rPr>
        <w:t xml:space="preserve">, которые в значительной степени способствовали </w:t>
      </w:r>
      <w:r w:rsidR="001D2DAF" w:rsidRPr="00EA49A9">
        <w:rPr>
          <w:lang w:val="ru-RU"/>
        </w:rPr>
        <w:t xml:space="preserve">бы </w:t>
      </w:r>
      <w:r w:rsidRPr="00EA49A9">
        <w:rPr>
          <w:lang w:val="ru-RU"/>
        </w:rPr>
        <w:t>обогащению программ и соответствующих решений МСЭ, ориентированных на Южную Азию, но актуальных и для других развивающихся стран, включая НРС, ЛЛДС и СИДС, в том что касается преодоления цифрового разрыва и обеспечения применения ИКТ в целях развития для</w:t>
      </w:r>
      <w:r w:rsidR="00A4100F" w:rsidRPr="00EA49A9">
        <w:rPr>
          <w:lang w:val="ru-RU"/>
        </w:rPr>
        <w:t> </w:t>
      </w:r>
      <w:r w:rsidRPr="00EA49A9">
        <w:rPr>
          <w:lang w:val="ru-RU"/>
        </w:rPr>
        <w:t>достижения целей, предусмотренных ВВУИО.</w:t>
      </w:r>
    </w:p>
    <w:p w:rsidR="00EA49A9" w:rsidRPr="00EA49A9" w:rsidRDefault="00EA49A9">
      <w:pPr>
        <w:jc w:val="center"/>
        <w:rPr>
          <w:lang w:val="ru-RU"/>
        </w:rPr>
      </w:pPr>
      <w:r w:rsidRPr="00EA49A9">
        <w:rPr>
          <w:lang w:val="ru-RU"/>
        </w:rPr>
        <w:t>______________</w:t>
      </w:r>
    </w:p>
    <w:sectPr w:rsidR="00EA49A9" w:rsidRPr="00EA49A9" w:rsidSect="004D1851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23" w:rsidRDefault="003A4423">
      <w:r>
        <w:separator/>
      </w:r>
    </w:p>
  </w:endnote>
  <w:endnote w:type="continuationSeparator" w:id="0">
    <w:p w:rsidR="003A4423" w:rsidRDefault="003A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B1D" w:rsidRPr="003B2EEA" w:rsidRDefault="00EB0B1D" w:rsidP="00EB0B1D">
    <w:pPr>
      <w:pStyle w:val="Footer"/>
    </w:pPr>
    <w:r w:rsidRPr="00EB0B1D">
      <w:fldChar w:fldCharType="begin"/>
    </w:r>
    <w:r w:rsidRPr="00EB0B1D">
      <w:instrText xml:space="preserve"> FILENAME \p  \* MERGEFORMAT </w:instrText>
    </w:r>
    <w:r w:rsidRPr="00EB0B1D">
      <w:fldChar w:fldCharType="separate"/>
    </w:r>
    <w:r>
      <w:t>P:\RUS\SG\CONSEIL\C18\000\085REV1R.docx</w:t>
    </w:r>
    <w:r w:rsidRPr="00EB0B1D">
      <w:fldChar w:fldCharType="end"/>
    </w:r>
    <w:r>
      <w:t xml:space="preserve"> (</w:t>
    </w:r>
    <w:r>
      <w:rPr>
        <w:lang w:val="ru-RU"/>
      </w:rPr>
      <w:t>435604</w:t>
    </w:r>
    <w:r w:rsidRPr="00EB0B1D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3EB" w:rsidRPr="007612C6" w:rsidRDefault="001823EB">
    <w:pPr>
      <w:spacing w:after="120"/>
      <w:jc w:val="center"/>
      <w:rPr>
        <w:szCs w:val="22"/>
      </w:rPr>
    </w:pPr>
    <w:r w:rsidRPr="007612C6">
      <w:rPr>
        <w:szCs w:val="22"/>
      </w:rPr>
      <w:t xml:space="preserve">• </w:t>
    </w:r>
    <w:hyperlink r:id="rId1" w:history="1">
      <w:r w:rsidRPr="007612C6">
        <w:rPr>
          <w:rStyle w:val="Hyperlink"/>
          <w:szCs w:val="22"/>
        </w:rPr>
        <w:t>http://www.itu.int/council</w:t>
      </w:r>
    </w:hyperlink>
    <w:r w:rsidRPr="007612C6">
      <w:rPr>
        <w:szCs w:val="22"/>
      </w:rPr>
      <w:t xml:space="preserve"> •</w:t>
    </w:r>
  </w:p>
  <w:p w:rsidR="001823EB" w:rsidRPr="003B2EEA" w:rsidRDefault="00EB0B1D" w:rsidP="00EB0B1D">
    <w:pPr>
      <w:pStyle w:val="Footer"/>
    </w:pPr>
    <w:fldSimple w:instr=" FILENAME \p  \* MERGEFORMAT ">
      <w:r>
        <w:t>P:\RUS\SG\CONSEIL\C18\000\085REV1R.docx</w:t>
      </w:r>
    </w:fldSimple>
    <w:r>
      <w:t xml:space="preserve"> (</w:t>
    </w:r>
    <w:r>
      <w:rPr>
        <w:lang w:val="ru-RU"/>
      </w:rPr>
      <w:t>435604</w:t>
    </w:r>
    <w:r w:rsidRPr="00EB0B1D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23" w:rsidRDefault="003A4423">
      <w:r>
        <w:t>____________________</w:t>
      </w:r>
    </w:p>
  </w:footnote>
  <w:footnote w:type="continuationSeparator" w:id="0">
    <w:p w:rsidR="003A4423" w:rsidRDefault="003A4423">
      <w:r>
        <w:continuationSeparator/>
      </w:r>
    </w:p>
  </w:footnote>
  <w:footnote w:id="1">
    <w:p w:rsidR="001823EB" w:rsidRPr="009D53AA" w:rsidRDefault="001823EB" w:rsidP="009D53AA">
      <w:pPr>
        <w:pStyle w:val="FootnoteText"/>
        <w:ind w:left="255" w:hanging="255"/>
        <w:rPr>
          <w:lang w:val="ru-RU"/>
        </w:rPr>
      </w:pPr>
      <w:r w:rsidRPr="00EB0B1D">
        <w:rPr>
          <w:rStyle w:val="FootnoteReference"/>
        </w:rPr>
        <w:footnoteRef/>
      </w:r>
      <w:r w:rsidRPr="00EB0B1D">
        <w:tab/>
      </w:r>
      <w:hyperlink r:id="rId1" w:history="1">
        <w:r w:rsidR="009D53AA" w:rsidRPr="00CB21DB">
          <w:rPr>
            <w:rStyle w:val="Hyperlink"/>
          </w:rPr>
          <w:t>https://www.gsma.com/mobilefordevelopment/programme/ecosystem-accelerator/asia-pacific-a-look-at-the-565-active-tech-hubs-of-the-regions-emerging-economies/</w:t>
        </w:r>
      </w:hyperlink>
      <w:r w:rsidR="00EB0B1D" w:rsidRPr="009D53AA">
        <w:t>.</w:t>
      </w:r>
    </w:p>
  </w:footnote>
  <w:footnote w:id="2">
    <w:p w:rsidR="001823EB" w:rsidRPr="006450CE" w:rsidRDefault="001823EB" w:rsidP="009D53AA">
      <w:pPr>
        <w:pStyle w:val="FootnoteText"/>
        <w:rPr>
          <w:lang w:val="ru-RU"/>
        </w:rPr>
      </w:pPr>
      <w:r w:rsidRPr="006450CE">
        <w:rPr>
          <w:rStyle w:val="FootnoteReference"/>
          <w:lang w:val="ru-RU"/>
        </w:rPr>
        <w:footnoteRef/>
      </w:r>
      <w:r w:rsidRPr="006450CE">
        <w:rPr>
          <w:lang w:val="ru-RU"/>
        </w:rPr>
        <w:tab/>
      </w:r>
      <w:proofErr w:type="spellStart"/>
      <w:r w:rsidR="009D53AA" w:rsidRPr="006450CE">
        <w:rPr>
          <w:lang w:val="ru-RU"/>
        </w:rPr>
        <w:t>GSMA</w:t>
      </w:r>
      <w:proofErr w:type="spellEnd"/>
      <w:r w:rsidR="009D53AA" w:rsidRPr="006450CE">
        <w:rPr>
          <w:lang w:val="ru-RU"/>
        </w:rPr>
        <w:t xml:space="preserve"> − </w:t>
      </w:r>
      <w:hyperlink r:id="rId2" w:history="1">
        <w:r w:rsidR="009D53AA" w:rsidRPr="006450CE">
          <w:rPr>
            <w:rStyle w:val="Hyperlink"/>
            <w:lang w:val="ru-RU"/>
          </w:rPr>
          <w:t>https://www.gsma.com/mobilefordevelopment/wp-content/uploads/2017/11/GSMA-Triggering-Mobile-Internet-Use_Web.pdf</w:t>
        </w:r>
      </w:hyperlink>
      <w:r w:rsidR="009D53AA" w:rsidRPr="006450CE">
        <w:rPr>
          <w:lang w:val="ru-RU"/>
        </w:rPr>
        <w:t>.</w:t>
      </w:r>
    </w:p>
  </w:footnote>
  <w:footnote w:id="3">
    <w:p w:rsidR="001823EB" w:rsidRPr="006450CE" w:rsidRDefault="001823EB" w:rsidP="009D53AA">
      <w:pPr>
        <w:pStyle w:val="FootnoteText"/>
        <w:rPr>
          <w:lang w:val="ru-RU"/>
        </w:rPr>
      </w:pPr>
      <w:r w:rsidRPr="006450CE">
        <w:rPr>
          <w:rStyle w:val="FootnoteReference"/>
          <w:lang w:val="ru-RU"/>
        </w:rPr>
        <w:footnoteRef/>
      </w:r>
      <w:r w:rsidRPr="006450CE">
        <w:rPr>
          <w:lang w:val="ru-RU"/>
        </w:rPr>
        <w:tab/>
      </w:r>
      <w:hyperlink r:id="rId3" w:history="1">
        <w:r w:rsidR="009D53AA" w:rsidRPr="006450CE">
          <w:rPr>
            <w:rStyle w:val="Hyperlink"/>
            <w:rFonts w:asciiTheme="minorHAnsi" w:hAnsiTheme="minorHAnsi"/>
            <w:lang w:val="ru-RU"/>
          </w:rPr>
          <w:t>https://www.itu.int/en/ITU-D/Statistics/Pages/publications/mis2017.aspx</w:t>
        </w:r>
      </w:hyperlink>
      <w:r w:rsidR="009D53AA" w:rsidRPr="006450CE">
        <w:rPr>
          <w:lang w:val="ru-RU"/>
        </w:rPr>
        <w:t>.</w:t>
      </w:r>
    </w:p>
  </w:footnote>
  <w:footnote w:id="4">
    <w:p w:rsidR="001823EB" w:rsidRPr="006450CE" w:rsidRDefault="001823EB" w:rsidP="009D53AA">
      <w:pPr>
        <w:pStyle w:val="FootnoteText"/>
        <w:rPr>
          <w:lang w:val="ru-RU"/>
        </w:rPr>
      </w:pPr>
      <w:r w:rsidRPr="006450CE">
        <w:rPr>
          <w:rStyle w:val="FootnoteReference"/>
          <w:lang w:val="ru-RU"/>
        </w:rPr>
        <w:footnoteRef/>
      </w:r>
      <w:r w:rsidRPr="006450CE">
        <w:rPr>
          <w:rStyle w:val="FootnoteReference"/>
          <w:lang w:val="ru-RU"/>
        </w:rPr>
        <w:t xml:space="preserve"> </w:t>
      </w:r>
      <w:r w:rsidRPr="006450CE">
        <w:rPr>
          <w:lang w:val="ru-RU"/>
        </w:rPr>
        <w:tab/>
        <w:t>По данным</w:t>
      </w:r>
      <w:r w:rsidRPr="006450CE">
        <w:rPr>
          <w:rFonts w:asciiTheme="minorHAnsi" w:hAnsiTheme="minorHAnsi"/>
          <w:lang w:val="ru-RU"/>
        </w:rPr>
        <w:t xml:space="preserve"> </w:t>
      </w:r>
      <w:r w:rsidRPr="006450CE">
        <w:rPr>
          <w:lang w:val="ru-RU"/>
        </w:rPr>
        <w:t>Европейского обозрения информационных технологий (</w:t>
      </w:r>
      <w:proofErr w:type="spellStart"/>
      <w:r w:rsidRPr="006450CE">
        <w:rPr>
          <w:lang w:val="ru-RU"/>
        </w:rPr>
        <w:t>EITO</w:t>
      </w:r>
      <w:proofErr w:type="spellEnd"/>
      <w:r w:rsidRPr="006450CE">
        <w:rPr>
          <w:lang w:val="ru-RU"/>
        </w:rPr>
        <w:t>), рост продаж в области ИКТ составит в Индии 5,2</w:t>
      </w:r>
      <w:r w:rsidR="001D2DAF" w:rsidRPr="006450CE">
        <w:rPr>
          <w:lang w:val="ru-RU"/>
        </w:rPr>
        <w:t> процента.</w:t>
      </w:r>
      <w:r w:rsidRPr="006450CE">
        <w:rPr>
          <w:lang w:val="ru-RU"/>
        </w:rPr>
        <w:t xml:space="preserve"> По сравнению с международными рынками ИКТ, Индия продолжает лидировать в плане показателей роста. К 2020 году общий доход индийского сектора ИКТ достигнет 200</w:t>
      </w:r>
      <w:r w:rsidR="009D53AA" w:rsidRPr="006450CE">
        <w:rPr>
          <w:lang w:val="ru-RU"/>
        </w:rPr>
        <w:t>−</w:t>
      </w:r>
      <w:r w:rsidRPr="006450CE">
        <w:rPr>
          <w:lang w:val="ru-RU"/>
        </w:rPr>
        <w:t>225 млрд. долл. США, а в 2025 году – 350–400 млрд. долл. США.</w:t>
      </w:r>
    </w:p>
  </w:footnote>
  <w:footnote w:id="5">
    <w:p w:rsidR="001823EB" w:rsidRPr="006450CE" w:rsidRDefault="001823EB" w:rsidP="009D53AA">
      <w:pPr>
        <w:pStyle w:val="FootnoteText"/>
        <w:rPr>
          <w:lang w:val="ru-RU"/>
        </w:rPr>
      </w:pPr>
      <w:r w:rsidRPr="006450CE">
        <w:rPr>
          <w:rStyle w:val="FootnoteReference"/>
          <w:lang w:val="ru-RU"/>
        </w:rPr>
        <w:footnoteRef/>
      </w:r>
      <w:r w:rsidRPr="006450CE">
        <w:rPr>
          <w:lang w:val="ru-RU"/>
        </w:rPr>
        <w:tab/>
      </w:r>
      <w:hyperlink r:id="rId4" w:history="1">
        <w:r w:rsidRPr="006450CE">
          <w:rPr>
            <w:rStyle w:val="Hyperlink"/>
            <w:lang w:val="ru-RU"/>
          </w:rPr>
          <w:t>https://www.trai.gov.in/sites/default/files/BIF_CC_DP.pdf</w:t>
        </w:r>
      </w:hyperlink>
      <w:r w:rsidR="009D53AA" w:rsidRPr="006450CE">
        <w:rPr>
          <w:lang w:val="ru-RU"/>
        </w:rPr>
        <w:t>.</w:t>
      </w:r>
    </w:p>
  </w:footnote>
  <w:footnote w:id="6">
    <w:p w:rsidR="001823EB" w:rsidRPr="006450CE" w:rsidRDefault="001823EB" w:rsidP="00B45E01">
      <w:pPr>
        <w:pStyle w:val="FootnoteText"/>
        <w:rPr>
          <w:lang w:val="ru-RU"/>
        </w:rPr>
      </w:pPr>
      <w:r w:rsidRPr="006450CE">
        <w:rPr>
          <w:rStyle w:val="FootnoteReference"/>
          <w:lang w:val="ru-RU"/>
        </w:rPr>
        <w:footnoteRef/>
      </w:r>
      <w:r w:rsidRPr="006450CE">
        <w:rPr>
          <w:rStyle w:val="FootnoteReference"/>
          <w:lang w:val="ru-RU"/>
        </w:rPr>
        <w:t xml:space="preserve"> </w:t>
      </w:r>
      <w:r w:rsidRPr="006450CE">
        <w:rPr>
          <w:lang w:val="ru-RU"/>
        </w:rPr>
        <w:tab/>
      </w:r>
      <w:hyperlink r:id="rId5" w:history="1">
        <w:r w:rsidRPr="006450CE">
          <w:rPr>
            <w:rStyle w:val="Hyperlink"/>
            <w:lang w:val="ru-RU"/>
          </w:rPr>
          <w:t>http://www.bbnl.nic.in/index.aspx</w:t>
        </w:r>
      </w:hyperlink>
      <w:r w:rsidR="00B45E01" w:rsidRPr="006450CE">
        <w:rPr>
          <w:rStyle w:val="Hyperlink"/>
          <w:color w:val="auto"/>
          <w:u w:val="none"/>
          <w:lang w:val="ru-RU"/>
        </w:rPr>
        <w:t>.</w:t>
      </w:r>
    </w:p>
  </w:footnote>
  <w:footnote w:id="7">
    <w:p w:rsidR="001823EB" w:rsidRPr="006450CE" w:rsidRDefault="001823EB" w:rsidP="00B45E01">
      <w:pPr>
        <w:pStyle w:val="FootnoteText"/>
        <w:rPr>
          <w:lang w:val="ru-RU"/>
        </w:rPr>
      </w:pPr>
      <w:r w:rsidRPr="006450CE">
        <w:rPr>
          <w:rStyle w:val="FootnoteReference"/>
          <w:lang w:val="ru-RU"/>
        </w:rPr>
        <w:footnoteRef/>
      </w:r>
      <w:r w:rsidRPr="006450CE">
        <w:rPr>
          <w:lang w:val="ru-RU"/>
        </w:rPr>
        <w:tab/>
        <w:t xml:space="preserve">По состоянию на 01.04.2018 года – </w:t>
      </w:r>
      <w:hyperlink r:id="rId6" w:history="1">
        <w:r w:rsidRPr="006450CE">
          <w:rPr>
            <w:rStyle w:val="Hyperlink"/>
            <w:lang w:val="ru-RU"/>
          </w:rPr>
          <w:t>https://uidai.gov.in/</w:t>
        </w:r>
      </w:hyperlink>
      <w:r w:rsidR="00B45E01" w:rsidRPr="006450CE">
        <w:rPr>
          <w:rStyle w:val="Hyperlink"/>
          <w:color w:val="auto"/>
          <w:u w:val="none"/>
          <w:lang w:val="ru-RU"/>
        </w:rPr>
        <w:t>.</w:t>
      </w:r>
    </w:p>
  </w:footnote>
  <w:footnote w:id="8">
    <w:p w:rsidR="001823EB" w:rsidRPr="006450CE" w:rsidRDefault="001823EB" w:rsidP="00B45E01">
      <w:pPr>
        <w:pStyle w:val="FootnoteText"/>
        <w:rPr>
          <w:lang w:val="ru-RU"/>
        </w:rPr>
      </w:pPr>
      <w:r w:rsidRPr="006450CE">
        <w:rPr>
          <w:rStyle w:val="FootnoteReference"/>
          <w:lang w:val="ru-RU"/>
        </w:rPr>
        <w:footnoteRef/>
      </w:r>
      <w:r w:rsidRPr="006450CE">
        <w:rPr>
          <w:lang w:val="ru-RU"/>
        </w:rPr>
        <w:tab/>
      </w:r>
      <w:r w:rsidRPr="006450CE">
        <w:rPr>
          <w:rStyle w:val="Hyperlink"/>
          <w:lang w:val="ru-RU"/>
        </w:rPr>
        <w:t>https://</w:t>
      </w:r>
      <w:hyperlink r:id="rId7" w:history="1">
        <w:r w:rsidRPr="006450CE">
          <w:rPr>
            <w:rStyle w:val="Hyperlink"/>
            <w:lang w:val="ru-RU"/>
          </w:rPr>
          <w:t>www.pmjdy.gov.in/account</w:t>
        </w:r>
      </w:hyperlink>
      <w:r w:rsidR="00B45E01" w:rsidRPr="006450CE">
        <w:rPr>
          <w:rStyle w:val="Hyperlink"/>
          <w:color w:val="auto"/>
          <w:u w:val="none"/>
          <w:lang w:val="ru-RU"/>
        </w:rPr>
        <w:t>.</w:t>
      </w:r>
    </w:p>
  </w:footnote>
  <w:footnote w:id="9">
    <w:p w:rsidR="001823EB" w:rsidRPr="006450CE" w:rsidRDefault="001823EB" w:rsidP="00B45E01">
      <w:pPr>
        <w:pStyle w:val="FootnoteText"/>
        <w:rPr>
          <w:lang w:val="ru-RU"/>
        </w:rPr>
      </w:pPr>
      <w:r w:rsidRPr="006450CE">
        <w:rPr>
          <w:rStyle w:val="FootnoteReference"/>
          <w:lang w:val="ru-RU"/>
        </w:rPr>
        <w:footnoteRef/>
      </w:r>
      <w:r w:rsidRPr="006450CE">
        <w:rPr>
          <w:lang w:val="ru-RU"/>
        </w:rPr>
        <w:tab/>
      </w:r>
      <w:hyperlink r:id="rId8" w:history="1">
        <w:r w:rsidRPr="006450CE">
          <w:rPr>
            <w:rStyle w:val="Hyperlink"/>
            <w:lang w:val="ru-RU"/>
          </w:rPr>
          <w:t>http://mhrd.gov.in/university-and-higher-education</w:t>
        </w:r>
      </w:hyperlink>
      <w:r w:rsidR="00B45E01" w:rsidRPr="006450CE">
        <w:rPr>
          <w:rStyle w:val="Hyperlink"/>
          <w:color w:val="auto"/>
          <w:u w:val="none"/>
          <w:lang w:val="ru-RU"/>
        </w:rPr>
        <w:t>.</w:t>
      </w:r>
    </w:p>
  </w:footnote>
  <w:footnote w:id="10">
    <w:p w:rsidR="001823EB" w:rsidRPr="006450CE" w:rsidRDefault="001823EB" w:rsidP="00B45E01">
      <w:pPr>
        <w:pStyle w:val="FootnoteText"/>
        <w:rPr>
          <w:lang w:val="ru-RU"/>
        </w:rPr>
      </w:pPr>
      <w:r w:rsidRPr="006450CE">
        <w:rPr>
          <w:rStyle w:val="FootnoteReference"/>
          <w:lang w:val="ru-RU"/>
        </w:rPr>
        <w:footnoteRef/>
      </w:r>
      <w:r w:rsidRPr="006450CE">
        <w:rPr>
          <w:lang w:val="ru-RU"/>
        </w:rPr>
        <w:tab/>
      </w:r>
      <w:hyperlink r:id="rId9" w:history="1">
        <w:r w:rsidRPr="006450CE">
          <w:rPr>
            <w:rStyle w:val="Hyperlink"/>
            <w:lang w:val="ru-RU"/>
          </w:rPr>
          <w:t>http://www.facilities.aicte-india.org/dashboard/pages/dashboardaicte.php</w:t>
        </w:r>
      </w:hyperlink>
      <w:r w:rsidR="00B45E01" w:rsidRPr="006450CE">
        <w:rPr>
          <w:rStyle w:val="Hyperlink"/>
          <w:color w:val="auto"/>
          <w:u w:val="none"/>
          <w:lang w:val="ru-RU"/>
        </w:rPr>
        <w:t>.</w:t>
      </w:r>
    </w:p>
  </w:footnote>
  <w:footnote w:id="11">
    <w:p w:rsidR="001823EB" w:rsidRPr="006450CE" w:rsidRDefault="001823EB" w:rsidP="00B45E01">
      <w:pPr>
        <w:pStyle w:val="FootnoteText"/>
        <w:rPr>
          <w:lang w:val="ru-RU"/>
        </w:rPr>
      </w:pPr>
      <w:r w:rsidRPr="006450CE">
        <w:rPr>
          <w:rStyle w:val="FootnoteReference"/>
          <w:lang w:val="ru-RU"/>
        </w:rPr>
        <w:footnoteRef/>
      </w:r>
      <w:r w:rsidRPr="006450CE">
        <w:rPr>
          <w:lang w:val="ru-RU"/>
        </w:rPr>
        <w:tab/>
        <w:t>Глобальный индекс инноваций 2017 года.</w:t>
      </w:r>
    </w:p>
  </w:footnote>
  <w:footnote w:id="12">
    <w:p w:rsidR="001823EB" w:rsidRPr="006450CE" w:rsidRDefault="001823EB" w:rsidP="00B45E01">
      <w:pPr>
        <w:pStyle w:val="FootnoteText"/>
        <w:rPr>
          <w:lang w:val="ru-RU"/>
        </w:rPr>
      </w:pPr>
      <w:r w:rsidRPr="006450CE">
        <w:rPr>
          <w:rStyle w:val="FootnoteReference"/>
          <w:lang w:val="ru-RU"/>
        </w:rPr>
        <w:footnoteRef/>
      </w:r>
      <w:r w:rsidRPr="006450CE">
        <w:rPr>
          <w:lang w:val="ru-RU"/>
        </w:rPr>
        <w:tab/>
      </w:r>
      <w:hyperlink r:id="rId10" w:history="1">
        <w:r w:rsidRPr="006450CE">
          <w:rPr>
            <w:rStyle w:val="Hyperlink"/>
            <w:lang w:val="ru-RU"/>
          </w:rPr>
          <w:t>http://blogs.worldbank.org/psd/india-digital-finance-models-lending-small-businesses</w:t>
        </w:r>
      </w:hyperlink>
      <w:r w:rsidR="00B45E01" w:rsidRPr="006450CE">
        <w:rPr>
          <w:rStyle w:val="Hyperlink"/>
          <w:color w:val="auto"/>
          <w:u w:val="none"/>
          <w:lang w:val="ru-RU"/>
        </w:rPr>
        <w:t>.</w:t>
      </w:r>
    </w:p>
  </w:footnote>
  <w:footnote w:id="13">
    <w:p w:rsidR="001823EB" w:rsidRPr="006450CE" w:rsidRDefault="001823EB" w:rsidP="00B45E01">
      <w:pPr>
        <w:pStyle w:val="FootnoteText"/>
        <w:rPr>
          <w:lang w:val="ru-RU"/>
        </w:rPr>
      </w:pPr>
      <w:r w:rsidRPr="006450CE">
        <w:rPr>
          <w:rStyle w:val="FootnoteReference"/>
          <w:lang w:val="ru-RU"/>
        </w:rPr>
        <w:footnoteRef/>
      </w:r>
      <w:r w:rsidRPr="006450CE">
        <w:rPr>
          <w:lang w:val="ru-RU"/>
        </w:rPr>
        <w:tab/>
        <w:t xml:space="preserve">Глобальный рынок подбора поставщиков в Индии продолжает расти более быстрыми темпами по сравнению с рынком ИТ в области управления деловыми процессами (ИТ </w:t>
      </w:r>
      <w:proofErr w:type="spellStart"/>
      <w:r w:rsidRPr="006450CE">
        <w:rPr>
          <w:lang w:val="ru-RU"/>
        </w:rPr>
        <w:t>УДП</w:t>
      </w:r>
      <w:proofErr w:type="spellEnd"/>
      <w:r w:rsidRPr="006450CE">
        <w:rPr>
          <w:lang w:val="ru-RU"/>
        </w:rPr>
        <w:t>). Глобальный рынок ИТ и услуг на основе информационных технологий (за исключением аппаратного обеспечения) достиг в 2016</w:t>
      </w:r>
      <w:r w:rsidR="00B45E01" w:rsidRPr="006450CE">
        <w:rPr>
          <w:lang w:val="ru-RU"/>
        </w:rPr>
        <w:t>−</w:t>
      </w:r>
      <w:r w:rsidRPr="006450CE">
        <w:rPr>
          <w:lang w:val="ru-RU"/>
        </w:rPr>
        <w:t xml:space="preserve">2017 годах 1,2 трлн. долл. США, в то время как глобальный рынок </w:t>
      </w:r>
      <w:r w:rsidR="00B45E01" w:rsidRPr="006450CE">
        <w:rPr>
          <w:lang w:val="ru-RU"/>
        </w:rPr>
        <w:t>подбора поставщиков вырос в 1,7 </w:t>
      </w:r>
      <w:r w:rsidRPr="006450CE">
        <w:rPr>
          <w:lang w:val="ru-RU"/>
        </w:rPr>
        <w:t>раз</w:t>
      </w:r>
      <w:r w:rsidR="001D2DAF" w:rsidRPr="006450CE">
        <w:rPr>
          <w:lang w:val="ru-RU"/>
        </w:rPr>
        <w:t>а</w:t>
      </w:r>
      <w:r w:rsidRPr="006450CE">
        <w:rPr>
          <w:lang w:val="ru-RU"/>
        </w:rPr>
        <w:t>, достигнув отметки 173–178 млрд. долл. США. В 2016</w:t>
      </w:r>
      <w:r w:rsidR="001D2DAF" w:rsidRPr="006450CE">
        <w:rPr>
          <w:lang w:val="ru-RU"/>
        </w:rPr>
        <w:t>–</w:t>
      </w:r>
      <w:r w:rsidRPr="006450CE">
        <w:rPr>
          <w:lang w:val="ru-RU"/>
        </w:rPr>
        <w:t>2017</w:t>
      </w:r>
      <w:r w:rsidR="001D2DAF" w:rsidRPr="006450CE">
        <w:rPr>
          <w:lang w:val="ru-RU"/>
        </w:rPr>
        <w:t> </w:t>
      </w:r>
      <w:r w:rsidRPr="006450CE">
        <w:rPr>
          <w:lang w:val="ru-RU"/>
        </w:rPr>
        <w:t>годах Индия оставалась одной из ведущих стран в плане подбора поставщиков с долей рынка на уровне 55</w:t>
      </w:r>
      <w:r w:rsidR="001D2DAF" w:rsidRPr="006450CE">
        <w:rPr>
          <w:lang w:val="ru-RU"/>
        </w:rPr>
        <w:t> процентов</w:t>
      </w:r>
      <w:r w:rsidRPr="006450CE">
        <w:rPr>
          <w:lang w:val="ru-RU"/>
        </w:rPr>
        <w:t>. Индийские компании, работающие в области ИТ и услуг на основе информационных технологий, открыли более 1000 глобальных центров оказания услуг в более чем 200 городах мира.</w:t>
      </w:r>
    </w:p>
    <w:p w:rsidR="001823EB" w:rsidRPr="006450CE" w:rsidRDefault="001823EB" w:rsidP="00B45E01">
      <w:pPr>
        <w:pStyle w:val="FootnoteText"/>
        <w:rPr>
          <w:lang w:val="ru-RU"/>
        </w:rPr>
      </w:pPr>
      <w:r w:rsidRPr="006450CE">
        <w:rPr>
          <w:lang w:val="ru-RU"/>
        </w:rPr>
        <w:tab/>
        <w:t>Индия занимает первую строчку в рейтинге стран по количеству квалифицированных специалистов в области цифровых технологий: 76 процентов по сравнению со средним общемировым уровнем 56 процентов! Отрасль интернета в Индии способна вырасти вдвое, достигнув 250 млрд. долл. США к 2020 году, что составит 7,5 процента валового внутреннего продукта (ВВП). Согласно отчету Национальной ассоциации компаний по разработке программного обеспечения и сервисных компаний (</w:t>
      </w:r>
      <w:proofErr w:type="spellStart"/>
      <w:r w:rsidRPr="006450CE">
        <w:rPr>
          <w:lang w:val="ru-RU"/>
        </w:rPr>
        <w:t>NASSCOM</w:t>
      </w:r>
      <w:proofErr w:type="spellEnd"/>
      <w:r w:rsidRPr="006450CE">
        <w:rPr>
          <w:lang w:val="ru-RU"/>
        </w:rPr>
        <w:t>) к 2020 году число пользователей интернета в Индии достигнет 730 млн. благодаря ускоренному внедрению цифровых технологий. Индийские технологические компании полагают, что цифровая экономика Индии может достигнуть уровня 4 трлн. долл. США к 2022 году.</w:t>
      </w:r>
    </w:p>
  </w:footnote>
  <w:footnote w:id="14">
    <w:p w:rsidR="001823EB" w:rsidRPr="006450CE" w:rsidRDefault="001823EB" w:rsidP="00B45E01">
      <w:pPr>
        <w:pStyle w:val="FootnoteText"/>
        <w:rPr>
          <w:lang w:val="ru-RU"/>
        </w:rPr>
      </w:pPr>
      <w:r w:rsidRPr="006450CE">
        <w:rPr>
          <w:rStyle w:val="FootnoteReference"/>
          <w:lang w:val="ru-RU"/>
        </w:rPr>
        <w:footnoteRef/>
      </w:r>
      <w:r w:rsidRPr="006450CE">
        <w:rPr>
          <w:lang w:val="ru-RU"/>
        </w:rPr>
        <w:tab/>
      </w:r>
      <w:hyperlink r:id="rId11" w:history="1">
        <w:r w:rsidRPr="006450CE">
          <w:rPr>
            <w:rStyle w:val="Hyperlink"/>
            <w:lang w:val="ru-RU"/>
          </w:rPr>
          <w:t>http://www.forbesindia.com/article/special/google-india-aims-to-bring-20-million-smes-online-by-2017/40347/1</w:t>
        </w:r>
      </w:hyperlink>
      <w:r w:rsidR="00B45E01" w:rsidRPr="006450CE">
        <w:rPr>
          <w:rStyle w:val="Hyperlink"/>
          <w:color w:val="auto"/>
          <w:u w:val="none"/>
          <w:lang w:val="ru-RU"/>
        </w:rPr>
        <w:t>.</w:t>
      </w:r>
    </w:p>
  </w:footnote>
  <w:footnote w:id="15">
    <w:p w:rsidR="001823EB" w:rsidRPr="006450CE" w:rsidRDefault="001823EB" w:rsidP="00B45E01">
      <w:pPr>
        <w:pStyle w:val="FootnoteText"/>
        <w:rPr>
          <w:lang w:val="ru-RU"/>
        </w:rPr>
      </w:pPr>
      <w:r w:rsidRPr="006450CE">
        <w:rPr>
          <w:rStyle w:val="FootnoteReference"/>
          <w:lang w:val="ru-RU"/>
        </w:rPr>
        <w:footnoteRef/>
      </w:r>
      <w:r w:rsidRPr="006450CE">
        <w:rPr>
          <w:lang w:val="ru-RU"/>
        </w:rPr>
        <w:tab/>
      </w:r>
      <w:hyperlink r:id="rId12" w:history="1">
        <w:r w:rsidRPr="006450CE">
          <w:rPr>
            <w:rStyle w:val="Hyperlink"/>
            <w:color w:val="auto"/>
            <w:u w:val="none"/>
            <w:lang w:val="ru-RU"/>
          </w:rPr>
          <w:t>https://evoma.com/business-centre/sme-sector-in-india-statistics-trends-reports/</w:t>
        </w:r>
      </w:hyperlink>
      <w:r w:rsidRPr="006450CE">
        <w:rPr>
          <w:lang w:val="ru-RU"/>
        </w:rPr>
        <w:t xml:space="preserve"> Вклад в ВВП: в настоящее время около 6,11</w:t>
      </w:r>
      <w:r w:rsidR="001D2DAF" w:rsidRPr="006450CE">
        <w:rPr>
          <w:lang w:val="ru-RU"/>
        </w:rPr>
        <w:t> процента</w:t>
      </w:r>
      <w:r w:rsidRPr="006450CE">
        <w:rPr>
          <w:lang w:val="ru-RU"/>
        </w:rPr>
        <w:t xml:space="preserve"> ВВП в секторе производства и 24,63 процента в секторе обслуживания; объем производства МСП</w:t>
      </w:r>
      <w:r w:rsidR="00440A4E" w:rsidRPr="006450CE">
        <w:rPr>
          <w:lang w:val="ru-RU"/>
        </w:rPr>
        <w:t xml:space="preserve"> –</w:t>
      </w:r>
      <w:r w:rsidRPr="006450CE">
        <w:rPr>
          <w:lang w:val="ru-RU"/>
        </w:rPr>
        <w:t xml:space="preserve"> 45 процентов от общего объема производства в Индии; экспорт МСП</w:t>
      </w:r>
      <w:r w:rsidR="001D2DAF" w:rsidRPr="006450CE">
        <w:rPr>
          <w:lang w:val="ru-RU"/>
        </w:rPr>
        <w:t xml:space="preserve"> – </w:t>
      </w:r>
      <w:r w:rsidRPr="006450CE">
        <w:rPr>
          <w:lang w:val="ru-RU"/>
        </w:rPr>
        <w:t>40 процентов от общего объема экспорта.</w:t>
      </w:r>
    </w:p>
  </w:footnote>
  <w:footnote w:id="16">
    <w:p w:rsidR="00CA55DF" w:rsidRPr="00EA49A9" w:rsidRDefault="00CA55DF" w:rsidP="00EA49A9">
      <w:pPr>
        <w:pStyle w:val="FootnoteText"/>
      </w:pPr>
      <w:r w:rsidRPr="00EA49A9">
        <w:rPr>
          <w:rStyle w:val="FootnoteReference"/>
        </w:rPr>
        <w:footnoteRef/>
      </w:r>
      <w:r w:rsidRPr="00EA49A9">
        <w:tab/>
        <w:t xml:space="preserve"> </w:t>
      </w:r>
      <w:hyperlink r:id="rId13" w:history="1">
        <w:r w:rsidRPr="00EA49A9">
          <w:rPr>
            <w:rStyle w:val="Hyperlink"/>
          </w:rPr>
          <w:t>http://www.makeinindia.com/article/-/v/growth-of-fintech-in-india</w:t>
        </w:r>
      </w:hyperlink>
      <w:r w:rsidR="00EA49A9" w:rsidRPr="00EA49A9">
        <w:rPr>
          <w:rStyle w:val="Hyperlink"/>
          <w:color w:val="auto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3EB" w:rsidRDefault="001823EB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6450CE">
      <w:rPr>
        <w:noProof/>
      </w:rPr>
      <w:t>9</w:t>
    </w:r>
    <w:r>
      <w:rPr>
        <w:noProof/>
      </w:rPr>
      <w:fldChar w:fldCharType="end"/>
    </w:r>
  </w:p>
  <w:p w:rsidR="001823EB" w:rsidRPr="00623AE3" w:rsidRDefault="001823EB" w:rsidP="00DB2062">
    <w:pPr>
      <w:pStyle w:val="Header"/>
      <w:rPr>
        <w:bCs/>
      </w:rPr>
    </w:pPr>
    <w:proofErr w:type="spellStart"/>
    <w:r w:rsidRPr="00623AE3">
      <w:rPr>
        <w:bCs/>
      </w:rPr>
      <w:t>C18</w:t>
    </w:r>
    <w:proofErr w:type="spellEnd"/>
    <w:r w:rsidRPr="00623AE3">
      <w:rPr>
        <w:bCs/>
      </w:rPr>
      <w:t>/</w:t>
    </w:r>
    <w:r>
      <w:rPr>
        <w:bCs/>
      </w:rPr>
      <w:t>85</w:t>
    </w:r>
    <w:r w:rsidR="00F13265">
      <w:rPr>
        <w:bCs/>
      </w:rPr>
      <w:t>(</w:t>
    </w:r>
    <w:proofErr w:type="spellStart"/>
    <w:r w:rsidR="00F13265">
      <w:rPr>
        <w:bCs/>
      </w:rPr>
      <w:t>Rev.1</w:t>
    </w:r>
    <w:proofErr w:type="spellEnd"/>
    <w:r w:rsidR="00F13265">
      <w:rPr>
        <w:bCs/>
      </w:rPr>
      <w:t>)</w:t>
    </w:r>
    <w:r w:rsidRPr="00623AE3">
      <w:rPr>
        <w:bCs/>
      </w:rPr>
      <w:t>-</w:t>
    </w:r>
    <w:r>
      <w:rPr>
        <w:bCs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71E28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D42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EE0B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9CF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FE3D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AC16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089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861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0AF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B5132"/>
    <w:multiLevelType w:val="multilevel"/>
    <w:tmpl w:val="4C5A8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0AA048C"/>
    <w:multiLevelType w:val="hybridMultilevel"/>
    <w:tmpl w:val="5E36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A30D99"/>
    <w:multiLevelType w:val="hybridMultilevel"/>
    <w:tmpl w:val="9982BA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35E5F"/>
    <w:multiLevelType w:val="hybridMultilevel"/>
    <w:tmpl w:val="C54EE04C"/>
    <w:lvl w:ilvl="0" w:tplc="6E60D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4D2213"/>
    <w:multiLevelType w:val="hybridMultilevel"/>
    <w:tmpl w:val="9C9C8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210D4"/>
    <w:rsid w:val="000449D4"/>
    <w:rsid w:val="00063016"/>
    <w:rsid w:val="00066795"/>
    <w:rsid w:val="00076AF6"/>
    <w:rsid w:val="00085CF2"/>
    <w:rsid w:val="000A6CFD"/>
    <w:rsid w:val="000B1705"/>
    <w:rsid w:val="000B2017"/>
    <w:rsid w:val="000D75B2"/>
    <w:rsid w:val="000E2A4C"/>
    <w:rsid w:val="000F28B7"/>
    <w:rsid w:val="001121F5"/>
    <w:rsid w:val="0013157E"/>
    <w:rsid w:val="001400DC"/>
    <w:rsid w:val="001408E7"/>
    <w:rsid w:val="00140CE1"/>
    <w:rsid w:val="0017539C"/>
    <w:rsid w:val="00175AC2"/>
    <w:rsid w:val="0017609F"/>
    <w:rsid w:val="0018013D"/>
    <w:rsid w:val="001823EB"/>
    <w:rsid w:val="00183649"/>
    <w:rsid w:val="001859E0"/>
    <w:rsid w:val="001C2143"/>
    <w:rsid w:val="001C628E"/>
    <w:rsid w:val="001D2DAF"/>
    <w:rsid w:val="001E0F7B"/>
    <w:rsid w:val="0020387E"/>
    <w:rsid w:val="002078B4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2D46A3"/>
    <w:rsid w:val="0030160F"/>
    <w:rsid w:val="00310E0A"/>
    <w:rsid w:val="00322D0D"/>
    <w:rsid w:val="00340F56"/>
    <w:rsid w:val="00350C95"/>
    <w:rsid w:val="0035199A"/>
    <w:rsid w:val="00362ECF"/>
    <w:rsid w:val="003942D4"/>
    <w:rsid w:val="003958A8"/>
    <w:rsid w:val="003A4423"/>
    <w:rsid w:val="003B2EEA"/>
    <w:rsid w:val="003C2533"/>
    <w:rsid w:val="0040435A"/>
    <w:rsid w:val="00416A24"/>
    <w:rsid w:val="00431D9E"/>
    <w:rsid w:val="00433CE8"/>
    <w:rsid w:val="00434A5C"/>
    <w:rsid w:val="00440A4E"/>
    <w:rsid w:val="004544D9"/>
    <w:rsid w:val="00490E72"/>
    <w:rsid w:val="00491157"/>
    <w:rsid w:val="004921C8"/>
    <w:rsid w:val="004A2CD0"/>
    <w:rsid w:val="004B4DA4"/>
    <w:rsid w:val="004C7263"/>
    <w:rsid w:val="004D1851"/>
    <w:rsid w:val="004D599D"/>
    <w:rsid w:val="004E2EA5"/>
    <w:rsid w:val="004E3AEB"/>
    <w:rsid w:val="004F222C"/>
    <w:rsid w:val="0050223C"/>
    <w:rsid w:val="005243FF"/>
    <w:rsid w:val="0054691A"/>
    <w:rsid w:val="00564FBC"/>
    <w:rsid w:val="00582442"/>
    <w:rsid w:val="0058686C"/>
    <w:rsid w:val="005A301A"/>
    <w:rsid w:val="005B0E60"/>
    <w:rsid w:val="005F3269"/>
    <w:rsid w:val="005F4892"/>
    <w:rsid w:val="00623AE3"/>
    <w:rsid w:val="006450CE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11F2D"/>
    <w:rsid w:val="00733231"/>
    <w:rsid w:val="0075051B"/>
    <w:rsid w:val="007612C6"/>
    <w:rsid w:val="00765016"/>
    <w:rsid w:val="00793188"/>
    <w:rsid w:val="00794D34"/>
    <w:rsid w:val="007A73FD"/>
    <w:rsid w:val="007C3481"/>
    <w:rsid w:val="00813E5E"/>
    <w:rsid w:val="00833F2D"/>
    <w:rsid w:val="0083581B"/>
    <w:rsid w:val="00864AFF"/>
    <w:rsid w:val="00896A1F"/>
    <w:rsid w:val="008B4A6A"/>
    <w:rsid w:val="008B7DB3"/>
    <w:rsid w:val="008C7B3C"/>
    <w:rsid w:val="008C7E27"/>
    <w:rsid w:val="009173EF"/>
    <w:rsid w:val="00932906"/>
    <w:rsid w:val="00961B0B"/>
    <w:rsid w:val="009A1760"/>
    <w:rsid w:val="009B38C3"/>
    <w:rsid w:val="009D53AA"/>
    <w:rsid w:val="009E17BD"/>
    <w:rsid w:val="009E485A"/>
    <w:rsid w:val="00A04CEC"/>
    <w:rsid w:val="00A11454"/>
    <w:rsid w:val="00A16A33"/>
    <w:rsid w:val="00A21B67"/>
    <w:rsid w:val="00A27F92"/>
    <w:rsid w:val="00A32257"/>
    <w:rsid w:val="00A36D20"/>
    <w:rsid w:val="00A4100F"/>
    <w:rsid w:val="00A46E6D"/>
    <w:rsid w:val="00A55622"/>
    <w:rsid w:val="00A83502"/>
    <w:rsid w:val="00AA48B0"/>
    <w:rsid w:val="00AC4C83"/>
    <w:rsid w:val="00AD15B3"/>
    <w:rsid w:val="00AF0BF6"/>
    <w:rsid w:val="00AF6E49"/>
    <w:rsid w:val="00B04A67"/>
    <w:rsid w:val="00B0583C"/>
    <w:rsid w:val="00B40A81"/>
    <w:rsid w:val="00B44910"/>
    <w:rsid w:val="00B45E01"/>
    <w:rsid w:val="00B72267"/>
    <w:rsid w:val="00B76EB6"/>
    <w:rsid w:val="00B7737B"/>
    <w:rsid w:val="00B824C8"/>
    <w:rsid w:val="00B8600F"/>
    <w:rsid w:val="00BA34BD"/>
    <w:rsid w:val="00BC251A"/>
    <w:rsid w:val="00BD032B"/>
    <w:rsid w:val="00BE2640"/>
    <w:rsid w:val="00C01189"/>
    <w:rsid w:val="00C02190"/>
    <w:rsid w:val="00C071D1"/>
    <w:rsid w:val="00C21717"/>
    <w:rsid w:val="00C27D1E"/>
    <w:rsid w:val="00C374DE"/>
    <w:rsid w:val="00C443DE"/>
    <w:rsid w:val="00C47AD4"/>
    <w:rsid w:val="00C52D81"/>
    <w:rsid w:val="00C55198"/>
    <w:rsid w:val="00C61DF7"/>
    <w:rsid w:val="00C861A6"/>
    <w:rsid w:val="00CA55DF"/>
    <w:rsid w:val="00CA6393"/>
    <w:rsid w:val="00CB18FF"/>
    <w:rsid w:val="00CD0C08"/>
    <w:rsid w:val="00CD220D"/>
    <w:rsid w:val="00CE03FB"/>
    <w:rsid w:val="00CE433C"/>
    <w:rsid w:val="00CE529A"/>
    <w:rsid w:val="00CF33F3"/>
    <w:rsid w:val="00D04E39"/>
    <w:rsid w:val="00D06183"/>
    <w:rsid w:val="00D22C42"/>
    <w:rsid w:val="00D45839"/>
    <w:rsid w:val="00D65041"/>
    <w:rsid w:val="00DB2062"/>
    <w:rsid w:val="00DB384B"/>
    <w:rsid w:val="00DB45C6"/>
    <w:rsid w:val="00E10E80"/>
    <w:rsid w:val="00E124F0"/>
    <w:rsid w:val="00E34259"/>
    <w:rsid w:val="00E60F04"/>
    <w:rsid w:val="00E854E4"/>
    <w:rsid w:val="00E9399F"/>
    <w:rsid w:val="00EA49A9"/>
    <w:rsid w:val="00EA539D"/>
    <w:rsid w:val="00EB0B1D"/>
    <w:rsid w:val="00EB0D6F"/>
    <w:rsid w:val="00EB2232"/>
    <w:rsid w:val="00EC5337"/>
    <w:rsid w:val="00F13265"/>
    <w:rsid w:val="00F2150A"/>
    <w:rsid w:val="00F231D8"/>
    <w:rsid w:val="00F2480C"/>
    <w:rsid w:val="00F46C5F"/>
    <w:rsid w:val="00F94A63"/>
    <w:rsid w:val="00FA1C28"/>
    <w:rsid w:val="00FA3661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."/>
  <w:listSeparator w:val=","/>
  <w15:docId w15:val="{9FD6F36D-6951-4413-83E8-4FAB08C7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B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450CE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0B1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0B1D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EB0B1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EB0B1D"/>
    <w:pPr>
      <w:outlineLvl w:val="4"/>
    </w:pPr>
  </w:style>
  <w:style w:type="paragraph" w:styleId="Heading6">
    <w:name w:val="heading 6"/>
    <w:basedOn w:val="Heading4"/>
    <w:next w:val="Normal"/>
    <w:qFormat/>
    <w:rsid w:val="00EB0B1D"/>
    <w:pPr>
      <w:outlineLvl w:val="5"/>
    </w:pPr>
  </w:style>
  <w:style w:type="paragraph" w:styleId="Heading7">
    <w:name w:val="heading 7"/>
    <w:basedOn w:val="Heading6"/>
    <w:next w:val="Normal"/>
    <w:qFormat/>
    <w:rsid w:val="00EB0B1D"/>
    <w:pPr>
      <w:outlineLvl w:val="6"/>
    </w:pPr>
  </w:style>
  <w:style w:type="paragraph" w:styleId="Heading8">
    <w:name w:val="heading 8"/>
    <w:basedOn w:val="Heading6"/>
    <w:next w:val="Normal"/>
    <w:qFormat/>
    <w:rsid w:val="00EB0B1D"/>
    <w:pPr>
      <w:outlineLvl w:val="7"/>
    </w:pPr>
  </w:style>
  <w:style w:type="paragraph" w:styleId="Heading9">
    <w:name w:val="heading 9"/>
    <w:basedOn w:val="Heading6"/>
    <w:next w:val="Normal"/>
    <w:qFormat/>
    <w:rsid w:val="00EB0B1D"/>
    <w:pPr>
      <w:outlineLvl w:val="8"/>
    </w:pPr>
  </w:style>
  <w:style w:type="character" w:default="1" w:styleId="DefaultParagraphFont">
    <w:name w:val="Default Paragraph Font"/>
    <w:uiPriority w:val="1"/>
    <w:unhideWhenUsed/>
    <w:rsid w:val="00EB0B1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B0B1D"/>
  </w:style>
  <w:style w:type="paragraph" w:styleId="TOC8">
    <w:name w:val="toc 8"/>
    <w:basedOn w:val="TOC4"/>
    <w:rsid w:val="00EB0B1D"/>
  </w:style>
  <w:style w:type="paragraph" w:styleId="TOC4">
    <w:name w:val="toc 4"/>
    <w:basedOn w:val="TOC3"/>
    <w:rsid w:val="00EB0B1D"/>
    <w:pPr>
      <w:spacing w:before="80"/>
    </w:pPr>
  </w:style>
  <w:style w:type="paragraph" w:styleId="TOC3">
    <w:name w:val="toc 3"/>
    <w:basedOn w:val="TOC2"/>
    <w:rsid w:val="00EB0B1D"/>
  </w:style>
  <w:style w:type="paragraph" w:styleId="TOC2">
    <w:name w:val="toc 2"/>
    <w:basedOn w:val="TOC1"/>
    <w:rsid w:val="00EB0B1D"/>
    <w:pPr>
      <w:spacing w:before="160"/>
    </w:pPr>
  </w:style>
  <w:style w:type="paragraph" w:styleId="TOC1">
    <w:name w:val="toc 1"/>
    <w:basedOn w:val="Normal"/>
    <w:rsid w:val="00EB0B1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EB0B1D"/>
  </w:style>
  <w:style w:type="paragraph" w:styleId="TOC6">
    <w:name w:val="toc 6"/>
    <w:basedOn w:val="TOC4"/>
    <w:rsid w:val="00EB0B1D"/>
  </w:style>
  <w:style w:type="paragraph" w:styleId="TOC5">
    <w:name w:val="toc 5"/>
    <w:basedOn w:val="TOC4"/>
    <w:rsid w:val="00EB0B1D"/>
  </w:style>
  <w:style w:type="paragraph" w:styleId="Index7">
    <w:name w:val="index 7"/>
    <w:basedOn w:val="Normal"/>
    <w:next w:val="Normal"/>
    <w:rsid w:val="00EB0B1D"/>
    <w:pPr>
      <w:ind w:left="1698"/>
    </w:pPr>
  </w:style>
  <w:style w:type="paragraph" w:styleId="Index6">
    <w:name w:val="index 6"/>
    <w:basedOn w:val="Normal"/>
    <w:next w:val="Normal"/>
    <w:rsid w:val="00EB0B1D"/>
    <w:pPr>
      <w:ind w:left="1415"/>
    </w:pPr>
  </w:style>
  <w:style w:type="paragraph" w:styleId="Index5">
    <w:name w:val="index 5"/>
    <w:basedOn w:val="Normal"/>
    <w:next w:val="Normal"/>
    <w:rsid w:val="00EB0B1D"/>
    <w:pPr>
      <w:ind w:left="1132"/>
    </w:pPr>
  </w:style>
  <w:style w:type="paragraph" w:styleId="Index4">
    <w:name w:val="index 4"/>
    <w:basedOn w:val="Normal"/>
    <w:next w:val="Normal"/>
    <w:rsid w:val="00EB0B1D"/>
    <w:pPr>
      <w:ind w:left="849"/>
    </w:pPr>
  </w:style>
  <w:style w:type="paragraph" w:styleId="Index3">
    <w:name w:val="index 3"/>
    <w:basedOn w:val="Normal"/>
    <w:next w:val="Normal"/>
    <w:rsid w:val="00EB0B1D"/>
    <w:pPr>
      <w:ind w:left="566"/>
    </w:pPr>
  </w:style>
  <w:style w:type="paragraph" w:styleId="Index2">
    <w:name w:val="index 2"/>
    <w:basedOn w:val="Normal"/>
    <w:next w:val="Normal"/>
    <w:rsid w:val="00EB0B1D"/>
    <w:pPr>
      <w:ind w:left="283"/>
    </w:pPr>
  </w:style>
  <w:style w:type="paragraph" w:styleId="Index1">
    <w:name w:val="index 1"/>
    <w:basedOn w:val="Normal"/>
    <w:next w:val="Normal"/>
    <w:rsid w:val="00EB0B1D"/>
  </w:style>
  <w:style w:type="character" w:styleId="LineNumber">
    <w:name w:val="line number"/>
    <w:basedOn w:val="DefaultParagraphFont"/>
    <w:rsid w:val="00EB0B1D"/>
  </w:style>
  <w:style w:type="paragraph" w:styleId="IndexHeading">
    <w:name w:val="index heading"/>
    <w:basedOn w:val="Normal"/>
    <w:next w:val="Index1"/>
    <w:rsid w:val="00EB0B1D"/>
  </w:style>
  <w:style w:type="paragraph" w:styleId="Footer">
    <w:name w:val="footer"/>
    <w:basedOn w:val="Normal"/>
    <w:rsid w:val="00EB0B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EB0B1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EB0B1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D53AA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EB0B1D"/>
    <w:pPr>
      <w:ind w:left="794"/>
    </w:pPr>
  </w:style>
  <w:style w:type="paragraph" w:customStyle="1" w:styleId="enumlev1">
    <w:name w:val="enumlev1"/>
    <w:basedOn w:val="Normal"/>
    <w:rsid w:val="00EB0B1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EB0B1D"/>
    <w:pPr>
      <w:ind w:left="1191" w:hanging="397"/>
    </w:pPr>
  </w:style>
  <w:style w:type="paragraph" w:customStyle="1" w:styleId="enumlev3">
    <w:name w:val="enumlev3"/>
    <w:basedOn w:val="enumlev2"/>
    <w:rsid w:val="00EB0B1D"/>
    <w:pPr>
      <w:ind w:left="1588"/>
    </w:pPr>
  </w:style>
  <w:style w:type="paragraph" w:customStyle="1" w:styleId="Normalaftertitle">
    <w:name w:val="Normal after title"/>
    <w:basedOn w:val="Normal"/>
    <w:next w:val="Normal"/>
    <w:rsid w:val="00EB0B1D"/>
    <w:pPr>
      <w:spacing w:before="320"/>
    </w:pPr>
  </w:style>
  <w:style w:type="paragraph" w:customStyle="1" w:styleId="Equation">
    <w:name w:val="Equation"/>
    <w:basedOn w:val="Normal"/>
    <w:rsid w:val="00EB0B1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B0B1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EB0B1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EB0B1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EB0B1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Source">
    <w:name w:val="Source"/>
    <w:basedOn w:val="Normal"/>
    <w:next w:val="Normal"/>
    <w:rsid w:val="00EB0B1D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EB0B1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B0B1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EB0B1D"/>
  </w:style>
  <w:style w:type="paragraph" w:customStyle="1" w:styleId="Data">
    <w:name w:val="Data"/>
    <w:basedOn w:val="Subject"/>
    <w:next w:val="Subject"/>
    <w:rsid w:val="00EB0B1D"/>
  </w:style>
  <w:style w:type="paragraph" w:customStyle="1" w:styleId="Reasons">
    <w:name w:val="Reasons"/>
    <w:basedOn w:val="Normal"/>
    <w:qFormat/>
    <w:rsid w:val="00EB0B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B0B1D"/>
    <w:rPr>
      <w:color w:val="0000FF"/>
      <w:u w:val="single"/>
    </w:rPr>
  </w:style>
  <w:style w:type="paragraph" w:customStyle="1" w:styleId="FirstFooter">
    <w:name w:val="FirstFooter"/>
    <w:basedOn w:val="Footer"/>
    <w:rsid w:val="00EB0B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EB0B1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EB0B1D"/>
  </w:style>
  <w:style w:type="paragraph" w:customStyle="1" w:styleId="Headingb">
    <w:name w:val="Heading_b"/>
    <w:basedOn w:val="Heading3"/>
    <w:next w:val="Normal"/>
    <w:rsid w:val="00EB0B1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EB0B1D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B0B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B0B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B0B1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B0B1D"/>
    <w:rPr>
      <w:b/>
    </w:rPr>
  </w:style>
  <w:style w:type="paragraph" w:customStyle="1" w:styleId="dnum">
    <w:name w:val="dnum"/>
    <w:basedOn w:val="Normal"/>
    <w:rsid w:val="00EB0B1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EB0B1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EB0B1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EB0B1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EB0B1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EB0B1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EB0B1D"/>
  </w:style>
  <w:style w:type="paragraph" w:customStyle="1" w:styleId="Appendixtitle">
    <w:name w:val="Appendix_title"/>
    <w:basedOn w:val="Annextitle"/>
    <w:next w:val="Appendixref"/>
    <w:rsid w:val="00EB0B1D"/>
  </w:style>
  <w:style w:type="paragraph" w:customStyle="1" w:styleId="Appendixref">
    <w:name w:val="Appendix_ref"/>
    <w:basedOn w:val="Annexref"/>
    <w:next w:val="Normalaftertitle"/>
    <w:rsid w:val="00EB0B1D"/>
  </w:style>
  <w:style w:type="paragraph" w:customStyle="1" w:styleId="Call">
    <w:name w:val="Call"/>
    <w:basedOn w:val="Normal"/>
    <w:next w:val="Normal"/>
    <w:rsid w:val="00EB0B1D"/>
    <w:pPr>
      <w:keepNext/>
      <w:keepLines/>
      <w:spacing w:before="160"/>
      <w:ind w:left="794"/>
    </w:pPr>
    <w:rPr>
      <w:i/>
    </w:rPr>
  </w:style>
  <w:style w:type="paragraph" w:customStyle="1" w:styleId="Equationlegend">
    <w:name w:val="Equation_legend"/>
    <w:basedOn w:val="Normal"/>
    <w:rsid w:val="00EB0B1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EB0B1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B0B1D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B0B1D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B0B1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B0B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EB0B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B0B1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B0B1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B0B1D"/>
    <w:pPr>
      <w:spacing w:before="160"/>
    </w:pPr>
    <w:rPr>
      <w:b w:val="0"/>
    </w:rPr>
  </w:style>
  <w:style w:type="character" w:styleId="PageNumber">
    <w:name w:val="page number"/>
    <w:basedOn w:val="DefaultParagraphFont"/>
    <w:rsid w:val="00EB0B1D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B0B1D"/>
  </w:style>
  <w:style w:type="paragraph" w:customStyle="1" w:styleId="Parttitle">
    <w:name w:val="Part_title"/>
    <w:basedOn w:val="Annextitle"/>
    <w:next w:val="Partref"/>
    <w:rsid w:val="00EB0B1D"/>
  </w:style>
  <w:style w:type="paragraph" w:customStyle="1" w:styleId="Partref">
    <w:name w:val="Part_ref"/>
    <w:basedOn w:val="Annexref"/>
    <w:next w:val="Normalaftertitle"/>
    <w:rsid w:val="00EB0B1D"/>
  </w:style>
  <w:style w:type="paragraph" w:customStyle="1" w:styleId="RecNo">
    <w:name w:val="Rec_No"/>
    <w:basedOn w:val="Normal"/>
    <w:next w:val="Rectitle"/>
    <w:rsid w:val="00EB0B1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EB0B1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EB0B1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B0B1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B0B1D"/>
  </w:style>
  <w:style w:type="paragraph" w:customStyle="1" w:styleId="QuestionNo">
    <w:name w:val="Question_No"/>
    <w:basedOn w:val="RecNo"/>
    <w:next w:val="Questiontitle"/>
    <w:rsid w:val="00EB0B1D"/>
  </w:style>
  <w:style w:type="paragraph" w:customStyle="1" w:styleId="Questionref">
    <w:name w:val="Question_ref"/>
    <w:basedOn w:val="Recref"/>
    <w:next w:val="Questiondate"/>
    <w:rsid w:val="00EB0B1D"/>
  </w:style>
  <w:style w:type="paragraph" w:customStyle="1" w:styleId="Questiontitle">
    <w:name w:val="Question_title"/>
    <w:basedOn w:val="Rectitle"/>
    <w:next w:val="Questionref"/>
    <w:rsid w:val="00EB0B1D"/>
  </w:style>
  <w:style w:type="paragraph" w:customStyle="1" w:styleId="Reftext">
    <w:name w:val="Ref_text"/>
    <w:basedOn w:val="Normal"/>
    <w:rsid w:val="00EB0B1D"/>
    <w:pPr>
      <w:ind w:left="794" w:hanging="794"/>
    </w:pPr>
  </w:style>
  <w:style w:type="paragraph" w:customStyle="1" w:styleId="Reftitle">
    <w:name w:val="Ref_title"/>
    <w:basedOn w:val="Normal"/>
    <w:next w:val="Reftext"/>
    <w:rsid w:val="00EB0B1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EB0B1D"/>
  </w:style>
  <w:style w:type="paragraph" w:customStyle="1" w:styleId="RepNo">
    <w:name w:val="Rep_No"/>
    <w:basedOn w:val="RecNo"/>
    <w:next w:val="Reptitle"/>
    <w:rsid w:val="00EB0B1D"/>
  </w:style>
  <w:style w:type="paragraph" w:customStyle="1" w:styleId="Reptitle">
    <w:name w:val="Rep_title"/>
    <w:basedOn w:val="Rectitle"/>
    <w:next w:val="Repref"/>
    <w:rsid w:val="00EB0B1D"/>
  </w:style>
  <w:style w:type="paragraph" w:customStyle="1" w:styleId="Repref">
    <w:name w:val="Rep_ref"/>
    <w:basedOn w:val="Recref"/>
    <w:next w:val="Repdate"/>
    <w:rsid w:val="00EB0B1D"/>
  </w:style>
  <w:style w:type="paragraph" w:customStyle="1" w:styleId="Resdate">
    <w:name w:val="Res_date"/>
    <w:basedOn w:val="Recdate"/>
    <w:next w:val="Normalaftertitle"/>
    <w:rsid w:val="00EB0B1D"/>
  </w:style>
  <w:style w:type="paragraph" w:customStyle="1" w:styleId="ResNo">
    <w:name w:val="Res_No"/>
    <w:basedOn w:val="RecNo"/>
    <w:next w:val="Restitle"/>
    <w:rsid w:val="00EB0B1D"/>
  </w:style>
  <w:style w:type="paragraph" w:customStyle="1" w:styleId="Restitle">
    <w:name w:val="Res_title"/>
    <w:basedOn w:val="Rectitle"/>
    <w:next w:val="Resref"/>
    <w:rsid w:val="00EB0B1D"/>
  </w:style>
  <w:style w:type="paragraph" w:customStyle="1" w:styleId="Resref">
    <w:name w:val="Res_ref"/>
    <w:basedOn w:val="Recref"/>
    <w:next w:val="Resdate"/>
    <w:rsid w:val="00EB0B1D"/>
  </w:style>
  <w:style w:type="paragraph" w:customStyle="1" w:styleId="SectionNo">
    <w:name w:val="Section_No"/>
    <w:basedOn w:val="AnnexNo"/>
    <w:next w:val="Sectiontitle"/>
    <w:rsid w:val="00EB0B1D"/>
  </w:style>
  <w:style w:type="paragraph" w:customStyle="1" w:styleId="Sectiontitle">
    <w:name w:val="Section_title"/>
    <w:basedOn w:val="Normal"/>
    <w:next w:val="Normalaftertitle"/>
    <w:rsid w:val="00EB0B1D"/>
    <w:rPr>
      <w:sz w:val="26"/>
    </w:rPr>
  </w:style>
  <w:style w:type="paragraph" w:customStyle="1" w:styleId="SpecialFooter">
    <w:name w:val="Special Footer"/>
    <w:basedOn w:val="Footer"/>
    <w:rsid w:val="00EB0B1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B0B1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B0B1D"/>
    <w:pPr>
      <w:spacing w:before="120"/>
    </w:pPr>
  </w:style>
  <w:style w:type="paragraph" w:customStyle="1" w:styleId="Tableref">
    <w:name w:val="Table_ref"/>
    <w:basedOn w:val="Normal"/>
    <w:next w:val="Tabletitle"/>
    <w:rsid w:val="00EB0B1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B0B1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EB0B1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EB0B1D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EB0B1D"/>
    <w:rPr>
      <w:b/>
    </w:rPr>
  </w:style>
  <w:style w:type="paragraph" w:customStyle="1" w:styleId="Chaptitle">
    <w:name w:val="Chap_title"/>
    <w:basedOn w:val="Arttitle"/>
    <w:next w:val="Normalaftertitle"/>
    <w:rsid w:val="00EB0B1D"/>
  </w:style>
  <w:style w:type="paragraph" w:customStyle="1" w:styleId="Table">
    <w:name w:val="Table_#"/>
    <w:basedOn w:val="Normal"/>
    <w:next w:val="Normal"/>
    <w:rsid w:val="002A218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E0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E0A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E0A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D53AA"/>
    <w:rPr>
      <w:rFonts w:ascii="Calibri" w:hAnsi="Calibri"/>
      <w:lang w:val="en-GB" w:eastAsia="en-US"/>
    </w:rPr>
  </w:style>
  <w:style w:type="paragraph" w:styleId="NormalWeb">
    <w:name w:val="Normal (Web)"/>
    <w:basedOn w:val="Normal"/>
    <w:uiPriority w:val="99"/>
    <w:unhideWhenUsed/>
    <w:rsid w:val="00833F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styleId="NoSpacing">
    <w:name w:val="No Spacing"/>
    <w:uiPriority w:val="1"/>
    <w:qFormat/>
    <w:rsid w:val="00833F2D"/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table" w:styleId="TableGrid">
    <w:name w:val="Table Grid"/>
    <w:basedOn w:val="TableNormal"/>
    <w:uiPriority w:val="39"/>
    <w:rsid w:val="00833F2D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A21B67"/>
    <w:rPr>
      <w:rFonts w:ascii="Courier New" w:hAnsi="Courier New"/>
      <w:vanish/>
      <w:color w:val="800080"/>
      <w:sz w:val="24"/>
      <w:vertAlign w:val="subscript"/>
    </w:rPr>
  </w:style>
  <w:style w:type="paragraph" w:customStyle="1" w:styleId="1">
    <w:name w:val="Без интервала1"/>
    <w:rsid w:val="00CD220D"/>
    <w:rPr>
      <w:rFonts w:ascii="Calibri" w:hAnsi="Calibri" w:cs="Arial"/>
      <w:snapToGrid w:val="0"/>
      <w:sz w:val="22"/>
      <w:szCs w:val="22"/>
      <w:lang w:val="en-IN" w:eastAsia="ru-RU"/>
    </w:rPr>
  </w:style>
  <w:style w:type="paragraph" w:customStyle="1" w:styleId="10">
    <w:name w:val="Абзац списка1"/>
    <w:basedOn w:val="Normal"/>
    <w:rsid w:val="00C21717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cs="Arial"/>
      <w:snapToGrid w:val="0"/>
      <w:szCs w:val="22"/>
      <w:lang w:val="en-US" w:eastAsia="ru-RU"/>
    </w:rPr>
  </w:style>
  <w:style w:type="paragraph" w:customStyle="1" w:styleId="docnoted">
    <w:name w:val="docnoted"/>
    <w:basedOn w:val="Normal"/>
    <w:next w:val="Head"/>
    <w:rsid w:val="00EB0B1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rsid w:val="00EB0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igitalindia.gov.in/di-initiativ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mhrd.gov.in/university-and-higher-education" TargetMode="External"/><Relationship Id="rId13" Type="http://schemas.openxmlformats.org/officeDocument/2006/relationships/hyperlink" Target="http://www.makeinindia.com/article/-/v/growth-of-fintech-in-india" TargetMode="External"/><Relationship Id="rId3" Type="http://schemas.openxmlformats.org/officeDocument/2006/relationships/hyperlink" Target="https://www.itu.int/en/ITU-D/Statistics/Pages/publications/mis2017.aspx" TargetMode="External"/><Relationship Id="rId7" Type="http://schemas.openxmlformats.org/officeDocument/2006/relationships/hyperlink" Target="file:///\\blue\dfs\refinfo\REFTXT\REFTXT2018\SG\CONSEIL\C18\000\www.pmjdy.gov.in\account" TargetMode="External"/><Relationship Id="rId12" Type="http://schemas.openxmlformats.org/officeDocument/2006/relationships/hyperlink" Target="https://evoma.com/business-centre/sme-sector-in-india-statistics-trends-reports/" TargetMode="External"/><Relationship Id="rId2" Type="http://schemas.openxmlformats.org/officeDocument/2006/relationships/hyperlink" Target="https://www.gsma.com/mobilefordevelopment/wp-content/uploads/2017/11/GSMA-Triggering-Mobile-Internet-Use_Web.pdf" TargetMode="External"/><Relationship Id="rId1" Type="http://schemas.openxmlformats.org/officeDocument/2006/relationships/hyperlink" Target="https://www.gsma.com/mobilefordevelopment/programme/ecosystem-accelerator/asia-pacific-a-look-at-the-565-active-tech-hubs-of-the-regions-emerging-economies/" TargetMode="External"/><Relationship Id="rId6" Type="http://schemas.openxmlformats.org/officeDocument/2006/relationships/hyperlink" Target="https://uidai.gov.in/" TargetMode="External"/><Relationship Id="rId11" Type="http://schemas.openxmlformats.org/officeDocument/2006/relationships/hyperlink" Target="http://www.forbesindia.com/article/special/google-india-aims-to-bring-20-million-smes-online-by-2017/40347/1" TargetMode="External"/><Relationship Id="rId5" Type="http://schemas.openxmlformats.org/officeDocument/2006/relationships/hyperlink" Target="http://www.bbnl.nic.in/index.aspx" TargetMode="External"/><Relationship Id="rId10" Type="http://schemas.openxmlformats.org/officeDocument/2006/relationships/hyperlink" Target="http://blogs.worldbank.org/psd/india-digital-finance-models-lending-small-businesses" TargetMode="External"/><Relationship Id="rId4" Type="http://schemas.openxmlformats.org/officeDocument/2006/relationships/hyperlink" Target="https://www.trai.gov.in/sites/default/files/BIF_CC_DP.pdf" TargetMode="External"/><Relationship Id="rId9" Type="http://schemas.openxmlformats.org/officeDocument/2006/relationships/hyperlink" Target="http://www.facilities.aicte-india.org/dashboard/pages/dashboardaicte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3" ma:contentTypeDescription="Create a new document." ma:contentTypeScope="" ma:versionID="2687d74077d15adbc405e960858b5b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8c493886292dcd174e9d59315e71ab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E3BE-257E-4148-BDA8-F293C0DEA370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60E1584-74A5-430F-96DB-BC5B2F518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F361E-B9EE-4420-99F2-AC4336F6A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FF1AC6-7432-4158-B60B-07B22F1C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39</TotalTime>
  <Pages>9</Pages>
  <Words>3045</Words>
  <Characters>21201</Characters>
  <Application>Microsoft Office Word</Application>
  <DocSecurity>0</DocSecurity>
  <Lines>176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Contribution from India</vt:lpstr>
      <vt:lpstr>Contribution from India</vt:lpstr>
    </vt:vector>
  </TitlesOfParts>
  <Manager>General Secretariat - Pool</Manager>
  <Company>International Telecommunication Union (ITU)</Company>
  <LinksUpToDate>false</LinksUpToDate>
  <CharactersWithSpaces>24198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India</dc:title>
  <dc:subject>Council 2018</dc:subject>
  <dc:creator>Brouard, Ricarda</dc:creator>
  <cp:keywords>C2018, C18</cp:keywords>
  <cp:lastModifiedBy>Maloletkova, Svetlana</cp:lastModifiedBy>
  <cp:revision>4</cp:revision>
  <cp:lastPrinted>2018-04-23T14:01:00Z</cp:lastPrinted>
  <dcterms:created xsi:type="dcterms:W3CDTF">2018-04-23T14:02:00Z</dcterms:created>
  <dcterms:modified xsi:type="dcterms:W3CDTF">2018-04-23T15:06:00Z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0x0101001E46BE2403204D4E844191C3480CD35B</vt:lpwstr>
  </property>
</Properties>
</file>