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trPr>
          <w:cantSplit/>
        </w:trPr>
        <w:tc>
          <w:tcPr>
            <w:tcW w:w="6912" w:type="dxa"/>
          </w:tcPr>
          <w:p w:rsidR="00520F36" w:rsidRPr="0092392D" w:rsidRDefault="00520F36" w:rsidP="003C3FAE">
            <w:pPr>
              <w:spacing w:before="360"/>
              <w:rPr>
                <w:lang w:val="fr-CH"/>
              </w:rPr>
            </w:pPr>
            <w:bookmarkStart w:id="0" w:name="dc06"/>
            <w:bookmarkEnd w:id="0"/>
            <w:r w:rsidRPr="00520F36">
              <w:rPr>
                <w:b/>
                <w:bCs/>
                <w:sz w:val="30"/>
                <w:szCs w:val="30"/>
                <w:lang w:val="fr-CH"/>
              </w:rPr>
              <w:t>Conseil 201</w:t>
            </w:r>
            <w:r w:rsidR="003C3FAE">
              <w:rPr>
                <w:b/>
                <w:bCs/>
                <w:sz w:val="30"/>
                <w:szCs w:val="30"/>
                <w:lang w:val="fr-CH"/>
              </w:rPr>
              <w:t>8</w:t>
            </w:r>
            <w:r w:rsidRPr="00520F36">
              <w:rPr>
                <w:rFonts w:ascii="Verdana" w:hAnsi="Verdana"/>
                <w:b/>
                <w:bCs/>
                <w:sz w:val="26"/>
                <w:szCs w:val="26"/>
                <w:lang w:val="fr-CH"/>
              </w:rPr>
              <w:br/>
            </w:r>
            <w:r w:rsidRPr="00520F36">
              <w:rPr>
                <w:b/>
                <w:bCs/>
                <w:szCs w:val="24"/>
                <w:lang w:val="fr-CH"/>
              </w:rPr>
              <w:t>Gen</w:t>
            </w:r>
            <w:r w:rsidRPr="00520F36">
              <w:rPr>
                <w:b/>
                <w:bCs/>
                <w:szCs w:val="24"/>
                <w:lang w:val="en-US"/>
              </w:rPr>
              <w:t>ève</w:t>
            </w:r>
            <w:r w:rsidRPr="00520F36">
              <w:rPr>
                <w:b/>
                <w:bCs/>
                <w:szCs w:val="24"/>
                <w:lang w:val="fr-CH"/>
              </w:rPr>
              <w:t>, 1</w:t>
            </w:r>
            <w:r w:rsidR="003C3FAE">
              <w:rPr>
                <w:b/>
                <w:bCs/>
                <w:szCs w:val="24"/>
                <w:lang w:val="fr-CH"/>
              </w:rPr>
              <w:t>7</w:t>
            </w:r>
            <w:r w:rsidRPr="00520F36">
              <w:rPr>
                <w:b/>
                <w:bCs/>
                <w:szCs w:val="24"/>
                <w:lang w:val="fr-CH"/>
              </w:rPr>
              <w:t>-2</w:t>
            </w:r>
            <w:r w:rsidR="003C3FAE">
              <w:rPr>
                <w:b/>
                <w:bCs/>
                <w:szCs w:val="24"/>
                <w:lang w:val="fr-CH"/>
              </w:rPr>
              <w:t>7</w:t>
            </w:r>
            <w:r w:rsidRPr="00520F36">
              <w:rPr>
                <w:b/>
                <w:bCs/>
                <w:szCs w:val="24"/>
                <w:lang w:val="fr-CH"/>
              </w:rPr>
              <w:t xml:space="preserve"> </w:t>
            </w:r>
            <w:r w:rsidR="003C3FAE">
              <w:rPr>
                <w:b/>
                <w:bCs/>
                <w:szCs w:val="24"/>
                <w:lang w:val="fr-CH"/>
              </w:rPr>
              <w:t>avril</w:t>
            </w:r>
            <w:r w:rsidRPr="00520F36">
              <w:rPr>
                <w:b/>
                <w:bCs/>
                <w:szCs w:val="24"/>
                <w:lang w:val="fr-CH"/>
              </w:rPr>
              <w:t xml:space="preserve"> 201</w:t>
            </w:r>
            <w:r w:rsidR="003C3FAE">
              <w:rPr>
                <w:b/>
                <w:bCs/>
                <w:szCs w:val="24"/>
                <w:lang w:val="fr-CH"/>
              </w:rPr>
              <w:t>8</w:t>
            </w:r>
          </w:p>
        </w:tc>
        <w:tc>
          <w:tcPr>
            <w:tcW w:w="3261" w:type="dxa"/>
          </w:tcPr>
          <w:p w:rsidR="00520F36" w:rsidRPr="0092392D" w:rsidRDefault="00520F36" w:rsidP="00520F36">
            <w:pPr>
              <w:spacing w:before="0"/>
              <w:jc w:val="right"/>
              <w:rPr>
                <w:lang w:val="fr-CH"/>
              </w:rPr>
            </w:pPr>
            <w:bookmarkStart w:id="1" w:name="ditulogo"/>
            <w:bookmarkEnd w:id="1"/>
            <w:r w:rsidRPr="00520F36">
              <w:rPr>
                <w:rFonts w:cstheme="minorHAnsi"/>
                <w:b/>
                <w:bCs/>
                <w:noProof/>
                <w:lang w:val="en-GB"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92392D" w:rsidTr="00EF41DD">
        <w:trPr>
          <w:cantSplit/>
          <w:trHeight w:val="20"/>
        </w:trPr>
        <w:tc>
          <w:tcPr>
            <w:tcW w:w="6912" w:type="dxa"/>
            <w:tcBorders>
              <w:bottom w:val="single" w:sz="12" w:space="0" w:color="auto"/>
            </w:tcBorders>
            <w:vAlign w:val="center"/>
          </w:tcPr>
          <w:p w:rsidR="00520F36" w:rsidRPr="00361350" w:rsidRDefault="00520F36" w:rsidP="004C37A9">
            <w:pPr>
              <w:spacing w:before="0"/>
              <w:rPr>
                <w:b/>
                <w:bCs/>
                <w:sz w:val="26"/>
                <w:szCs w:val="26"/>
                <w:lang w:val="fr-CH"/>
              </w:rPr>
            </w:pPr>
          </w:p>
        </w:tc>
        <w:tc>
          <w:tcPr>
            <w:tcW w:w="3261" w:type="dxa"/>
            <w:tcBorders>
              <w:bottom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tcBorders>
              <w:top w:val="single" w:sz="12" w:space="0" w:color="auto"/>
            </w:tcBorders>
          </w:tcPr>
          <w:p w:rsidR="00520F36" w:rsidRPr="0092392D" w:rsidRDefault="00520F36" w:rsidP="00DF74DD">
            <w:pPr>
              <w:spacing w:before="0"/>
              <w:rPr>
                <w:smallCaps/>
                <w:sz w:val="22"/>
                <w:lang w:val="fr-CH"/>
              </w:rPr>
            </w:pPr>
          </w:p>
        </w:tc>
        <w:tc>
          <w:tcPr>
            <w:tcW w:w="3261" w:type="dxa"/>
            <w:tcBorders>
              <w:top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vMerge w:val="restart"/>
          </w:tcPr>
          <w:p w:rsidR="00520F36" w:rsidRPr="00520F36" w:rsidRDefault="00E10538" w:rsidP="00DF74DD">
            <w:pPr>
              <w:spacing w:before="0"/>
              <w:rPr>
                <w:rFonts w:cs="Times"/>
                <w:b/>
                <w:bCs/>
                <w:szCs w:val="24"/>
                <w:lang w:val="fr-CH"/>
              </w:rPr>
            </w:pPr>
            <w:bookmarkStart w:id="2" w:name="dnum" w:colFirst="1" w:colLast="1"/>
            <w:bookmarkStart w:id="3" w:name="dmeeting" w:colFirst="0" w:colLast="0"/>
            <w:r w:rsidRPr="004E002A">
              <w:rPr>
                <w:b/>
                <w:bCs/>
                <w:szCs w:val="22"/>
                <w:lang w:val="fr-CH"/>
              </w:rPr>
              <w:t>Point de l’ordre du jour</w:t>
            </w:r>
            <w:r>
              <w:rPr>
                <w:b/>
                <w:bCs/>
                <w:szCs w:val="22"/>
                <w:lang w:val="fr-CH"/>
              </w:rPr>
              <w:t>:</w:t>
            </w:r>
            <w:r w:rsidRPr="004E002A">
              <w:rPr>
                <w:b/>
                <w:bCs/>
                <w:caps/>
                <w:szCs w:val="22"/>
                <w:lang w:val="fr-CH"/>
              </w:rPr>
              <w:t xml:space="preserve"> </w:t>
            </w:r>
            <w:r w:rsidRPr="004E002A">
              <w:rPr>
                <w:b/>
                <w:szCs w:val="22"/>
                <w:lang w:val="fr-CH"/>
              </w:rPr>
              <w:t>PL 2.5</w:t>
            </w:r>
          </w:p>
        </w:tc>
        <w:tc>
          <w:tcPr>
            <w:tcW w:w="3261" w:type="dxa"/>
          </w:tcPr>
          <w:p w:rsidR="00520F36" w:rsidRPr="00520F36" w:rsidRDefault="00520F36" w:rsidP="003C3FAE">
            <w:pPr>
              <w:spacing w:before="0"/>
              <w:rPr>
                <w:b/>
                <w:bCs/>
              </w:rPr>
            </w:pPr>
            <w:r>
              <w:rPr>
                <w:b/>
                <w:bCs/>
              </w:rPr>
              <w:t>Document C1</w:t>
            </w:r>
            <w:r w:rsidR="003C3FAE">
              <w:rPr>
                <w:b/>
                <w:bCs/>
              </w:rPr>
              <w:t>8</w:t>
            </w:r>
            <w:r>
              <w:rPr>
                <w:b/>
                <w:bCs/>
              </w:rPr>
              <w:t>/</w:t>
            </w:r>
            <w:r w:rsidR="00E10538">
              <w:rPr>
                <w:b/>
                <w:bCs/>
              </w:rPr>
              <w:t>84</w:t>
            </w:r>
            <w:r>
              <w:rPr>
                <w:b/>
                <w:bCs/>
              </w:rPr>
              <w:t>-F</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4" w:name="ddate" w:colFirst="1" w:colLast="1"/>
            <w:bookmarkEnd w:id="2"/>
            <w:bookmarkEnd w:id="3"/>
          </w:p>
        </w:tc>
        <w:tc>
          <w:tcPr>
            <w:tcW w:w="3261" w:type="dxa"/>
          </w:tcPr>
          <w:p w:rsidR="00520F36" w:rsidRPr="00520F36" w:rsidRDefault="00E10538" w:rsidP="00E10538">
            <w:pPr>
              <w:spacing w:before="0"/>
              <w:rPr>
                <w:b/>
                <w:bCs/>
              </w:rPr>
            </w:pPr>
            <w:r>
              <w:rPr>
                <w:b/>
                <w:bCs/>
              </w:rPr>
              <w:t>3</w:t>
            </w:r>
            <w:r w:rsidR="001A6508">
              <w:rPr>
                <w:b/>
                <w:bCs/>
              </w:rPr>
              <w:t xml:space="preserve"> </w:t>
            </w:r>
            <w:r>
              <w:rPr>
                <w:b/>
                <w:bCs/>
              </w:rPr>
              <w:t>avril</w:t>
            </w:r>
            <w:r w:rsidR="00520F36">
              <w:rPr>
                <w:b/>
                <w:bCs/>
              </w:rPr>
              <w:t xml:space="preserve"> 201</w:t>
            </w:r>
            <w:r w:rsidR="003C3FAE">
              <w:rPr>
                <w:b/>
                <w:bCs/>
              </w:rPr>
              <w:t>8</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5" w:name="dorlang" w:colFirst="1" w:colLast="1"/>
            <w:bookmarkEnd w:id="4"/>
          </w:p>
        </w:tc>
        <w:tc>
          <w:tcPr>
            <w:tcW w:w="3261" w:type="dxa"/>
          </w:tcPr>
          <w:p w:rsidR="00520F36" w:rsidRPr="00520F36" w:rsidRDefault="00520F36" w:rsidP="00E10538">
            <w:pPr>
              <w:spacing w:before="0"/>
              <w:rPr>
                <w:b/>
                <w:bCs/>
              </w:rPr>
            </w:pPr>
            <w:r>
              <w:rPr>
                <w:b/>
                <w:bCs/>
              </w:rPr>
              <w:t xml:space="preserve">Original: </w:t>
            </w:r>
            <w:r w:rsidR="00E10538">
              <w:rPr>
                <w:b/>
                <w:bCs/>
              </w:rPr>
              <w:t>russe</w:t>
            </w:r>
          </w:p>
        </w:tc>
      </w:tr>
      <w:tr w:rsidR="00520F36" w:rsidRPr="0092392D">
        <w:trPr>
          <w:cantSplit/>
        </w:trPr>
        <w:tc>
          <w:tcPr>
            <w:tcW w:w="10173" w:type="dxa"/>
            <w:gridSpan w:val="2"/>
          </w:tcPr>
          <w:p w:rsidR="00520F36" w:rsidRPr="0092392D" w:rsidRDefault="00E10538" w:rsidP="0083386E">
            <w:pPr>
              <w:pStyle w:val="Source"/>
              <w:spacing w:after="240"/>
            </w:pPr>
            <w:bookmarkStart w:id="6" w:name="dsource" w:colFirst="0" w:colLast="0"/>
            <w:bookmarkEnd w:id="5"/>
            <w:r w:rsidRPr="00A907A0">
              <w:rPr>
                <w:lang w:val="en-US"/>
              </w:rPr>
              <w:t xml:space="preserve">Note </w:t>
            </w:r>
            <w:r>
              <w:rPr>
                <w:lang w:val="en-US"/>
              </w:rPr>
              <w:t>du Secrétaire général</w:t>
            </w:r>
          </w:p>
        </w:tc>
      </w:tr>
      <w:tr w:rsidR="00520F36" w:rsidRPr="0092392D">
        <w:trPr>
          <w:cantSplit/>
        </w:trPr>
        <w:tc>
          <w:tcPr>
            <w:tcW w:w="10173" w:type="dxa"/>
            <w:gridSpan w:val="2"/>
          </w:tcPr>
          <w:p w:rsidR="00520F36" w:rsidRPr="0092392D" w:rsidRDefault="00E10538" w:rsidP="0083386E">
            <w:pPr>
              <w:pStyle w:val="Title1"/>
              <w:spacing w:after="240"/>
            </w:pPr>
            <w:bookmarkStart w:id="7" w:name="dtitle1" w:colFirst="0" w:colLast="0"/>
            <w:bookmarkEnd w:id="6"/>
            <w:r w:rsidRPr="004E002A">
              <w:rPr>
                <w:bCs/>
                <w:lang w:val="fr-CH"/>
              </w:rPr>
              <w:t xml:space="preserve">CONTRIBUTION de la </w:t>
            </w:r>
            <w:r>
              <w:rPr>
                <w:bCs/>
                <w:lang w:val="fr-CH"/>
              </w:rPr>
              <w:t>FéDé</w:t>
            </w:r>
            <w:r w:rsidRPr="004E002A">
              <w:rPr>
                <w:bCs/>
                <w:lang w:val="fr-CH"/>
              </w:rPr>
              <w:t>RATION de rUSSI</w:t>
            </w:r>
            <w:r>
              <w:rPr>
                <w:bCs/>
                <w:lang w:val="fr-CH"/>
              </w:rPr>
              <w:t>e</w:t>
            </w:r>
          </w:p>
        </w:tc>
      </w:tr>
      <w:tr w:rsidR="00E10538" w:rsidRPr="0092392D">
        <w:trPr>
          <w:cantSplit/>
        </w:trPr>
        <w:tc>
          <w:tcPr>
            <w:tcW w:w="10173" w:type="dxa"/>
            <w:gridSpan w:val="2"/>
          </w:tcPr>
          <w:p w:rsidR="00E10538" w:rsidRPr="004E002A" w:rsidRDefault="00E10538" w:rsidP="0083386E">
            <w:pPr>
              <w:pStyle w:val="Title1"/>
              <w:spacing w:after="240"/>
              <w:rPr>
                <w:bCs/>
                <w:lang w:val="fr-CH"/>
              </w:rPr>
            </w:pPr>
            <w:r w:rsidRPr="004E002A">
              <w:rPr>
                <w:color w:val="000000"/>
                <w:lang w:val="fr-CH"/>
              </w:rPr>
              <w:t>RATIONALISATION DES RÉSOLUTIONS DE LA</w:t>
            </w:r>
            <w:r w:rsidRPr="004E002A">
              <w:rPr>
                <w:lang w:val="fr-CH"/>
              </w:rPr>
              <w:t xml:space="preserve"> PP </w:t>
            </w:r>
            <w:r>
              <w:rPr>
                <w:lang w:val="fr-CH"/>
              </w:rPr>
              <w:t>et des SECTEURS</w:t>
            </w:r>
          </w:p>
        </w:tc>
      </w:tr>
    </w:tbl>
    <w:bookmarkEnd w:id="7"/>
    <w:p w:rsidR="00E10538" w:rsidRPr="004E002A" w:rsidRDefault="00E10538" w:rsidP="00E10538">
      <w:pPr>
        <w:pStyle w:val="Normalaftertitle"/>
        <w:spacing w:before="600"/>
        <w:rPr>
          <w:b/>
          <w:bCs/>
          <w:lang w:val="fr-CH"/>
        </w:rPr>
      </w:pPr>
      <w:r w:rsidRPr="004E002A">
        <w:rPr>
          <w:color w:val="000000"/>
          <w:lang w:val="fr-CH"/>
        </w:rPr>
        <w:t>J'ai l'honneur de transmettre aux Etats Membres du Conseil une contribution soumise par la</w:t>
      </w:r>
      <w:r w:rsidR="00593D81">
        <w:rPr>
          <w:lang w:val="fr-CH"/>
        </w:rPr>
        <w:t xml:space="preserve"> </w:t>
      </w:r>
      <w:r w:rsidRPr="00E359A4">
        <w:rPr>
          <w:b/>
          <w:bCs/>
          <w:lang w:val="fr-CH"/>
        </w:rPr>
        <w:t>Fédération de Russie</w:t>
      </w:r>
      <w:r>
        <w:rPr>
          <w:lang w:val="fr-CH"/>
        </w:rPr>
        <w:t>.</w:t>
      </w:r>
    </w:p>
    <w:p w:rsidR="00520F36" w:rsidRPr="00CA08ED" w:rsidRDefault="00E10538" w:rsidP="00E359A4">
      <w:pPr>
        <w:tabs>
          <w:tab w:val="clear" w:pos="567"/>
          <w:tab w:val="clear" w:pos="1134"/>
          <w:tab w:val="clear" w:pos="1701"/>
          <w:tab w:val="clear" w:pos="2268"/>
          <w:tab w:val="clear" w:pos="2835"/>
          <w:tab w:val="center" w:pos="7088"/>
        </w:tabs>
        <w:spacing w:before="840"/>
      </w:pPr>
      <w:r>
        <w:rPr>
          <w:lang w:val="fr-CH"/>
        </w:rPr>
        <w:tab/>
      </w:r>
      <w:r w:rsidRPr="00374AD9">
        <w:rPr>
          <w:lang w:val="fr-CH"/>
        </w:rPr>
        <w:t>Houlin ZHAO</w:t>
      </w:r>
      <w:r w:rsidRPr="00374AD9">
        <w:rPr>
          <w:lang w:val="fr-CH"/>
        </w:rPr>
        <w:br/>
      </w:r>
      <w:r w:rsidRPr="00374AD9">
        <w:rPr>
          <w:lang w:val="fr-CH"/>
        </w:rPr>
        <w:tab/>
        <w:t>Secrétaire général</w:t>
      </w:r>
    </w:p>
    <w:p w:rsidR="00E10538" w:rsidRDefault="00E10538" w:rsidP="00E10538">
      <w:r>
        <w:br w:type="page"/>
      </w:r>
    </w:p>
    <w:p w:rsidR="00571EEA" w:rsidRDefault="00374AD9" w:rsidP="00374AD9">
      <w:pPr>
        <w:pStyle w:val="Source"/>
        <w:rPr>
          <w:lang w:val="fr-CH"/>
        </w:rPr>
      </w:pPr>
      <w:r>
        <w:rPr>
          <w:lang w:val="fr-CH"/>
        </w:rPr>
        <w:lastRenderedPageBreak/>
        <w:t>Fédé</w:t>
      </w:r>
      <w:r w:rsidRPr="004E002A">
        <w:rPr>
          <w:lang w:val="fr-CH"/>
        </w:rPr>
        <w:t>ration</w:t>
      </w:r>
      <w:r>
        <w:rPr>
          <w:lang w:val="fr-CH"/>
        </w:rPr>
        <w:t xml:space="preserve"> de R</w:t>
      </w:r>
      <w:r w:rsidRPr="004E002A">
        <w:rPr>
          <w:lang w:val="fr-CH"/>
        </w:rPr>
        <w:t>ussi</w:t>
      </w:r>
      <w:r>
        <w:rPr>
          <w:lang w:val="fr-CH"/>
        </w:rPr>
        <w:t>e</w:t>
      </w:r>
    </w:p>
    <w:p w:rsidR="00E10538" w:rsidRDefault="00E10538" w:rsidP="00E10538">
      <w:pPr>
        <w:pStyle w:val="Title2"/>
        <w:rPr>
          <w:lang w:val="fr-CH"/>
        </w:rPr>
      </w:pPr>
      <w:r w:rsidRPr="004E002A">
        <w:rPr>
          <w:lang w:val="fr-CH"/>
        </w:rPr>
        <w:t xml:space="preserve">RATIONALISATION DES RÉSOLUTIONS DE LA PP </w:t>
      </w:r>
      <w:r>
        <w:rPr>
          <w:lang w:val="fr-CH"/>
        </w:rPr>
        <w:t>et des SECTEURS</w:t>
      </w:r>
    </w:p>
    <w:p w:rsidR="00E10538" w:rsidRPr="00E10538" w:rsidRDefault="00E10538" w:rsidP="00E10538">
      <w:pPr>
        <w:pStyle w:val="Heading1"/>
      </w:pPr>
      <w:r w:rsidRPr="00E10538">
        <w:t>1</w:t>
      </w:r>
      <w:r w:rsidRPr="00E10538">
        <w:tab/>
        <w:t>Introduction</w:t>
      </w:r>
    </w:p>
    <w:p w:rsidR="00E10538" w:rsidRPr="00271F84" w:rsidRDefault="00E10538" w:rsidP="00E10538">
      <w:pPr>
        <w:tabs>
          <w:tab w:val="left" w:pos="794"/>
          <w:tab w:val="left" w:pos="1191"/>
          <w:tab w:val="left" w:pos="1588"/>
          <w:tab w:val="left" w:pos="1985"/>
        </w:tabs>
        <w:spacing w:after="120"/>
        <w:rPr>
          <w:lang w:val="fr-CH"/>
        </w:rPr>
      </w:pPr>
      <w:r w:rsidRPr="00271F84">
        <w:rPr>
          <w:color w:val="000000"/>
          <w:lang w:val="fr-CH"/>
        </w:rPr>
        <w:t xml:space="preserve">Plusieurs Résolutions </w:t>
      </w:r>
      <w:r>
        <w:rPr>
          <w:color w:val="000000"/>
          <w:lang w:val="fr-CH"/>
        </w:rPr>
        <w:t>des</w:t>
      </w:r>
      <w:r w:rsidRPr="00271F84">
        <w:rPr>
          <w:color w:val="000000"/>
          <w:lang w:val="fr-CH"/>
        </w:rPr>
        <w:t xml:space="preserve"> trois Secteurs reposent directement sur des Résolutions de la PP se rapportant à un thème apparenté.</w:t>
      </w:r>
      <w:r w:rsidR="00593D81">
        <w:rPr>
          <w:rFonts w:cstheme="majorBidi"/>
          <w:lang w:val="fr-CH"/>
        </w:rPr>
        <w:t xml:space="preserve"> </w:t>
      </w:r>
      <w:r w:rsidRPr="00271F84">
        <w:rPr>
          <w:rFonts w:cstheme="majorBidi"/>
          <w:lang w:val="fr-CH"/>
        </w:rPr>
        <w:t>Dans la pratique, les textes des documents sont très semblables, et les principales</w:t>
      </w:r>
      <w:r>
        <w:rPr>
          <w:rFonts w:cstheme="majorBidi"/>
          <w:lang w:val="fr-CH"/>
        </w:rPr>
        <w:t xml:space="preserve"> dispositions constituant le </w:t>
      </w:r>
      <w:r w:rsidRPr="00271F84">
        <w:rPr>
          <w:color w:val="000000"/>
          <w:lang w:val="fr-CH"/>
        </w:rPr>
        <w:t>dispositif</w:t>
      </w:r>
      <w:r w:rsidRPr="00271F84">
        <w:rPr>
          <w:lang w:val="fr-CH"/>
        </w:rPr>
        <w:t xml:space="preserve"> </w:t>
      </w:r>
      <w:r w:rsidRPr="00271F84">
        <w:rPr>
          <w:color w:val="000000"/>
          <w:lang w:val="fr-CH"/>
        </w:rPr>
        <w:t>des Résolutions de</w:t>
      </w:r>
      <w:r w:rsidRPr="00271F84">
        <w:rPr>
          <w:lang w:val="fr-CH"/>
        </w:rPr>
        <w:t xml:space="preserve"> </w:t>
      </w:r>
      <w:r>
        <w:rPr>
          <w:lang w:val="fr-CH"/>
        </w:rPr>
        <w:t>l’Assemblée des radiocommunications (AR), de l’Assemblée mondiale de normalisation des télécommunications</w:t>
      </w:r>
      <w:r w:rsidR="00852BC1">
        <w:rPr>
          <w:lang w:val="fr-CH"/>
        </w:rPr>
        <w:t xml:space="preserve"> </w:t>
      </w:r>
      <w:r>
        <w:rPr>
          <w:lang w:val="fr-CH"/>
        </w:rPr>
        <w:t>(AMNT)</w:t>
      </w:r>
      <w:r w:rsidR="00593D81">
        <w:rPr>
          <w:lang w:val="fr-CH"/>
        </w:rPr>
        <w:t xml:space="preserve"> </w:t>
      </w:r>
      <w:r>
        <w:rPr>
          <w:lang w:val="fr-CH"/>
        </w:rPr>
        <w:t>et de la</w:t>
      </w:r>
      <w:r w:rsidR="00593D81">
        <w:rPr>
          <w:lang w:val="fr-CH"/>
        </w:rPr>
        <w:t xml:space="preserve"> </w:t>
      </w:r>
      <w:r>
        <w:rPr>
          <w:lang w:val="fr-CH"/>
        </w:rPr>
        <w:t>Conférence</w:t>
      </w:r>
      <w:r w:rsidR="00593D81">
        <w:rPr>
          <w:lang w:val="fr-CH"/>
        </w:rPr>
        <w:t xml:space="preserve"> </w:t>
      </w:r>
      <w:r>
        <w:rPr>
          <w:lang w:val="fr-CH"/>
        </w:rPr>
        <w:t>mondiale</w:t>
      </w:r>
      <w:r w:rsidR="00593D81">
        <w:rPr>
          <w:lang w:val="fr-CH"/>
        </w:rPr>
        <w:t xml:space="preserve"> </w:t>
      </w:r>
      <w:r>
        <w:rPr>
          <w:lang w:val="fr-CH"/>
        </w:rPr>
        <w:t>de développement des télécommunications</w:t>
      </w:r>
      <w:r w:rsidRPr="00271F84">
        <w:rPr>
          <w:color w:val="000000"/>
          <w:lang w:val="fr-CH"/>
        </w:rPr>
        <w:t xml:space="preserve"> (CMDT</w:t>
      </w:r>
      <w:r>
        <w:rPr>
          <w:color w:val="000000"/>
          <w:lang w:val="fr-CH"/>
        </w:rPr>
        <w:t>)</w:t>
      </w:r>
      <w:r w:rsidRPr="00271F84">
        <w:rPr>
          <w:color w:val="000000"/>
          <w:lang w:val="fr-CH"/>
        </w:rPr>
        <w:t xml:space="preserve"> </w:t>
      </w:r>
      <w:r>
        <w:rPr>
          <w:color w:val="000000"/>
          <w:lang w:val="fr-CH"/>
        </w:rPr>
        <w:t>sont</w:t>
      </w:r>
      <w:r w:rsidR="00593D81">
        <w:rPr>
          <w:color w:val="000000"/>
          <w:lang w:val="fr-CH"/>
        </w:rPr>
        <w:t xml:space="preserve"> </w:t>
      </w:r>
      <w:r w:rsidRPr="00271F84">
        <w:rPr>
          <w:color w:val="000000"/>
          <w:lang w:val="fr-CH"/>
        </w:rPr>
        <w:t xml:space="preserve">une répétition de la Résolution </w:t>
      </w:r>
      <w:r>
        <w:rPr>
          <w:color w:val="000000"/>
          <w:lang w:val="fr-CH"/>
        </w:rPr>
        <w:t xml:space="preserve">correspondante </w:t>
      </w:r>
      <w:r w:rsidRPr="00271F84">
        <w:rPr>
          <w:color w:val="000000"/>
          <w:lang w:val="fr-CH"/>
        </w:rPr>
        <w:t>de la PP</w:t>
      </w:r>
      <w:r>
        <w:rPr>
          <w:color w:val="000000"/>
          <w:lang w:val="fr-CH"/>
        </w:rPr>
        <w:t>,</w:t>
      </w:r>
      <w:r w:rsidRPr="00271F84">
        <w:rPr>
          <w:color w:val="000000"/>
          <w:lang w:val="fr-CH"/>
        </w:rPr>
        <w:t xml:space="preserve"> ou repren</w:t>
      </w:r>
      <w:r>
        <w:rPr>
          <w:color w:val="000000"/>
          <w:lang w:val="fr-CH"/>
        </w:rPr>
        <w:t xml:space="preserve">nent </w:t>
      </w:r>
      <w:r w:rsidRPr="00271F84">
        <w:rPr>
          <w:color w:val="000000"/>
          <w:lang w:val="fr-CH"/>
        </w:rPr>
        <w:t>un ou plusieurs éléments</w:t>
      </w:r>
      <w:r w:rsidR="00593D81">
        <w:rPr>
          <w:color w:val="000000"/>
          <w:lang w:val="fr-CH"/>
        </w:rPr>
        <w:t xml:space="preserve"> </w:t>
      </w:r>
      <w:r w:rsidRPr="00271F84">
        <w:rPr>
          <w:color w:val="000000"/>
          <w:lang w:val="fr-CH"/>
        </w:rPr>
        <w:t>de cette Résolution</w:t>
      </w:r>
      <w:r>
        <w:rPr>
          <w:color w:val="000000"/>
          <w:lang w:val="fr-CH"/>
        </w:rPr>
        <w:t>, comme le m</w:t>
      </w:r>
      <w:r w:rsidR="00E359A4">
        <w:rPr>
          <w:color w:val="000000"/>
          <w:lang w:val="fr-CH"/>
        </w:rPr>
        <w:t>ontrent les exemples ci</w:t>
      </w:r>
      <w:r w:rsidR="00E359A4" w:rsidRPr="00E359A4">
        <w:rPr>
          <w:color w:val="000000"/>
        </w:rPr>
        <w:noBreakHyphen/>
      </w:r>
      <w:r>
        <w:rPr>
          <w:color w:val="000000"/>
          <w:lang w:val="fr-CH"/>
        </w:rPr>
        <w:t>dessous:</w:t>
      </w:r>
    </w:p>
    <w:tbl>
      <w:tblPr>
        <w:tblStyle w:val="TableGrid"/>
        <w:tblW w:w="9385" w:type="dxa"/>
        <w:tblInd w:w="108" w:type="dxa"/>
        <w:tblLook w:val="04A0" w:firstRow="1" w:lastRow="0" w:firstColumn="1" w:lastColumn="0" w:noHBand="0" w:noVBand="1"/>
      </w:tblPr>
      <w:tblGrid>
        <w:gridCol w:w="2127"/>
        <w:gridCol w:w="1871"/>
        <w:gridCol w:w="1701"/>
        <w:gridCol w:w="1531"/>
        <w:gridCol w:w="2155"/>
      </w:tblGrid>
      <w:tr w:rsidR="00E10538" w:rsidRPr="008D14D3" w:rsidTr="00852BC1">
        <w:trPr>
          <w:tblHeader/>
        </w:trPr>
        <w:tc>
          <w:tcPr>
            <w:tcW w:w="2127" w:type="dxa"/>
            <w:vAlign w:val="center"/>
          </w:tcPr>
          <w:p w:rsidR="00E10538" w:rsidRPr="008D14D3" w:rsidRDefault="00E10538" w:rsidP="008544A6">
            <w:pPr>
              <w:pStyle w:val="Tablehead"/>
              <w:rPr>
                <w:rFonts w:cstheme="majorBidi"/>
                <w:bCs/>
              </w:rPr>
            </w:pPr>
            <w:r>
              <w:t>Thème</w:t>
            </w:r>
            <w:r w:rsidR="00593D81">
              <w:rPr>
                <w:rFonts w:cstheme="majorBidi"/>
                <w:bCs/>
              </w:rPr>
              <w:t xml:space="preserve"> </w:t>
            </w:r>
          </w:p>
        </w:tc>
        <w:tc>
          <w:tcPr>
            <w:tcW w:w="1871" w:type="dxa"/>
            <w:vAlign w:val="center"/>
          </w:tcPr>
          <w:p w:rsidR="00E10538" w:rsidRPr="00F713D9" w:rsidRDefault="00E10538" w:rsidP="008544A6">
            <w:pPr>
              <w:pStyle w:val="Tablehead"/>
              <w:rPr>
                <w:rFonts w:cstheme="majorBidi"/>
                <w:bCs/>
                <w:lang w:val="fr-CH"/>
              </w:rPr>
            </w:pPr>
            <w:r w:rsidRPr="00F713D9">
              <w:rPr>
                <w:lang w:val="fr-CH"/>
              </w:rPr>
              <w:t>Résolution de la PP</w:t>
            </w:r>
            <w:r w:rsidR="00593D81">
              <w:rPr>
                <w:rFonts w:cstheme="majorBidi"/>
                <w:bCs/>
                <w:lang w:val="fr-CH"/>
              </w:rPr>
              <w:t xml:space="preserve"> </w:t>
            </w:r>
          </w:p>
        </w:tc>
        <w:tc>
          <w:tcPr>
            <w:tcW w:w="1701" w:type="dxa"/>
            <w:vAlign w:val="center"/>
          </w:tcPr>
          <w:p w:rsidR="00E10538" w:rsidRPr="008D14D3" w:rsidRDefault="00E10538" w:rsidP="008544A6">
            <w:pPr>
              <w:pStyle w:val="Tablehead"/>
              <w:rPr>
                <w:rFonts w:cstheme="majorBidi"/>
                <w:bCs/>
              </w:rPr>
            </w:pPr>
            <w:r w:rsidRPr="008F498E">
              <w:rPr>
                <w:szCs w:val="22"/>
              </w:rPr>
              <w:t xml:space="preserve">Résolution </w:t>
            </w:r>
            <w:r>
              <w:rPr>
                <w:szCs w:val="22"/>
              </w:rPr>
              <w:br/>
            </w:r>
            <w:r w:rsidRPr="008F498E">
              <w:rPr>
                <w:szCs w:val="22"/>
              </w:rPr>
              <w:t>de l'AMNT</w:t>
            </w:r>
          </w:p>
        </w:tc>
        <w:tc>
          <w:tcPr>
            <w:tcW w:w="1531" w:type="dxa"/>
            <w:vAlign w:val="center"/>
          </w:tcPr>
          <w:p w:rsidR="00E10538" w:rsidRPr="008D14D3" w:rsidRDefault="00E10538" w:rsidP="008544A6">
            <w:pPr>
              <w:pStyle w:val="Tablehead"/>
              <w:rPr>
                <w:rFonts w:cstheme="majorBidi"/>
                <w:bCs/>
                <w:lang w:val="en-US"/>
              </w:rPr>
            </w:pPr>
            <w:r w:rsidRPr="008F498E">
              <w:rPr>
                <w:szCs w:val="22"/>
              </w:rPr>
              <w:t xml:space="preserve">Résolution </w:t>
            </w:r>
            <w:r>
              <w:rPr>
                <w:szCs w:val="22"/>
              </w:rPr>
              <w:br/>
            </w:r>
            <w:r w:rsidRPr="008F498E">
              <w:rPr>
                <w:szCs w:val="22"/>
              </w:rPr>
              <w:t>de la CMDT</w:t>
            </w:r>
          </w:p>
        </w:tc>
        <w:tc>
          <w:tcPr>
            <w:tcW w:w="2155" w:type="dxa"/>
            <w:vAlign w:val="center"/>
          </w:tcPr>
          <w:p w:rsidR="00E10538" w:rsidRPr="008D14D3" w:rsidRDefault="00E10538" w:rsidP="008544A6">
            <w:pPr>
              <w:pStyle w:val="Tablehead"/>
              <w:rPr>
                <w:rFonts w:cstheme="majorBidi"/>
                <w:bCs/>
              </w:rPr>
            </w:pPr>
            <w:r w:rsidRPr="008F498E">
              <w:rPr>
                <w:szCs w:val="22"/>
              </w:rPr>
              <w:t xml:space="preserve">Résolution </w:t>
            </w:r>
            <w:r>
              <w:rPr>
                <w:szCs w:val="22"/>
              </w:rPr>
              <w:br/>
            </w:r>
            <w:r w:rsidRPr="008F498E">
              <w:rPr>
                <w:szCs w:val="22"/>
              </w:rPr>
              <w:t>de l</w:t>
            </w:r>
            <w:r>
              <w:rPr>
                <w:szCs w:val="22"/>
              </w:rPr>
              <w:t>'</w:t>
            </w:r>
            <w:r w:rsidRPr="008F498E">
              <w:rPr>
                <w:szCs w:val="22"/>
              </w:rPr>
              <w:t>AR</w:t>
            </w:r>
          </w:p>
        </w:tc>
      </w:tr>
      <w:tr w:rsidR="00E10538" w:rsidRPr="008D14D3" w:rsidTr="00852BC1">
        <w:tc>
          <w:tcPr>
            <w:tcW w:w="2127" w:type="dxa"/>
          </w:tcPr>
          <w:p w:rsidR="00E10538" w:rsidRPr="008F498E" w:rsidRDefault="00E10538" w:rsidP="008544A6">
            <w:pPr>
              <w:pStyle w:val="Tabletext"/>
            </w:pPr>
            <w:r w:rsidRPr="008F498E">
              <w:t>Présence régionale</w:t>
            </w:r>
          </w:p>
        </w:tc>
        <w:tc>
          <w:tcPr>
            <w:tcW w:w="1871" w:type="dxa"/>
          </w:tcPr>
          <w:p w:rsidR="00E10538" w:rsidRPr="008F498E" w:rsidRDefault="00852BC1" w:rsidP="00852BC1">
            <w:pPr>
              <w:pStyle w:val="Tabletext"/>
              <w:jc w:val="center"/>
            </w:pPr>
            <w:r>
              <w:t>Rés. 25 de la </w:t>
            </w:r>
            <w:r w:rsidR="00E10538" w:rsidRPr="008F498E">
              <w:t>PP</w:t>
            </w:r>
          </w:p>
        </w:tc>
        <w:tc>
          <w:tcPr>
            <w:tcW w:w="1701" w:type="dxa"/>
          </w:tcPr>
          <w:p w:rsidR="00E10538" w:rsidRPr="008F498E" w:rsidRDefault="00E10538" w:rsidP="00852BC1">
            <w:pPr>
              <w:pStyle w:val="Tabletext"/>
              <w:jc w:val="center"/>
            </w:pPr>
            <w:r w:rsidRPr="008F498E">
              <w:t>Rés. 54 de l'AMNT</w:t>
            </w:r>
          </w:p>
        </w:tc>
        <w:tc>
          <w:tcPr>
            <w:tcW w:w="1531" w:type="dxa"/>
          </w:tcPr>
          <w:p w:rsidR="00E10538" w:rsidRPr="008F498E" w:rsidRDefault="00852BC1" w:rsidP="00852BC1">
            <w:pPr>
              <w:pStyle w:val="Tabletext"/>
              <w:jc w:val="center"/>
            </w:pPr>
            <w:r>
              <w:t>Rés. 17 de la </w:t>
            </w:r>
            <w:r w:rsidR="00E10538" w:rsidRPr="008F498E">
              <w:t>CMDT</w:t>
            </w:r>
          </w:p>
        </w:tc>
        <w:tc>
          <w:tcPr>
            <w:tcW w:w="2155" w:type="dxa"/>
          </w:tcPr>
          <w:p w:rsidR="00E10538" w:rsidRPr="008F498E" w:rsidRDefault="00E10538" w:rsidP="00852BC1">
            <w:pPr>
              <w:pStyle w:val="Tabletext"/>
              <w:jc w:val="center"/>
            </w:pPr>
            <w:r w:rsidRPr="008F498E">
              <w:t>Rés. 48 de l</w:t>
            </w:r>
            <w:r>
              <w:t>'</w:t>
            </w:r>
            <w:r w:rsidRPr="008F498E">
              <w:t>UIT-R</w:t>
            </w:r>
          </w:p>
        </w:tc>
      </w:tr>
      <w:tr w:rsidR="00E10538" w:rsidRPr="008D14D3" w:rsidTr="00852BC1">
        <w:tc>
          <w:tcPr>
            <w:tcW w:w="2127" w:type="dxa"/>
          </w:tcPr>
          <w:p w:rsidR="00E10538" w:rsidRPr="008F498E" w:rsidRDefault="00E10538" w:rsidP="008544A6">
            <w:pPr>
              <w:pStyle w:val="Tabletext"/>
            </w:pPr>
            <w:r w:rsidRPr="008F498E">
              <w:t>SMSI+ODD</w:t>
            </w:r>
          </w:p>
        </w:tc>
        <w:tc>
          <w:tcPr>
            <w:tcW w:w="1871" w:type="dxa"/>
          </w:tcPr>
          <w:p w:rsidR="00E10538" w:rsidRPr="008F498E" w:rsidRDefault="00E10538" w:rsidP="00852BC1">
            <w:pPr>
              <w:pStyle w:val="Tabletext"/>
              <w:jc w:val="center"/>
            </w:pPr>
            <w:r w:rsidRPr="008F498E">
              <w:t>Rés. 140 de la PP</w:t>
            </w:r>
          </w:p>
        </w:tc>
        <w:tc>
          <w:tcPr>
            <w:tcW w:w="1701" w:type="dxa"/>
          </w:tcPr>
          <w:p w:rsidR="00E10538" w:rsidRPr="008F498E" w:rsidRDefault="00E10538" w:rsidP="00852BC1">
            <w:pPr>
              <w:pStyle w:val="Tabletext"/>
              <w:jc w:val="center"/>
            </w:pPr>
            <w:r w:rsidRPr="008F498E">
              <w:t>Rés. 75 de l'AMNT</w:t>
            </w:r>
          </w:p>
        </w:tc>
        <w:tc>
          <w:tcPr>
            <w:tcW w:w="1531" w:type="dxa"/>
          </w:tcPr>
          <w:p w:rsidR="00E10538" w:rsidRPr="008F498E" w:rsidRDefault="00852BC1" w:rsidP="00852BC1">
            <w:pPr>
              <w:pStyle w:val="Tabletext"/>
              <w:jc w:val="center"/>
            </w:pPr>
            <w:r>
              <w:t>Rés. 30 de la </w:t>
            </w:r>
            <w:r w:rsidR="00E10538" w:rsidRPr="008F498E">
              <w:t>CMDT</w:t>
            </w:r>
          </w:p>
        </w:tc>
        <w:tc>
          <w:tcPr>
            <w:tcW w:w="2155" w:type="dxa"/>
          </w:tcPr>
          <w:p w:rsidR="00E10538" w:rsidRPr="008F498E" w:rsidRDefault="00E10538" w:rsidP="00852BC1">
            <w:pPr>
              <w:pStyle w:val="Tabletext"/>
              <w:jc w:val="center"/>
            </w:pPr>
            <w:r w:rsidRPr="008F498E">
              <w:t>Rés. 61 de l</w:t>
            </w:r>
            <w:r>
              <w:t>'</w:t>
            </w:r>
            <w:r w:rsidRPr="008F498E">
              <w:t>UIT-R</w:t>
            </w:r>
          </w:p>
        </w:tc>
      </w:tr>
      <w:tr w:rsidR="00E10538" w:rsidRPr="008D14D3" w:rsidTr="00852BC1">
        <w:tc>
          <w:tcPr>
            <w:tcW w:w="2127" w:type="dxa"/>
          </w:tcPr>
          <w:p w:rsidR="00E10538" w:rsidRPr="008F498E" w:rsidRDefault="00E10538" w:rsidP="008544A6">
            <w:pPr>
              <w:pStyle w:val="Tabletext"/>
            </w:pPr>
            <w:r w:rsidRPr="008F498E">
              <w:t>Membres de Secteur, Associés</w:t>
            </w:r>
          </w:p>
        </w:tc>
        <w:tc>
          <w:tcPr>
            <w:tcW w:w="1871" w:type="dxa"/>
          </w:tcPr>
          <w:p w:rsidR="00E10538" w:rsidRPr="008F498E" w:rsidRDefault="00E10538" w:rsidP="00852BC1">
            <w:pPr>
              <w:pStyle w:val="Tabletext"/>
              <w:jc w:val="center"/>
            </w:pPr>
            <w:r w:rsidRPr="008F498E">
              <w:t>Rés. 152 de la PP</w:t>
            </w:r>
          </w:p>
        </w:tc>
        <w:tc>
          <w:tcPr>
            <w:tcW w:w="1701" w:type="dxa"/>
          </w:tcPr>
          <w:p w:rsidR="00E10538" w:rsidRPr="008F498E" w:rsidRDefault="00E10538" w:rsidP="00852BC1">
            <w:pPr>
              <w:pStyle w:val="Tabletext"/>
              <w:jc w:val="center"/>
            </w:pPr>
            <w:r w:rsidRPr="008F498E">
              <w:t>Rés. 31 de l'AMNT</w:t>
            </w:r>
          </w:p>
        </w:tc>
        <w:tc>
          <w:tcPr>
            <w:tcW w:w="1531" w:type="dxa"/>
          </w:tcPr>
          <w:p w:rsidR="00E10538" w:rsidRPr="008F498E" w:rsidRDefault="00852BC1" w:rsidP="00852BC1">
            <w:pPr>
              <w:pStyle w:val="Tabletext"/>
              <w:jc w:val="center"/>
            </w:pPr>
            <w:r>
              <w:t>Rés. 27 de la </w:t>
            </w:r>
            <w:r w:rsidR="00E10538" w:rsidRPr="008F498E">
              <w:t>CMDT</w:t>
            </w:r>
          </w:p>
        </w:tc>
        <w:tc>
          <w:tcPr>
            <w:tcW w:w="2155" w:type="dxa"/>
          </w:tcPr>
          <w:p w:rsidR="00E10538" w:rsidRPr="008F498E" w:rsidRDefault="00E10538" w:rsidP="00852BC1">
            <w:pPr>
              <w:pStyle w:val="Tabletext"/>
              <w:jc w:val="center"/>
            </w:pPr>
            <w:r w:rsidRPr="008F498E">
              <w:t>Rés. 43 de l</w:t>
            </w:r>
            <w:r>
              <w:t>'</w:t>
            </w:r>
            <w:r w:rsidRPr="008F498E">
              <w:t>UIT-R</w:t>
            </w:r>
          </w:p>
        </w:tc>
      </w:tr>
      <w:tr w:rsidR="00E10538" w:rsidRPr="008D14D3" w:rsidTr="00852BC1">
        <w:tc>
          <w:tcPr>
            <w:tcW w:w="2127" w:type="dxa"/>
          </w:tcPr>
          <w:p w:rsidR="00E10538" w:rsidRPr="00F713D9" w:rsidRDefault="00E10538" w:rsidP="008544A6">
            <w:pPr>
              <w:pStyle w:val="Tabletext"/>
              <w:rPr>
                <w:lang w:val="fr-CH"/>
              </w:rPr>
            </w:pPr>
            <w:r w:rsidRPr="00F713D9">
              <w:rPr>
                <w:lang w:val="fr-CH"/>
              </w:rPr>
              <w:t>Utilisation des langues officielles sur un pied d’égalité</w:t>
            </w:r>
            <w:r w:rsidR="00593D81">
              <w:rPr>
                <w:lang w:val="fr-CH"/>
              </w:rPr>
              <w:t xml:space="preserve"> </w:t>
            </w:r>
          </w:p>
        </w:tc>
        <w:tc>
          <w:tcPr>
            <w:tcW w:w="1871" w:type="dxa"/>
          </w:tcPr>
          <w:p w:rsidR="00E10538" w:rsidRPr="008F498E" w:rsidRDefault="00E10538" w:rsidP="00852BC1">
            <w:pPr>
              <w:pStyle w:val="Tabletext"/>
              <w:jc w:val="center"/>
            </w:pPr>
            <w:r w:rsidRPr="008F498E">
              <w:t>Rés. 154 de la PP</w:t>
            </w:r>
          </w:p>
        </w:tc>
        <w:tc>
          <w:tcPr>
            <w:tcW w:w="1701" w:type="dxa"/>
          </w:tcPr>
          <w:p w:rsidR="00E10538" w:rsidRPr="008F498E" w:rsidRDefault="00E10538" w:rsidP="00852BC1">
            <w:pPr>
              <w:pStyle w:val="Tabletext"/>
              <w:jc w:val="center"/>
            </w:pPr>
            <w:r w:rsidRPr="008F498E">
              <w:t>Rés. 67 de l'AMNT</w:t>
            </w:r>
          </w:p>
        </w:tc>
        <w:tc>
          <w:tcPr>
            <w:tcW w:w="1531" w:type="dxa"/>
          </w:tcPr>
          <w:p w:rsidR="00E10538" w:rsidRPr="008F498E" w:rsidRDefault="00E10538" w:rsidP="00852BC1">
            <w:pPr>
              <w:pStyle w:val="Tabletext"/>
              <w:jc w:val="center"/>
            </w:pPr>
            <w:r w:rsidRPr="008F498E">
              <w:t>Rés.</w:t>
            </w:r>
            <w:r>
              <w:t xml:space="preserve"> </w:t>
            </w:r>
            <w:r w:rsidR="00852BC1">
              <w:t>86 de la </w:t>
            </w:r>
            <w:r w:rsidRPr="008F498E">
              <w:t>CMDT</w:t>
            </w:r>
          </w:p>
        </w:tc>
        <w:tc>
          <w:tcPr>
            <w:tcW w:w="2155" w:type="dxa"/>
          </w:tcPr>
          <w:p w:rsidR="00E10538" w:rsidRPr="008F498E" w:rsidRDefault="00E10538" w:rsidP="00852BC1">
            <w:pPr>
              <w:pStyle w:val="Tabletext"/>
              <w:jc w:val="center"/>
            </w:pPr>
            <w:r w:rsidRPr="008F498E">
              <w:t>Rés. 35/36 de l</w:t>
            </w:r>
            <w:r>
              <w:t>'</w:t>
            </w:r>
            <w:r w:rsidRPr="008F498E">
              <w:t>UIT-R</w:t>
            </w:r>
          </w:p>
        </w:tc>
      </w:tr>
      <w:tr w:rsidR="00E10538" w:rsidRPr="008D14D3" w:rsidTr="00852BC1">
        <w:tc>
          <w:tcPr>
            <w:tcW w:w="2127" w:type="dxa"/>
          </w:tcPr>
          <w:p w:rsidR="00E10538" w:rsidRPr="00F713D9" w:rsidRDefault="00E10538" w:rsidP="008544A6">
            <w:pPr>
              <w:pStyle w:val="Tabletext"/>
              <w:rPr>
                <w:lang w:val="fr-CH"/>
              </w:rPr>
            </w:pPr>
            <w:r w:rsidRPr="00F713D9">
              <w:rPr>
                <w:lang w:val="fr-CH"/>
              </w:rPr>
              <w:t>Présidents des commissions d'études/groupes consultatifs</w:t>
            </w:r>
          </w:p>
        </w:tc>
        <w:tc>
          <w:tcPr>
            <w:tcW w:w="1871" w:type="dxa"/>
          </w:tcPr>
          <w:p w:rsidR="00E10538" w:rsidRPr="008F498E" w:rsidRDefault="00E10538" w:rsidP="00852BC1">
            <w:pPr>
              <w:pStyle w:val="Tabletext"/>
              <w:jc w:val="center"/>
            </w:pPr>
            <w:r w:rsidRPr="008F498E">
              <w:t>Rés. 166 de la PP</w:t>
            </w:r>
          </w:p>
        </w:tc>
        <w:tc>
          <w:tcPr>
            <w:tcW w:w="1701" w:type="dxa"/>
          </w:tcPr>
          <w:p w:rsidR="00E10538" w:rsidRPr="008F498E" w:rsidRDefault="00E10538" w:rsidP="00852BC1">
            <w:pPr>
              <w:pStyle w:val="Tabletext"/>
              <w:jc w:val="center"/>
            </w:pPr>
            <w:r w:rsidRPr="008F498E">
              <w:t>Rés. 35 de l'AMNT</w:t>
            </w:r>
          </w:p>
        </w:tc>
        <w:tc>
          <w:tcPr>
            <w:tcW w:w="1531" w:type="dxa"/>
          </w:tcPr>
          <w:p w:rsidR="00E10538" w:rsidRPr="008F498E" w:rsidRDefault="00852BC1" w:rsidP="00852BC1">
            <w:pPr>
              <w:pStyle w:val="Tabletext"/>
              <w:jc w:val="center"/>
            </w:pPr>
            <w:r>
              <w:t>Rés. 61 de la </w:t>
            </w:r>
            <w:r w:rsidR="00E10538" w:rsidRPr="008F498E">
              <w:t>CMDT</w:t>
            </w:r>
          </w:p>
        </w:tc>
        <w:tc>
          <w:tcPr>
            <w:tcW w:w="2155" w:type="dxa"/>
          </w:tcPr>
          <w:p w:rsidR="00E10538" w:rsidRPr="008F498E" w:rsidRDefault="00E10538" w:rsidP="00852BC1">
            <w:pPr>
              <w:pStyle w:val="Tabletext"/>
              <w:jc w:val="center"/>
            </w:pPr>
            <w:r w:rsidRPr="008F498E">
              <w:t>Rés. 15 de l</w:t>
            </w:r>
            <w:r>
              <w:t>'</w:t>
            </w:r>
            <w:r w:rsidRPr="008F498E">
              <w:t>UIT-R</w:t>
            </w:r>
          </w:p>
        </w:tc>
      </w:tr>
      <w:tr w:rsidR="00E10538" w:rsidRPr="008D14D3" w:rsidTr="00852BC1">
        <w:tc>
          <w:tcPr>
            <w:tcW w:w="2127" w:type="dxa"/>
          </w:tcPr>
          <w:p w:rsidR="00E10538" w:rsidRPr="008F498E" w:rsidRDefault="00E10538" w:rsidP="008544A6">
            <w:pPr>
              <w:pStyle w:val="Tabletext"/>
            </w:pPr>
            <w:r w:rsidRPr="008F498E">
              <w:t>Accessibilité</w:t>
            </w:r>
          </w:p>
        </w:tc>
        <w:tc>
          <w:tcPr>
            <w:tcW w:w="1871" w:type="dxa"/>
          </w:tcPr>
          <w:p w:rsidR="00E10538" w:rsidRPr="008F498E" w:rsidRDefault="00E10538" w:rsidP="00852BC1">
            <w:pPr>
              <w:pStyle w:val="Tabletext"/>
              <w:jc w:val="center"/>
            </w:pPr>
            <w:r w:rsidRPr="008F498E">
              <w:t>Rés. 175 de la PP</w:t>
            </w:r>
          </w:p>
        </w:tc>
        <w:tc>
          <w:tcPr>
            <w:tcW w:w="1701" w:type="dxa"/>
          </w:tcPr>
          <w:p w:rsidR="00E10538" w:rsidRPr="008F498E" w:rsidRDefault="00E10538" w:rsidP="00852BC1">
            <w:pPr>
              <w:pStyle w:val="Tabletext"/>
              <w:jc w:val="center"/>
            </w:pPr>
            <w:r w:rsidRPr="008F498E">
              <w:t>Rés. 70 de l'AMNT</w:t>
            </w:r>
          </w:p>
        </w:tc>
        <w:tc>
          <w:tcPr>
            <w:tcW w:w="1531" w:type="dxa"/>
          </w:tcPr>
          <w:p w:rsidR="00E10538" w:rsidRPr="008F498E" w:rsidRDefault="00852BC1" w:rsidP="00852BC1">
            <w:pPr>
              <w:pStyle w:val="Tabletext"/>
              <w:jc w:val="center"/>
            </w:pPr>
            <w:r>
              <w:t>Rés. 58 de la </w:t>
            </w:r>
            <w:r w:rsidR="00E10538" w:rsidRPr="008F498E">
              <w:t>CMDT</w:t>
            </w:r>
          </w:p>
        </w:tc>
        <w:tc>
          <w:tcPr>
            <w:tcW w:w="2155" w:type="dxa"/>
          </w:tcPr>
          <w:p w:rsidR="00E10538" w:rsidRPr="008F498E" w:rsidRDefault="00E10538" w:rsidP="00852BC1">
            <w:pPr>
              <w:pStyle w:val="Tabletext"/>
              <w:jc w:val="center"/>
            </w:pPr>
            <w:r w:rsidRPr="008F498E">
              <w:t>Rés. 67 de l</w:t>
            </w:r>
            <w:r>
              <w:t>'</w:t>
            </w:r>
            <w:r w:rsidRPr="008F498E">
              <w:t>UIT-R</w:t>
            </w:r>
          </w:p>
        </w:tc>
      </w:tr>
      <w:tr w:rsidR="00E10538" w:rsidRPr="008D14D3" w:rsidTr="00852BC1">
        <w:tc>
          <w:tcPr>
            <w:tcW w:w="2127" w:type="dxa"/>
          </w:tcPr>
          <w:p w:rsidR="00E10538" w:rsidRPr="008F498E" w:rsidRDefault="00E10538" w:rsidP="008544A6">
            <w:pPr>
              <w:pStyle w:val="Tabletext"/>
            </w:pPr>
            <w:r w:rsidRPr="008F498E">
              <w:t>Conformité et interopérabilité</w:t>
            </w:r>
          </w:p>
        </w:tc>
        <w:tc>
          <w:tcPr>
            <w:tcW w:w="1871" w:type="dxa"/>
          </w:tcPr>
          <w:p w:rsidR="00E10538" w:rsidRPr="008F498E" w:rsidRDefault="00E10538" w:rsidP="00852BC1">
            <w:pPr>
              <w:pStyle w:val="Tabletext"/>
              <w:jc w:val="center"/>
            </w:pPr>
            <w:r w:rsidRPr="008F498E">
              <w:t>Rés. 177 de la PP</w:t>
            </w:r>
          </w:p>
        </w:tc>
        <w:tc>
          <w:tcPr>
            <w:tcW w:w="1701" w:type="dxa"/>
          </w:tcPr>
          <w:p w:rsidR="00E10538" w:rsidRPr="008F498E" w:rsidRDefault="00E10538" w:rsidP="00852BC1">
            <w:pPr>
              <w:pStyle w:val="Tabletext"/>
              <w:jc w:val="center"/>
            </w:pPr>
            <w:r w:rsidRPr="008F498E">
              <w:t>Rés. 76 de l'AMNT</w:t>
            </w:r>
          </w:p>
        </w:tc>
        <w:tc>
          <w:tcPr>
            <w:tcW w:w="1531" w:type="dxa"/>
          </w:tcPr>
          <w:p w:rsidR="00E10538" w:rsidRPr="008F498E" w:rsidRDefault="00852BC1" w:rsidP="00852BC1">
            <w:pPr>
              <w:pStyle w:val="Tabletext"/>
              <w:jc w:val="center"/>
            </w:pPr>
            <w:r>
              <w:t>Rés. 47 de la </w:t>
            </w:r>
            <w:r w:rsidR="00E10538" w:rsidRPr="008F498E">
              <w:t>CMDT</w:t>
            </w:r>
          </w:p>
        </w:tc>
        <w:tc>
          <w:tcPr>
            <w:tcW w:w="2155" w:type="dxa"/>
          </w:tcPr>
          <w:p w:rsidR="00E10538" w:rsidRPr="008F498E" w:rsidRDefault="00E10538" w:rsidP="00852BC1">
            <w:pPr>
              <w:pStyle w:val="Tabletext"/>
              <w:jc w:val="center"/>
            </w:pPr>
            <w:r w:rsidRPr="008F498E">
              <w:t>Rés. 62 de l</w:t>
            </w:r>
            <w:r>
              <w:t>'</w:t>
            </w:r>
            <w:r w:rsidRPr="008F498E">
              <w:t>UIT-R</w:t>
            </w:r>
          </w:p>
        </w:tc>
      </w:tr>
      <w:tr w:rsidR="00E10538" w:rsidRPr="004065C9" w:rsidTr="00852BC1">
        <w:tc>
          <w:tcPr>
            <w:tcW w:w="2127" w:type="dxa"/>
          </w:tcPr>
          <w:p w:rsidR="00E10538" w:rsidRPr="008F498E" w:rsidRDefault="00E10538" w:rsidP="008544A6">
            <w:pPr>
              <w:pStyle w:val="Tabletext"/>
            </w:pPr>
            <w:r w:rsidRPr="008F498E">
              <w:t>Coordination intersectorielle</w:t>
            </w:r>
          </w:p>
        </w:tc>
        <w:tc>
          <w:tcPr>
            <w:tcW w:w="1871" w:type="dxa"/>
          </w:tcPr>
          <w:p w:rsidR="00E10538" w:rsidRPr="008F498E" w:rsidRDefault="00E10538" w:rsidP="00852BC1">
            <w:pPr>
              <w:pStyle w:val="Tabletext"/>
              <w:jc w:val="center"/>
            </w:pPr>
            <w:r w:rsidRPr="008F498E">
              <w:t>Rés. 191 de la PP</w:t>
            </w:r>
          </w:p>
        </w:tc>
        <w:tc>
          <w:tcPr>
            <w:tcW w:w="1701" w:type="dxa"/>
          </w:tcPr>
          <w:p w:rsidR="00E10538" w:rsidRPr="008F498E" w:rsidRDefault="00E10538" w:rsidP="00852BC1">
            <w:pPr>
              <w:pStyle w:val="Tabletext"/>
              <w:jc w:val="center"/>
            </w:pPr>
            <w:r w:rsidRPr="008F498E">
              <w:t>Rés. 18 de l'AMNT</w:t>
            </w:r>
          </w:p>
        </w:tc>
        <w:tc>
          <w:tcPr>
            <w:tcW w:w="1531" w:type="dxa"/>
          </w:tcPr>
          <w:p w:rsidR="00E10538" w:rsidRPr="008F498E" w:rsidRDefault="00852BC1" w:rsidP="00852BC1">
            <w:pPr>
              <w:pStyle w:val="Tabletext"/>
              <w:jc w:val="center"/>
            </w:pPr>
            <w:r>
              <w:t>Rés. 59 de la </w:t>
            </w:r>
            <w:r w:rsidR="00E10538" w:rsidRPr="008F498E">
              <w:t>CMDT</w:t>
            </w:r>
          </w:p>
        </w:tc>
        <w:tc>
          <w:tcPr>
            <w:tcW w:w="2155" w:type="dxa"/>
          </w:tcPr>
          <w:p w:rsidR="00E10538" w:rsidRPr="00F713D9" w:rsidRDefault="00E10538" w:rsidP="00852BC1">
            <w:pPr>
              <w:pStyle w:val="Tabletext"/>
              <w:jc w:val="center"/>
              <w:rPr>
                <w:lang w:val="fr-CH"/>
              </w:rPr>
            </w:pPr>
            <w:r w:rsidRPr="00F713D9">
              <w:rPr>
                <w:lang w:val="fr-CH"/>
              </w:rPr>
              <w:t>Rés. 6 et 7 de l'UIT-R</w:t>
            </w:r>
          </w:p>
        </w:tc>
      </w:tr>
    </w:tbl>
    <w:p w:rsidR="00E10538" w:rsidRPr="00F713D9" w:rsidRDefault="00E10538" w:rsidP="00E10538">
      <w:pPr>
        <w:spacing w:before="240"/>
        <w:rPr>
          <w:lang w:val="fr-CH"/>
        </w:rPr>
      </w:pPr>
      <w:r w:rsidRPr="00F713D9">
        <w:rPr>
          <w:lang w:val="fr-CH"/>
        </w:rPr>
        <w:t>Il paraît judicieux, dans le cadre des travaux préparatoires en vue de la Conférence de plénipotentiaires, de déterminer s'il est possible et souhaitable que la PP</w:t>
      </w:r>
      <w:r w:rsidRPr="00F713D9">
        <w:rPr>
          <w:lang w:val="fr-CH"/>
        </w:rPr>
        <w:noBreakHyphen/>
        <w:t xml:space="preserve">18 élabore et approuve des Résolutions sur les questions intéressant trois ou, dans certains cas, deux Secteurs, afin que lors de l'examen de la question pendant les Assemblées ou Conférences des Secteurs, des Résolutions propres à un Secteur ne soient pas </w:t>
      </w:r>
      <w:r>
        <w:rPr>
          <w:lang w:val="fr-CH"/>
        </w:rPr>
        <w:t>adoptées</w:t>
      </w:r>
      <w:r w:rsidRPr="00F713D9">
        <w:rPr>
          <w:lang w:val="fr-CH"/>
        </w:rPr>
        <w:t xml:space="preserve">, ou que leur contenu fasse uniquement mention de la Résolution </w:t>
      </w:r>
      <w:r>
        <w:rPr>
          <w:lang w:val="fr-CH"/>
        </w:rPr>
        <w:t xml:space="preserve">correspondante </w:t>
      </w:r>
      <w:r w:rsidRPr="00F713D9">
        <w:rPr>
          <w:lang w:val="fr-CH"/>
        </w:rPr>
        <w:t>de la PP</w:t>
      </w:r>
      <w:r>
        <w:rPr>
          <w:lang w:val="fr-CH"/>
        </w:rPr>
        <w:t xml:space="preserve"> ainsi que </w:t>
      </w:r>
      <w:r w:rsidRPr="00F713D9">
        <w:rPr>
          <w:lang w:val="fr-CH"/>
        </w:rPr>
        <w:t>des faits nouveaux</w:t>
      </w:r>
      <w:r w:rsidR="00593D81">
        <w:rPr>
          <w:lang w:val="fr-CH"/>
        </w:rPr>
        <w:t xml:space="preserve"> </w:t>
      </w:r>
      <w:r w:rsidRPr="00F713D9">
        <w:rPr>
          <w:lang w:val="fr-CH"/>
        </w:rPr>
        <w:t xml:space="preserve">et des documents </w:t>
      </w:r>
      <w:r>
        <w:rPr>
          <w:lang w:val="fr-CH"/>
        </w:rPr>
        <w:t>qui influe</w:t>
      </w:r>
      <w:r w:rsidRPr="00F713D9">
        <w:rPr>
          <w:lang w:val="fr-CH"/>
        </w:rPr>
        <w:t>nt directement sur les activités de tel ou tel Secteur</w:t>
      </w:r>
      <w:r>
        <w:rPr>
          <w:lang w:val="fr-CH"/>
        </w:rPr>
        <w:t xml:space="preserve"> et</w:t>
      </w:r>
      <w:r w:rsidRPr="00F713D9">
        <w:rPr>
          <w:lang w:val="fr-CH"/>
        </w:rPr>
        <w:t xml:space="preserve"> </w:t>
      </w:r>
      <w:r>
        <w:rPr>
          <w:lang w:val="fr-CH"/>
        </w:rPr>
        <w:t xml:space="preserve">sont </w:t>
      </w:r>
      <w:r w:rsidRPr="00F713D9">
        <w:rPr>
          <w:lang w:val="fr-CH"/>
        </w:rPr>
        <w:t>postérieurs à la PP</w:t>
      </w:r>
      <w:r>
        <w:rPr>
          <w:lang w:val="fr-CH"/>
        </w:rPr>
        <w:t>,</w:t>
      </w:r>
      <w:r w:rsidR="00593D81">
        <w:rPr>
          <w:lang w:val="fr-CH"/>
        </w:rPr>
        <w:t xml:space="preserve"> </w:t>
      </w:r>
      <w:r w:rsidRPr="00F713D9">
        <w:rPr>
          <w:lang w:val="fr-CH"/>
        </w:rPr>
        <w:t>et</w:t>
      </w:r>
      <w:r w:rsidR="00593D81">
        <w:rPr>
          <w:lang w:val="fr-CH"/>
        </w:rPr>
        <w:t xml:space="preserve"> </w:t>
      </w:r>
      <w:r w:rsidR="003F66D2">
        <w:rPr>
          <w:lang w:val="fr-CH"/>
        </w:rPr>
        <w:t xml:space="preserve">que ce contenu </w:t>
      </w:r>
      <w:r>
        <w:rPr>
          <w:lang w:val="fr-CH"/>
        </w:rPr>
        <w:t xml:space="preserve">comporte </w:t>
      </w:r>
      <w:r w:rsidRPr="00F713D9">
        <w:rPr>
          <w:lang w:val="fr-CH"/>
        </w:rPr>
        <w:t>des instructions précises à l'intention de ce Secteur.</w:t>
      </w:r>
    </w:p>
    <w:p w:rsidR="00E10538" w:rsidRPr="002F5BF2" w:rsidRDefault="00E10538" w:rsidP="00E10538">
      <w:pPr>
        <w:rPr>
          <w:lang w:val="fr-CH"/>
        </w:rPr>
      </w:pPr>
      <w:r w:rsidRPr="002F5BF2">
        <w:rPr>
          <w:lang w:val="fr-CH"/>
        </w:rPr>
        <w:lastRenderedPageBreak/>
        <w:t>Ainsi, au cas où une approche commune serait</w:t>
      </w:r>
      <w:r w:rsidR="00593D81">
        <w:rPr>
          <w:lang w:val="fr-CH"/>
        </w:rPr>
        <w:t xml:space="preserve"> </w:t>
      </w:r>
      <w:r>
        <w:rPr>
          <w:lang w:val="fr-CH"/>
        </w:rPr>
        <w:t>approuvée</w:t>
      </w:r>
      <w:r w:rsidRPr="002F5BF2">
        <w:rPr>
          <w:lang w:val="fr-CH"/>
        </w:rPr>
        <w:t xml:space="preserve"> concernant l</w:t>
      </w:r>
      <w:r>
        <w:rPr>
          <w:lang w:val="fr-CH"/>
        </w:rPr>
        <w:t>a désignation des présidents/</w:t>
      </w:r>
      <w:r w:rsidRPr="002F5BF2">
        <w:rPr>
          <w:lang w:val="fr-CH"/>
        </w:rPr>
        <w:t>vice-présidents des commissions d'études/groupes consultatifs des Secteurs, une Résolution analogue pour un Secteur ne serait pas nécessaire et il suffirait d'ajouter un lien approprié vers la Résolution 1.</w:t>
      </w:r>
    </w:p>
    <w:p w:rsidR="00E10538" w:rsidRDefault="00E10538" w:rsidP="00F92900">
      <w:pPr>
        <w:rPr>
          <w:lang w:val="fr-CH"/>
        </w:rPr>
      </w:pPr>
      <w:r>
        <w:rPr>
          <w:lang w:val="fr-CH"/>
        </w:rPr>
        <w:t>Un avant-projet de nouvelle Résolution de la PP</w:t>
      </w:r>
      <w:r w:rsidR="00593D81">
        <w:rPr>
          <w:lang w:val="fr-CH"/>
        </w:rPr>
        <w:t xml:space="preserve"> </w:t>
      </w:r>
      <w:r w:rsidRPr="002F5BF2">
        <w:rPr>
          <w:lang w:val="fr-CH"/>
        </w:rPr>
        <w:t>relative</w:t>
      </w:r>
      <w:r>
        <w:rPr>
          <w:lang w:val="fr-CH"/>
        </w:rPr>
        <w:t xml:space="preserve"> </w:t>
      </w:r>
      <w:r w:rsidRPr="002F5BF2">
        <w:rPr>
          <w:lang w:val="fr-CH"/>
        </w:rPr>
        <w:t xml:space="preserve">à la désignation </w:t>
      </w:r>
      <w:r w:rsidRPr="002F5BF2">
        <w:rPr>
          <w:color w:val="000000"/>
          <w:lang w:val="fr-CH"/>
        </w:rPr>
        <w:t>et à la durée maximale du mandat des présidents et vice-présidents des groupes consultatifs</w:t>
      </w:r>
      <w:r>
        <w:rPr>
          <w:color w:val="000000"/>
          <w:lang w:val="fr-CH"/>
        </w:rPr>
        <w:t>,</w:t>
      </w:r>
      <w:r w:rsidRPr="002F5BF2">
        <w:rPr>
          <w:color w:val="000000"/>
          <w:lang w:val="fr-CH"/>
        </w:rPr>
        <w:t xml:space="preserve"> des commissions d'études et</w:t>
      </w:r>
      <w:r>
        <w:rPr>
          <w:color w:val="000000"/>
          <w:lang w:val="fr-CH"/>
        </w:rPr>
        <w:t xml:space="preserve"> des autres groupes de</w:t>
      </w:r>
      <w:r w:rsidR="00F92900">
        <w:rPr>
          <w:color w:val="000000"/>
          <w:lang w:val="fr-CH"/>
        </w:rPr>
        <w:t>s</w:t>
      </w:r>
      <w:r>
        <w:rPr>
          <w:color w:val="000000"/>
          <w:lang w:val="fr-CH"/>
        </w:rPr>
        <w:t xml:space="preserve"> Secteurs</w:t>
      </w:r>
      <w:r w:rsidRPr="002F5BF2">
        <w:rPr>
          <w:color w:val="000000"/>
          <w:lang w:val="fr-CH"/>
        </w:rPr>
        <w:t xml:space="preserve"> </w:t>
      </w:r>
      <w:r>
        <w:rPr>
          <w:lang w:val="fr-CH"/>
        </w:rPr>
        <w:t>a été soumis dans un document distinct.</w:t>
      </w:r>
    </w:p>
    <w:p w:rsidR="00E10538" w:rsidRDefault="00E10538" w:rsidP="00593D81">
      <w:pPr>
        <w:pStyle w:val="Heading1"/>
      </w:pPr>
      <w:r w:rsidRPr="004065C9">
        <w:t>2</w:t>
      </w:r>
      <w:r w:rsidRPr="004065C9">
        <w:tab/>
        <w:t>Propo</w:t>
      </w:r>
      <w:r w:rsidR="00593D81">
        <w:t>sitions</w:t>
      </w:r>
    </w:p>
    <w:p w:rsidR="00E10538" w:rsidRPr="0083386E" w:rsidRDefault="00E10538" w:rsidP="004D4617">
      <w:pPr>
        <w:tabs>
          <w:tab w:val="left" w:pos="794"/>
          <w:tab w:val="left" w:pos="1191"/>
          <w:tab w:val="left" w:pos="1588"/>
          <w:tab w:val="left" w:pos="1985"/>
        </w:tabs>
      </w:pPr>
      <w:r w:rsidRPr="002F5BF2">
        <w:rPr>
          <w:lang w:val="fr-CH"/>
        </w:rPr>
        <w:t>2.1</w:t>
      </w:r>
      <w:r w:rsidRPr="002F5BF2">
        <w:rPr>
          <w:lang w:val="fr-CH"/>
        </w:rPr>
        <w:tab/>
      </w:r>
      <w:r>
        <w:rPr>
          <w:lang w:val="fr-CH"/>
        </w:rPr>
        <w:t xml:space="preserve">Compte tenu </w:t>
      </w:r>
      <w:r w:rsidR="00593D81">
        <w:rPr>
          <w:lang w:val="fr-CH"/>
        </w:rPr>
        <w:t xml:space="preserve">des résultats de la PP-18 et </w:t>
      </w:r>
      <w:r w:rsidRPr="002F5BF2">
        <w:rPr>
          <w:lang w:val="fr-CH"/>
        </w:rPr>
        <w:t xml:space="preserve">avec le concours du secrétariat, </w:t>
      </w:r>
      <w:r w:rsidR="00593D81" w:rsidRPr="002F5BF2">
        <w:rPr>
          <w:lang w:val="fr-CH"/>
        </w:rPr>
        <w:t xml:space="preserve">il est proposé </w:t>
      </w:r>
      <w:r w:rsidRPr="002F5BF2">
        <w:rPr>
          <w:lang w:val="fr-CH"/>
        </w:rPr>
        <w:t>de mettre en évidence les instructions concrètes à l'intention de chaque Secteur</w:t>
      </w:r>
      <w:r>
        <w:rPr>
          <w:lang w:val="fr-CH"/>
        </w:rPr>
        <w:t xml:space="preserve"> de l’UIT</w:t>
      </w:r>
      <w:bookmarkStart w:id="8" w:name="_GoBack"/>
      <w:bookmarkEnd w:id="8"/>
      <w:r w:rsidRPr="002F5BF2">
        <w:rPr>
          <w:lang w:val="fr-CH"/>
        </w:rPr>
        <w:t xml:space="preserve"> qui sont données dans les documents finals de la PP-18 et de </w:t>
      </w:r>
      <w:r>
        <w:rPr>
          <w:lang w:val="fr-CH"/>
        </w:rPr>
        <w:t>revoir</w:t>
      </w:r>
      <w:r w:rsidR="00593D81">
        <w:rPr>
          <w:lang w:val="fr-CH"/>
        </w:rPr>
        <w:t>,</w:t>
      </w:r>
      <w:r>
        <w:rPr>
          <w:lang w:val="fr-CH"/>
        </w:rPr>
        <w:t xml:space="preserve"> </w:t>
      </w:r>
      <w:r w:rsidRPr="002F5BF2">
        <w:rPr>
          <w:lang w:val="fr-CH"/>
        </w:rPr>
        <w:t>sur cette base</w:t>
      </w:r>
      <w:r w:rsidR="00593D81">
        <w:rPr>
          <w:lang w:val="fr-CH"/>
        </w:rPr>
        <w:t xml:space="preserve">, </w:t>
      </w:r>
      <w:r w:rsidRPr="002F5BF2">
        <w:rPr>
          <w:lang w:val="fr-CH"/>
        </w:rPr>
        <w:t xml:space="preserve">les Résolutions pertinentes des </w:t>
      </w:r>
      <w:r>
        <w:rPr>
          <w:lang w:val="fr-CH"/>
        </w:rPr>
        <w:t>[</w:t>
      </w:r>
      <w:r w:rsidRPr="002F5BF2">
        <w:rPr>
          <w:lang w:val="fr-CH"/>
        </w:rPr>
        <w:t>Secteurs</w:t>
      </w:r>
      <w:r>
        <w:rPr>
          <w:lang w:val="fr-CH"/>
        </w:rPr>
        <w:t>],</w:t>
      </w:r>
      <w:r w:rsidR="00593D81">
        <w:rPr>
          <w:lang w:val="fr-CH"/>
        </w:rPr>
        <w:t xml:space="preserve"> en vue</w:t>
      </w:r>
      <w:r>
        <w:rPr>
          <w:lang w:val="fr-CH"/>
        </w:rPr>
        <w:t xml:space="preserve"> de </w:t>
      </w:r>
      <w:r w:rsidRPr="002F5BF2">
        <w:rPr>
          <w:lang w:val="fr-CH"/>
        </w:rPr>
        <w:t>les simplifi</w:t>
      </w:r>
      <w:r>
        <w:rPr>
          <w:lang w:val="fr-CH"/>
        </w:rPr>
        <w:t>er,</w:t>
      </w:r>
      <w:r w:rsidR="00593D81">
        <w:rPr>
          <w:lang w:val="fr-CH"/>
        </w:rPr>
        <w:t xml:space="preserve"> </w:t>
      </w:r>
      <w:r>
        <w:rPr>
          <w:lang w:val="fr-CH"/>
        </w:rPr>
        <w:t>en ajoutant uniquement</w:t>
      </w:r>
      <w:r w:rsidRPr="002F5BF2">
        <w:rPr>
          <w:lang w:val="fr-CH"/>
        </w:rPr>
        <w:t xml:space="preserve"> de</w:t>
      </w:r>
      <w:r>
        <w:rPr>
          <w:lang w:val="fr-CH"/>
        </w:rPr>
        <w:t>s</w:t>
      </w:r>
      <w:r w:rsidRPr="002F5BF2">
        <w:rPr>
          <w:lang w:val="fr-CH"/>
        </w:rPr>
        <w:t xml:space="preserve"> liens vers la Résolution correspondante de la PP</w:t>
      </w:r>
      <w:r>
        <w:rPr>
          <w:lang w:val="fr-CH"/>
        </w:rPr>
        <w:t xml:space="preserve"> et en définissant</w:t>
      </w:r>
      <w:r w:rsidR="00593D81">
        <w:rPr>
          <w:lang w:val="fr-CH"/>
        </w:rPr>
        <w:t xml:space="preserve"> </w:t>
      </w:r>
      <w:r w:rsidRPr="002F5BF2">
        <w:rPr>
          <w:lang w:val="fr-CH"/>
        </w:rPr>
        <w:t xml:space="preserve">des instructions concrètes sur la question à l'intention du Secteur, ou de supprimer la Résolution </w:t>
      </w:r>
      <w:r>
        <w:rPr>
          <w:lang w:val="fr-CH"/>
        </w:rPr>
        <w:t>correspondante du Secteur et</w:t>
      </w:r>
      <w:r w:rsidR="00593D81">
        <w:rPr>
          <w:lang w:val="fr-CH"/>
        </w:rPr>
        <w:t xml:space="preserve"> </w:t>
      </w:r>
      <w:r w:rsidRPr="002F5BF2">
        <w:rPr>
          <w:lang w:val="fr-CH"/>
        </w:rPr>
        <w:t>en</w:t>
      </w:r>
      <w:r>
        <w:rPr>
          <w:lang w:val="fr-CH"/>
        </w:rPr>
        <w:t xml:space="preserve"> insérant les instructions pertinentes</w:t>
      </w:r>
      <w:r w:rsidR="00593D81">
        <w:rPr>
          <w:lang w:val="fr-CH"/>
        </w:rPr>
        <w:t xml:space="preserve"> </w:t>
      </w:r>
      <w:r w:rsidRPr="002F5BF2">
        <w:rPr>
          <w:lang w:val="fr-CH"/>
        </w:rPr>
        <w:t xml:space="preserve">dans une autre Résolution </w:t>
      </w:r>
      <w:r w:rsidR="0083386E">
        <w:rPr>
          <w:lang w:val="fr-CH"/>
        </w:rPr>
        <w:t>de ce Secteur.</w:t>
      </w:r>
    </w:p>
    <w:p w:rsidR="00E10538" w:rsidRDefault="00E10538" w:rsidP="00593D81">
      <w:pPr>
        <w:rPr>
          <w:lang w:val="fr-CH"/>
        </w:rPr>
      </w:pPr>
      <w:r w:rsidRPr="00857E4D">
        <w:rPr>
          <w:lang w:val="fr-CH"/>
        </w:rPr>
        <w:t>2.2</w:t>
      </w:r>
      <w:r w:rsidRPr="00857E4D">
        <w:rPr>
          <w:lang w:val="fr-CH"/>
        </w:rPr>
        <w:tab/>
        <w:t>En outre, compte tenu des objectifs des Secteurs et des défis qu’ils doivent relever,</w:t>
      </w:r>
      <w:r w:rsidR="00593D81">
        <w:rPr>
          <w:lang w:val="fr-CH"/>
        </w:rPr>
        <w:t xml:space="preserve"> </w:t>
      </w:r>
      <w:r w:rsidRPr="00857E4D">
        <w:rPr>
          <w:lang w:val="fr-CH"/>
        </w:rPr>
        <w:t xml:space="preserve">tels qu’ils sont </w:t>
      </w:r>
      <w:r>
        <w:rPr>
          <w:lang w:val="fr-CH"/>
        </w:rPr>
        <w:t>énoncés</w:t>
      </w:r>
      <w:r w:rsidRPr="00857E4D">
        <w:rPr>
          <w:lang w:val="fr-CH"/>
        </w:rPr>
        <w:t xml:space="preserve"> dans le </w:t>
      </w:r>
      <w:r w:rsidR="00F92900" w:rsidRPr="00857E4D">
        <w:rPr>
          <w:lang w:val="fr-CH"/>
        </w:rPr>
        <w:t>P</w:t>
      </w:r>
      <w:r w:rsidRPr="00857E4D">
        <w:rPr>
          <w:lang w:val="fr-CH"/>
        </w:rPr>
        <w:t>lan stratégique de l’</w:t>
      </w:r>
      <w:r>
        <w:rPr>
          <w:lang w:val="fr-CH"/>
        </w:rPr>
        <w:t>U</w:t>
      </w:r>
      <w:r w:rsidRPr="00857E4D">
        <w:rPr>
          <w:lang w:val="fr-CH"/>
        </w:rPr>
        <w:t xml:space="preserve">nion pour la période 2020–2023, </w:t>
      </w:r>
      <w:r>
        <w:rPr>
          <w:lang w:val="fr-CH"/>
        </w:rPr>
        <w:t>il conviend</w:t>
      </w:r>
      <w:r w:rsidR="00593D81">
        <w:rPr>
          <w:lang w:val="fr-CH"/>
        </w:rPr>
        <w:t>rait de mettre en évidence les "</w:t>
      </w:r>
      <w:r>
        <w:rPr>
          <w:lang w:val="fr-CH"/>
        </w:rPr>
        <w:t>instructions</w:t>
      </w:r>
      <w:r w:rsidR="00593D81">
        <w:rPr>
          <w:lang w:val="fr-CH"/>
        </w:rPr>
        <w:t>"</w:t>
      </w:r>
      <w:r>
        <w:rPr>
          <w:lang w:val="fr-CH"/>
        </w:rPr>
        <w:t xml:space="preserve"> essentielles, générales ou </w:t>
      </w:r>
      <w:r w:rsidRPr="00F31FF1">
        <w:rPr>
          <w:lang w:val="fr-CH"/>
        </w:rPr>
        <w:t>semblable</w:t>
      </w:r>
      <w:r>
        <w:rPr>
          <w:lang w:val="fr-CH"/>
        </w:rPr>
        <w:t>s, et celles qui sont tout particulièrement axées sur un Secteur, lorsqu’on examinera les questions relatives à la révision des Résolutions existantes de la PP ou à l’élaboration de nouvelles Résolutions de la</w:t>
      </w:r>
      <w:r w:rsidRPr="00F31FF1">
        <w:rPr>
          <w:lang w:val="fr-CH"/>
        </w:rPr>
        <w:t xml:space="preserve"> </w:t>
      </w:r>
      <w:r>
        <w:rPr>
          <w:lang w:val="fr-CH"/>
        </w:rPr>
        <w:t>PP en vue de la C</w:t>
      </w:r>
      <w:r w:rsidR="00593D81">
        <w:rPr>
          <w:lang w:val="fr-CH"/>
        </w:rPr>
        <w:t>onférence de plénipotentiaires.</w:t>
      </w:r>
    </w:p>
    <w:p w:rsidR="008544A6" w:rsidRDefault="008544A6" w:rsidP="0032202E">
      <w:pPr>
        <w:pStyle w:val="Reasons"/>
      </w:pPr>
    </w:p>
    <w:p w:rsidR="008544A6" w:rsidRDefault="008544A6">
      <w:pPr>
        <w:jc w:val="center"/>
      </w:pPr>
      <w:r>
        <w:t>______________</w:t>
      </w:r>
    </w:p>
    <w:sectPr w:rsidR="008544A6" w:rsidSect="005C3890">
      <w:headerReference w:type="even" r:id="rId8"/>
      <w:headerReference w:type="default" r:id="rId9"/>
      <w:footerReference w:type="even" r:id="rId10"/>
      <w:footerReference w:type="default" r:id="rId11"/>
      <w:footerReference w:type="first" r:id="rId12"/>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538" w:rsidRDefault="00E10538">
      <w:r>
        <w:separator/>
      </w:r>
    </w:p>
  </w:endnote>
  <w:endnote w:type="continuationSeparator" w:id="0">
    <w:p w:rsidR="00E10538" w:rsidRDefault="00E1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4C71AC">
    <w:pPr>
      <w:pStyle w:val="Footer"/>
    </w:pPr>
    <w:r>
      <w:fldChar w:fldCharType="begin"/>
    </w:r>
    <w:r>
      <w:instrText xml:space="preserve"> FILENAME \p \* MERGEFORMAT </w:instrText>
    </w:r>
    <w:r>
      <w:fldChar w:fldCharType="separate"/>
    </w:r>
    <w:r w:rsidR="00E359A4">
      <w:t>P:\FRA\SG\CONSEIL\C18\000\084F.docx</w:t>
    </w:r>
    <w:r>
      <w:fldChar w:fldCharType="end"/>
    </w:r>
    <w:r w:rsidR="00732045">
      <w:tab/>
    </w:r>
    <w:r w:rsidR="002F1B76">
      <w:fldChar w:fldCharType="begin"/>
    </w:r>
    <w:r w:rsidR="00732045">
      <w:instrText xml:space="preserve"> savedate \@ dd.MM.yy </w:instrText>
    </w:r>
    <w:r w:rsidR="002F1B76">
      <w:fldChar w:fldCharType="separate"/>
    </w:r>
    <w:r w:rsidR="00374AD9">
      <w:t>09.04.18</w:t>
    </w:r>
    <w:r w:rsidR="002F1B76">
      <w:fldChar w:fldCharType="end"/>
    </w:r>
    <w:r w:rsidR="00732045">
      <w:tab/>
    </w:r>
    <w:r w:rsidR="002F1B76">
      <w:fldChar w:fldCharType="begin"/>
    </w:r>
    <w:r w:rsidR="00732045">
      <w:instrText xml:space="preserve"> printdate \@ dd.MM.yy </w:instrText>
    </w:r>
    <w:r w:rsidR="002F1B76">
      <w:fldChar w:fldCharType="separate"/>
    </w:r>
    <w:r w:rsidR="00E359A4">
      <w:t>09.04.18</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4C71AC" w:rsidP="008544A6">
    <w:pPr>
      <w:pStyle w:val="Footer"/>
    </w:pPr>
    <w:r>
      <w:fldChar w:fldCharType="begin"/>
    </w:r>
    <w:r>
      <w:instrText xml:space="preserve"> F</w:instrText>
    </w:r>
    <w:r>
      <w:instrText xml:space="preserve">ILENAME \p \* MERGEFORMAT </w:instrText>
    </w:r>
    <w:r>
      <w:fldChar w:fldCharType="separate"/>
    </w:r>
    <w:r w:rsidR="00E359A4">
      <w:t>P:\FRA\SG\CONSEIL\C18\000\084F.docx</w:t>
    </w:r>
    <w:r>
      <w:fldChar w:fldCharType="end"/>
    </w:r>
    <w:r w:rsidR="008544A6">
      <w:t xml:space="preserve"> (434481)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538" w:rsidRDefault="00E10538">
      <w:r>
        <w:t>____________________</w:t>
      </w:r>
    </w:p>
  </w:footnote>
  <w:footnote w:type="continuationSeparator" w:id="0">
    <w:p w:rsidR="00E10538" w:rsidRDefault="00E10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4C71AC">
      <w:rPr>
        <w:noProof/>
      </w:rPr>
      <w:t>3</w:t>
    </w:r>
    <w:r>
      <w:rPr>
        <w:noProof/>
      </w:rPr>
      <w:fldChar w:fldCharType="end"/>
    </w:r>
  </w:p>
  <w:p w:rsidR="00732045" w:rsidRDefault="00732045" w:rsidP="003C3FAE">
    <w:pPr>
      <w:pStyle w:val="Header"/>
    </w:pPr>
    <w:r>
      <w:t>C1</w:t>
    </w:r>
    <w:r w:rsidR="003C3FAE">
      <w:t>8</w:t>
    </w:r>
    <w:r w:rsidR="008544A6">
      <w:t>/84</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38"/>
    <w:rsid w:val="000D0D0A"/>
    <w:rsid w:val="00103163"/>
    <w:rsid w:val="00115D93"/>
    <w:rsid w:val="001247A8"/>
    <w:rsid w:val="001378C0"/>
    <w:rsid w:val="0018694A"/>
    <w:rsid w:val="001A3287"/>
    <w:rsid w:val="001A6508"/>
    <w:rsid w:val="001D4C31"/>
    <w:rsid w:val="001E4D21"/>
    <w:rsid w:val="00207CD1"/>
    <w:rsid w:val="002477A2"/>
    <w:rsid w:val="00263A51"/>
    <w:rsid w:val="00267E02"/>
    <w:rsid w:val="002A5D44"/>
    <w:rsid w:val="002E0BC4"/>
    <w:rsid w:val="002F1B76"/>
    <w:rsid w:val="0033568E"/>
    <w:rsid w:val="00355FF5"/>
    <w:rsid w:val="00361350"/>
    <w:rsid w:val="00374AD9"/>
    <w:rsid w:val="003C3FAE"/>
    <w:rsid w:val="003F66D2"/>
    <w:rsid w:val="004038CB"/>
    <w:rsid w:val="0040546F"/>
    <w:rsid w:val="0042404A"/>
    <w:rsid w:val="0044618F"/>
    <w:rsid w:val="0046769A"/>
    <w:rsid w:val="00475FB3"/>
    <w:rsid w:val="004C37A9"/>
    <w:rsid w:val="004C71AC"/>
    <w:rsid w:val="004D4617"/>
    <w:rsid w:val="004F259E"/>
    <w:rsid w:val="00511F1D"/>
    <w:rsid w:val="00520F36"/>
    <w:rsid w:val="00540615"/>
    <w:rsid w:val="00540A6D"/>
    <w:rsid w:val="00571EEA"/>
    <w:rsid w:val="00575417"/>
    <w:rsid w:val="005768E1"/>
    <w:rsid w:val="00593D81"/>
    <w:rsid w:val="005B1938"/>
    <w:rsid w:val="005C3890"/>
    <w:rsid w:val="005F7BFE"/>
    <w:rsid w:val="00600017"/>
    <w:rsid w:val="006235CA"/>
    <w:rsid w:val="006643AB"/>
    <w:rsid w:val="007210CD"/>
    <w:rsid w:val="00732045"/>
    <w:rsid w:val="007369DB"/>
    <w:rsid w:val="007956C2"/>
    <w:rsid w:val="007A187E"/>
    <w:rsid w:val="007C72C2"/>
    <w:rsid w:val="007D4436"/>
    <w:rsid w:val="007F257A"/>
    <w:rsid w:val="007F3665"/>
    <w:rsid w:val="00800037"/>
    <w:rsid w:val="0083386E"/>
    <w:rsid w:val="00852BC1"/>
    <w:rsid w:val="008544A6"/>
    <w:rsid w:val="00861D73"/>
    <w:rsid w:val="008A4E87"/>
    <w:rsid w:val="008D76E6"/>
    <w:rsid w:val="0092392D"/>
    <w:rsid w:val="0093234A"/>
    <w:rsid w:val="009C307F"/>
    <w:rsid w:val="00A2113E"/>
    <w:rsid w:val="00A23A51"/>
    <w:rsid w:val="00A24607"/>
    <w:rsid w:val="00A25CD3"/>
    <w:rsid w:val="00A82767"/>
    <w:rsid w:val="00AA332F"/>
    <w:rsid w:val="00AA7BBB"/>
    <w:rsid w:val="00AB64A8"/>
    <w:rsid w:val="00AC0266"/>
    <w:rsid w:val="00AD24EC"/>
    <w:rsid w:val="00B309F9"/>
    <w:rsid w:val="00B32B60"/>
    <w:rsid w:val="00B61619"/>
    <w:rsid w:val="00BB4545"/>
    <w:rsid w:val="00BD5873"/>
    <w:rsid w:val="00C04BE3"/>
    <w:rsid w:val="00C25D29"/>
    <w:rsid w:val="00C27A7C"/>
    <w:rsid w:val="00CA08ED"/>
    <w:rsid w:val="00CF183B"/>
    <w:rsid w:val="00D375CD"/>
    <w:rsid w:val="00D553A2"/>
    <w:rsid w:val="00D774D3"/>
    <w:rsid w:val="00D904E8"/>
    <w:rsid w:val="00DA08C3"/>
    <w:rsid w:val="00DB5A3E"/>
    <w:rsid w:val="00DC22AA"/>
    <w:rsid w:val="00DF74DD"/>
    <w:rsid w:val="00E10538"/>
    <w:rsid w:val="00E25AD0"/>
    <w:rsid w:val="00E359A4"/>
    <w:rsid w:val="00EB6350"/>
    <w:rsid w:val="00F15B57"/>
    <w:rsid w:val="00F427DB"/>
    <w:rsid w:val="00F92900"/>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BB510C1-B944-4E0D-88CF-F4AC2B85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NormalaftertitleChar">
    <w:name w:val="Normal after title Char"/>
    <w:basedOn w:val="DefaultParagraphFont"/>
    <w:link w:val="Normalaftertitle"/>
    <w:rsid w:val="00E10538"/>
    <w:rPr>
      <w:rFonts w:ascii="Calibri" w:hAnsi="Calibri"/>
      <w:sz w:val="24"/>
      <w:lang w:val="fr-FR" w:eastAsia="en-US"/>
    </w:rPr>
  </w:style>
  <w:style w:type="table" w:styleId="TableGrid">
    <w:name w:val="Table Grid"/>
    <w:basedOn w:val="TableNormal"/>
    <w:uiPriority w:val="39"/>
    <w:rsid w:val="00E105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temps\AppData\Roaming\Microsoft\Templates\POOL%20F%20-%20ITU\PF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88E41-26A7-40AE-92B3-65ECF3E3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PF_C18.dotx</Template>
  <TotalTime>27</TotalTime>
  <Pages>3</Pages>
  <Words>737</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4574</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Bontemps, Johann</dc:creator>
  <cp:keywords>C2018, C18</cp:keywords>
  <dc:description/>
  <cp:lastModifiedBy>Geneux</cp:lastModifiedBy>
  <cp:revision>9</cp:revision>
  <cp:lastPrinted>2018-04-09T09:32:00Z</cp:lastPrinted>
  <dcterms:created xsi:type="dcterms:W3CDTF">2018-04-09T09:09:00Z</dcterms:created>
  <dcterms:modified xsi:type="dcterms:W3CDTF">2018-04-10T07:17:00Z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