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3C3FAE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3C3FAE">
              <w:rPr>
                <w:b/>
                <w:bCs/>
                <w:sz w:val="30"/>
                <w:szCs w:val="30"/>
                <w:lang w:val="fr-CH"/>
              </w:rPr>
              <w:t>8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r w:rsidRPr="00520F36">
              <w:rPr>
                <w:b/>
                <w:bCs/>
                <w:szCs w:val="24"/>
                <w:lang w:val="fr-CH"/>
              </w:rPr>
              <w:t>, 1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>-2</w:t>
            </w:r>
            <w:r w:rsidR="003C3FAE">
              <w:rPr>
                <w:b/>
                <w:bCs/>
                <w:szCs w:val="24"/>
                <w:lang w:val="fr-CH"/>
              </w:rPr>
              <w:t>7</w:t>
            </w:r>
            <w:r w:rsidRPr="00520F36">
              <w:rPr>
                <w:b/>
                <w:bCs/>
                <w:szCs w:val="24"/>
                <w:lang w:val="fr-CH"/>
              </w:rPr>
              <w:t xml:space="preserve"> </w:t>
            </w:r>
            <w:r w:rsidR="003C3FAE">
              <w:rPr>
                <w:b/>
                <w:bCs/>
                <w:szCs w:val="24"/>
                <w:lang w:val="fr-CH"/>
              </w:rPr>
              <w:t>avril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3C3FAE">
              <w:rPr>
                <w:b/>
                <w:bCs/>
                <w:szCs w:val="24"/>
                <w:lang w:val="fr-CH"/>
              </w:rPr>
              <w:t>8</w:t>
            </w:r>
          </w:p>
        </w:tc>
        <w:tc>
          <w:tcPr>
            <w:tcW w:w="3261" w:type="dxa"/>
          </w:tcPr>
          <w:p w:rsidR="00520F36" w:rsidRPr="0092392D" w:rsidRDefault="00520F36" w:rsidP="00520F36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en-GB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4C37A9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DF74DD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240D3C" w:rsidP="00DF74DD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>
              <w:rPr>
                <w:b/>
                <w:bCs/>
                <w:szCs w:val="22"/>
                <w:lang w:val="fr-CH"/>
              </w:rPr>
              <w:t>Point de l’ordre du jour</w:t>
            </w:r>
            <w:r w:rsidRPr="00BC599F">
              <w:rPr>
                <w:b/>
                <w:bCs/>
                <w:szCs w:val="22"/>
                <w:lang w:val="fr-CH"/>
              </w:rPr>
              <w:t xml:space="preserve">: </w:t>
            </w:r>
            <w:r w:rsidRPr="00BC599F">
              <w:rPr>
                <w:b/>
                <w:szCs w:val="22"/>
                <w:lang w:val="fr-CH"/>
              </w:rPr>
              <w:t>ADM 1</w:t>
            </w:r>
          </w:p>
        </w:tc>
        <w:tc>
          <w:tcPr>
            <w:tcW w:w="3261" w:type="dxa"/>
          </w:tcPr>
          <w:p w:rsidR="00520F36" w:rsidRPr="00520F36" w:rsidRDefault="00520F36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Document C1</w:t>
            </w:r>
            <w:r w:rsidR="003C3FAE">
              <w:rPr>
                <w:b/>
                <w:bCs/>
              </w:rPr>
              <w:t>8</w:t>
            </w:r>
            <w:r>
              <w:rPr>
                <w:b/>
                <w:bCs/>
              </w:rPr>
              <w:t>/</w:t>
            </w:r>
            <w:r w:rsidR="00240D3C">
              <w:rPr>
                <w:b/>
                <w:bCs/>
              </w:rPr>
              <w:t>83</w:t>
            </w:r>
            <w:r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240D3C" w:rsidP="003C3FAE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3 avril</w:t>
            </w:r>
            <w:r w:rsidR="00520F36">
              <w:rPr>
                <w:b/>
                <w:bCs/>
              </w:rPr>
              <w:t xml:space="preserve"> 201</w:t>
            </w:r>
            <w:r w:rsidR="003C3FAE">
              <w:rPr>
                <w:b/>
                <w:bCs/>
              </w:rPr>
              <w:t>8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DF74DD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520F36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6A6835">
              <w:rPr>
                <w:b/>
                <w:bCs/>
              </w:rPr>
              <w:t>russe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240D3C" w:rsidP="00DF74DD">
            <w:pPr>
              <w:pStyle w:val="Source"/>
            </w:pPr>
            <w:bookmarkStart w:id="6" w:name="dsource" w:colFirst="0" w:colLast="0"/>
            <w:bookmarkEnd w:id="5"/>
            <w:r w:rsidRPr="00A907A0">
              <w:rPr>
                <w:lang w:val="en-US"/>
              </w:rPr>
              <w:t>Note</w:t>
            </w:r>
            <w:r>
              <w:rPr>
                <w:lang w:val="en-US"/>
              </w:rPr>
              <w:t xml:space="preserve"> du </w:t>
            </w:r>
            <w:proofErr w:type="spellStart"/>
            <w:r>
              <w:rPr>
                <w:lang w:val="en-US"/>
              </w:rPr>
              <w:t>Secrétaire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général</w:t>
            </w:r>
            <w:proofErr w:type="spellEnd"/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240D3C" w:rsidP="00DF74DD">
            <w:pPr>
              <w:pStyle w:val="Title1"/>
            </w:pPr>
            <w:bookmarkStart w:id="7" w:name="dtitle1" w:colFirst="0" w:colLast="0"/>
            <w:bookmarkEnd w:id="6"/>
            <w:r w:rsidRPr="00BC599F">
              <w:rPr>
                <w:bCs/>
                <w:lang w:val="fr-CH"/>
              </w:rPr>
              <w:t>CONTRIBUTION DE LA FÉDÉRATION DE RUSSIE</w:t>
            </w:r>
          </w:p>
        </w:tc>
      </w:tr>
      <w:tr w:rsidR="00240D3C" w:rsidRPr="0092392D">
        <w:trPr>
          <w:cantSplit/>
        </w:trPr>
        <w:tc>
          <w:tcPr>
            <w:tcW w:w="10173" w:type="dxa"/>
            <w:gridSpan w:val="2"/>
          </w:tcPr>
          <w:p w:rsidR="00240D3C" w:rsidRPr="0092392D" w:rsidRDefault="00240D3C" w:rsidP="00240D3C">
            <w:pPr>
              <w:pStyle w:val="Title1"/>
              <w:spacing w:after="120"/>
            </w:pPr>
            <w:r w:rsidRPr="00BC599F">
              <w:rPr>
                <w:color w:val="000000"/>
                <w:lang w:val="fr-CH"/>
              </w:rPr>
              <w:t>RECOUVREMENT DES COÛTS POUR LE traite</w:t>
            </w:r>
            <w:r>
              <w:rPr>
                <w:color w:val="000000"/>
                <w:lang w:val="fr-CH"/>
              </w:rPr>
              <w:t>ment des fiches de notification</w:t>
            </w:r>
            <w:r w:rsidRPr="00BC599F">
              <w:rPr>
                <w:color w:val="000000"/>
                <w:lang w:val="fr-CH"/>
              </w:rPr>
              <w:t xml:space="preserve"> de systèmes à satellites non géostationnaires (non OSG) complexes</w:t>
            </w:r>
          </w:p>
        </w:tc>
      </w:tr>
    </w:tbl>
    <w:bookmarkEnd w:id="7"/>
    <w:p w:rsidR="00240D3C" w:rsidRPr="00240D3C" w:rsidRDefault="00240D3C" w:rsidP="00240D3C">
      <w:pPr>
        <w:spacing w:before="240"/>
        <w:rPr>
          <w:color w:val="000000"/>
          <w:lang w:val="fr-CH"/>
        </w:rPr>
      </w:pPr>
      <w:r w:rsidRPr="00BC599F">
        <w:rPr>
          <w:color w:val="000000"/>
          <w:lang w:val="fr-CH"/>
        </w:rPr>
        <w:t xml:space="preserve">J'ai l'honneur de transmettre aux </w:t>
      </w:r>
      <w:proofErr w:type="spellStart"/>
      <w:r w:rsidRPr="00BC599F">
        <w:rPr>
          <w:color w:val="000000"/>
          <w:lang w:val="fr-CH"/>
        </w:rPr>
        <w:t>Etats</w:t>
      </w:r>
      <w:proofErr w:type="spellEnd"/>
      <w:r w:rsidRPr="00BC599F">
        <w:rPr>
          <w:color w:val="000000"/>
          <w:lang w:val="fr-CH"/>
        </w:rPr>
        <w:t xml:space="preserve"> Membres du Conseil </w:t>
      </w:r>
      <w:r>
        <w:rPr>
          <w:color w:val="000000"/>
          <w:lang w:val="fr-CH"/>
        </w:rPr>
        <w:t xml:space="preserve">une contribution soumise par la </w:t>
      </w:r>
      <w:r w:rsidRPr="00240D3C">
        <w:rPr>
          <w:b/>
          <w:bCs/>
          <w:color w:val="000000"/>
          <w:lang w:val="fr-CH"/>
        </w:rPr>
        <w:t>Fédération de Russie.</w:t>
      </w:r>
    </w:p>
    <w:p w:rsidR="00240D3C" w:rsidRDefault="00240D3C" w:rsidP="00240D3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  <w:rPr>
          <w:lang w:val="fr-CH"/>
        </w:rPr>
      </w:pPr>
      <w:r w:rsidRPr="00BC599F">
        <w:rPr>
          <w:lang w:val="fr-CH"/>
        </w:rPr>
        <w:tab/>
      </w:r>
      <w:r w:rsidRPr="00F53CD7">
        <w:rPr>
          <w:lang w:val="fr-CH"/>
        </w:rPr>
        <w:t>Houlin ZHAO</w:t>
      </w:r>
      <w:r w:rsidRPr="00F53CD7">
        <w:rPr>
          <w:lang w:val="fr-CH"/>
        </w:rPr>
        <w:br/>
      </w:r>
      <w:r w:rsidRPr="00F53CD7">
        <w:rPr>
          <w:lang w:val="fr-CH"/>
        </w:rPr>
        <w:tab/>
        <w:t>Secrétaire général</w:t>
      </w:r>
    </w:p>
    <w:p w:rsidR="00240D3C" w:rsidRDefault="00240D3C" w:rsidP="00240D3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840"/>
        <w:rPr>
          <w:lang w:val="fr-CH"/>
        </w:rPr>
      </w:pPr>
      <w:r>
        <w:rPr>
          <w:lang w:val="fr-CH"/>
        </w:rPr>
        <w:br w:type="page"/>
      </w:r>
    </w:p>
    <w:p w:rsidR="00240D3C" w:rsidRPr="00725F78" w:rsidRDefault="00725F78" w:rsidP="00725F78">
      <w:pPr>
        <w:pStyle w:val="Source"/>
      </w:pPr>
      <w:r>
        <w:lastRenderedPageBreak/>
        <w:t>Fédération d</w:t>
      </w:r>
      <w:r w:rsidRPr="00725F78">
        <w:t>e Russie</w:t>
      </w:r>
    </w:p>
    <w:p w:rsidR="00E404C9" w:rsidRPr="00001825" w:rsidRDefault="00240D3C" w:rsidP="00001825">
      <w:pPr>
        <w:pStyle w:val="Title1"/>
        <w:spacing w:after="400"/>
      </w:pPr>
      <w:r w:rsidRPr="00001825">
        <w:t>RECOUVREMENT DES COÛTS POUR LE traitement des fiches de notification de systèmes à satellites non géostationnaires (non OSG) complexes</w:t>
      </w: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40D3C" w:rsidRPr="008E2D43" w:rsidTr="001369B1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D3C" w:rsidRPr="00F53CD7" w:rsidRDefault="00240D3C" w:rsidP="00E404C9">
            <w:pPr>
              <w:pStyle w:val="Headingb"/>
              <w:rPr>
                <w:lang w:val="fr-CH"/>
              </w:rPr>
            </w:pPr>
            <w:r w:rsidRPr="00F53CD7">
              <w:rPr>
                <w:lang w:val="fr-CH"/>
              </w:rPr>
              <w:t xml:space="preserve">Résumé </w:t>
            </w:r>
          </w:p>
          <w:p w:rsidR="00240D3C" w:rsidRPr="00F53CD7" w:rsidRDefault="00240D3C" w:rsidP="00E404C9">
            <w:pPr>
              <w:rPr>
                <w:lang w:val="fr-CH"/>
              </w:rPr>
            </w:pPr>
            <w:r>
              <w:rPr>
                <w:lang w:val="fr-CH"/>
              </w:rPr>
              <w:t xml:space="preserve">On trouvera </w:t>
            </w:r>
            <w:r w:rsidRPr="00F53CD7">
              <w:rPr>
                <w:lang w:val="fr-CH"/>
              </w:rPr>
              <w:t>dans la présente contribution les</w:t>
            </w:r>
            <w:r>
              <w:rPr>
                <w:lang w:val="fr-CH"/>
              </w:rPr>
              <w:t xml:space="preserve"> vues </w:t>
            </w:r>
            <w:r w:rsidRPr="00F53CD7">
              <w:rPr>
                <w:lang w:val="fr-CH"/>
              </w:rPr>
              <w:t xml:space="preserve">de la </w:t>
            </w:r>
            <w:r>
              <w:rPr>
                <w:lang w:val="fr-CH"/>
              </w:rPr>
              <w:t>F</w:t>
            </w:r>
            <w:r w:rsidRPr="00F53CD7">
              <w:rPr>
                <w:lang w:val="fr-CH"/>
              </w:rPr>
              <w:t xml:space="preserve">édération de Russie concernant la question du recouvrement des coûts </w:t>
            </w:r>
            <w:r>
              <w:rPr>
                <w:lang w:val="fr-CH"/>
              </w:rPr>
              <w:t xml:space="preserve">pour le traitement des fiches de notification de systèmes à satellites non géostationnaires </w:t>
            </w:r>
            <w:r w:rsidR="00E404C9">
              <w:rPr>
                <w:lang w:val="fr-CH"/>
              </w:rPr>
              <w:t xml:space="preserve">(non </w:t>
            </w:r>
            <w:r>
              <w:rPr>
                <w:lang w:val="fr-CH"/>
              </w:rPr>
              <w:t>OSG</w:t>
            </w:r>
            <w:r w:rsidR="00E404C9">
              <w:rPr>
                <w:lang w:val="fr-CH"/>
              </w:rPr>
              <w:t xml:space="preserve">) </w:t>
            </w:r>
            <w:r>
              <w:rPr>
                <w:lang w:val="fr-CH"/>
              </w:rPr>
              <w:t>complexes</w:t>
            </w:r>
            <w:r w:rsidR="00E404C9">
              <w:rPr>
                <w:lang w:val="fr-CH"/>
              </w:rPr>
              <w:t>.</w:t>
            </w:r>
          </w:p>
          <w:p w:rsidR="00240D3C" w:rsidRPr="00240D3C" w:rsidRDefault="00240D3C" w:rsidP="00E404C9">
            <w:pPr>
              <w:pStyle w:val="Headingb"/>
            </w:pPr>
            <w:r w:rsidRPr="00240D3C">
              <w:t xml:space="preserve">Suite à donner </w:t>
            </w:r>
          </w:p>
          <w:p w:rsidR="00240D3C" w:rsidRPr="00F53CD7" w:rsidRDefault="00240D3C" w:rsidP="00E404C9">
            <w:pPr>
              <w:rPr>
                <w:lang w:val="fr-CH"/>
              </w:rPr>
            </w:pPr>
            <w:r w:rsidRPr="00F53CD7">
              <w:rPr>
                <w:lang w:val="fr-CH"/>
              </w:rPr>
              <w:t xml:space="preserve">Le Conseil est invité à </w:t>
            </w:r>
            <w:r w:rsidRPr="00F53CD7">
              <w:rPr>
                <w:b/>
                <w:bCs/>
                <w:lang w:val="fr-CH"/>
              </w:rPr>
              <w:t>examiner</w:t>
            </w:r>
            <w:r>
              <w:rPr>
                <w:lang w:val="fr-CH"/>
              </w:rPr>
              <w:t xml:space="preserve"> </w:t>
            </w:r>
            <w:r w:rsidRPr="00F53CD7">
              <w:rPr>
                <w:lang w:val="fr-CH"/>
              </w:rPr>
              <w:t>les vues</w:t>
            </w:r>
            <w:r>
              <w:rPr>
                <w:lang w:val="fr-CH"/>
              </w:rPr>
              <w:t xml:space="preserve"> </w:t>
            </w:r>
            <w:r w:rsidRPr="00F53CD7">
              <w:rPr>
                <w:lang w:val="fr-CH"/>
              </w:rPr>
              <w:t xml:space="preserve">de la </w:t>
            </w:r>
            <w:r>
              <w:rPr>
                <w:lang w:val="fr-CH"/>
              </w:rPr>
              <w:t>F</w:t>
            </w:r>
            <w:r w:rsidRPr="00F53CD7">
              <w:rPr>
                <w:lang w:val="fr-CH"/>
              </w:rPr>
              <w:t>édération de Russie exposée</w:t>
            </w:r>
            <w:r>
              <w:rPr>
                <w:lang w:val="fr-CH"/>
              </w:rPr>
              <w:t>s</w:t>
            </w:r>
            <w:r w:rsidRPr="00F53CD7">
              <w:rPr>
                <w:lang w:val="fr-CH"/>
              </w:rPr>
              <w:t xml:space="preserve"> dans le présent document et </w:t>
            </w:r>
            <w:r w:rsidR="00E404C9" w:rsidRPr="00F53CD7">
              <w:rPr>
                <w:lang w:val="fr-CH"/>
              </w:rPr>
              <w:t>à</w:t>
            </w:r>
            <w:r w:rsidRPr="00F53CD7">
              <w:rPr>
                <w:lang w:val="fr-CH"/>
              </w:rPr>
              <w:t xml:space="preserve"> </w:t>
            </w:r>
            <w:r w:rsidRPr="00001825">
              <w:rPr>
                <w:b/>
                <w:bCs/>
                <w:lang w:val="fr-CH"/>
              </w:rPr>
              <w:t>adopter</w:t>
            </w:r>
            <w:r w:rsidRPr="00F53CD7">
              <w:rPr>
                <w:lang w:val="fr-CH"/>
              </w:rPr>
              <w:t xml:space="preserve"> une décision concernant la modification de la Décision</w:t>
            </w:r>
            <w:r>
              <w:rPr>
                <w:lang w:val="fr-CH"/>
              </w:rPr>
              <w:t xml:space="preserve"> </w:t>
            </w:r>
            <w:r w:rsidRPr="00F53CD7">
              <w:rPr>
                <w:lang w:val="fr-CH"/>
              </w:rPr>
              <w:t>482 (</w:t>
            </w:r>
            <w:r>
              <w:rPr>
                <w:lang w:val="fr-CH"/>
              </w:rPr>
              <w:t>modifiée en 2017</w:t>
            </w:r>
            <w:r w:rsidRPr="00F53CD7">
              <w:rPr>
                <w:lang w:val="fr-CH"/>
              </w:rPr>
              <w:t>).</w:t>
            </w:r>
          </w:p>
          <w:p w:rsidR="00240D3C" w:rsidRPr="00CC399A" w:rsidRDefault="00240D3C" w:rsidP="00E404C9">
            <w:pPr>
              <w:pStyle w:val="Table"/>
              <w:keepNext w:val="0"/>
              <w:spacing w:before="0" w:after="0"/>
              <w:rPr>
                <w:rFonts w:ascii="Calibri" w:hAnsi="Calibri"/>
                <w:caps w:val="0"/>
                <w:sz w:val="22"/>
                <w:lang w:val="fr-CH"/>
              </w:rPr>
            </w:pPr>
            <w:r w:rsidRPr="00CC399A">
              <w:rPr>
                <w:rFonts w:ascii="Calibri" w:hAnsi="Calibri"/>
                <w:caps w:val="0"/>
                <w:sz w:val="22"/>
                <w:lang w:val="fr-CH"/>
              </w:rPr>
              <w:t>____________</w:t>
            </w:r>
          </w:p>
          <w:p w:rsidR="00240D3C" w:rsidRPr="00CC399A" w:rsidRDefault="00E404C9" w:rsidP="00E404C9">
            <w:pPr>
              <w:pStyle w:val="Headingb"/>
              <w:rPr>
                <w:lang w:val="fr-CH"/>
              </w:rPr>
            </w:pPr>
            <w:r w:rsidRPr="00CC399A">
              <w:rPr>
                <w:lang w:val="fr-CH"/>
              </w:rPr>
              <w:t>Références</w:t>
            </w:r>
          </w:p>
          <w:p w:rsidR="00240D3C" w:rsidRPr="00CC399A" w:rsidRDefault="00E404C9" w:rsidP="00001825">
            <w:pPr>
              <w:spacing w:after="120"/>
              <w:rPr>
                <w:i/>
                <w:iCs/>
                <w:lang w:val="fr-CH"/>
              </w:rPr>
            </w:pPr>
            <w:r>
              <w:rPr>
                <w:i/>
                <w:iCs/>
                <w:lang w:val="fr-CH"/>
              </w:rPr>
              <w:t>Document</w:t>
            </w:r>
            <w:r w:rsidR="00240D3C" w:rsidRPr="00CC399A">
              <w:rPr>
                <w:i/>
                <w:iCs/>
                <w:lang w:val="fr-CH"/>
              </w:rPr>
              <w:t> </w:t>
            </w:r>
            <w:r w:rsidR="00240D3C" w:rsidRPr="00CB30F4">
              <w:rPr>
                <w:i/>
                <w:iCs/>
                <w:lang w:val="en-US"/>
              </w:rPr>
              <w:t>С</w:t>
            </w:r>
            <w:r w:rsidR="00240D3C" w:rsidRPr="00CC399A">
              <w:rPr>
                <w:i/>
                <w:iCs/>
                <w:lang w:val="fr-CH"/>
              </w:rPr>
              <w:t xml:space="preserve">18/36, </w:t>
            </w:r>
            <w:r>
              <w:rPr>
                <w:i/>
                <w:iCs/>
                <w:lang w:val="fr-CH"/>
              </w:rPr>
              <w:t>Décision 482 du Conseil</w:t>
            </w:r>
            <w:r w:rsidR="00240D3C" w:rsidRPr="00CC399A">
              <w:rPr>
                <w:i/>
                <w:iCs/>
                <w:lang w:val="fr-CH"/>
              </w:rPr>
              <w:t xml:space="preserve"> </w:t>
            </w:r>
            <w:r w:rsidR="00240D3C" w:rsidRPr="00F53CD7">
              <w:rPr>
                <w:lang w:val="fr-CH"/>
              </w:rPr>
              <w:t>(</w:t>
            </w:r>
            <w:r w:rsidR="00240D3C">
              <w:rPr>
                <w:lang w:val="fr-CH"/>
              </w:rPr>
              <w:t>modifiée en 2017</w:t>
            </w:r>
            <w:r w:rsidR="00240D3C" w:rsidRPr="00F53CD7">
              <w:rPr>
                <w:lang w:val="fr-CH"/>
              </w:rPr>
              <w:t>)</w:t>
            </w:r>
          </w:p>
        </w:tc>
      </w:tr>
    </w:tbl>
    <w:p w:rsidR="00240D3C" w:rsidRPr="008E2D43" w:rsidRDefault="00240D3C" w:rsidP="007243C9">
      <w:pPr>
        <w:pStyle w:val="Headingb"/>
        <w:spacing w:before="440"/>
        <w:rPr>
          <w:lang w:val="fr-CH"/>
        </w:rPr>
      </w:pPr>
      <w:bookmarkStart w:id="8" w:name="dstart"/>
      <w:bookmarkStart w:id="9" w:name="dbreak"/>
      <w:bookmarkEnd w:id="8"/>
      <w:bookmarkEnd w:id="9"/>
      <w:r w:rsidRPr="008E2D43">
        <w:rPr>
          <w:lang w:val="fr-CH"/>
        </w:rPr>
        <w:t>Introduction</w:t>
      </w:r>
    </w:p>
    <w:p w:rsidR="00240D3C" w:rsidRPr="00CC399A" w:rsidRDefault="00240D3C" w:rsidP="00E404C9">
      <w:pPr>
        <w:rPr>
          <w:lang w:val="fr-CH"/>
        </w:rPr>
      </w:pPr>
      <w:r w:rsidRPr="00CC399A">
        <w:rPr>
          <w:lang w:val="fr-CH"/>
        </w:rPr>
        <w:t xml:space="preserve">La présente contribution expose les vues de </w:t>
      </w:r>
      <w:r w:rsidRPr="00F53CD7">
        <w:rPr>
          <w:lang w:val="fr-CH"/>
        </w:rPr>
        <w:t xml:space="preserve">la </w:t>
      </w:r>
      <w:r>
        <w:rPr>
          <w:lang w:val="fr-CH"/>
        </w:rPr>
        <w:t>F</w:t>
      </w:r>
      <w:r w:rsidRPr="00F53CD7">
        <w:rPr>
          <w:lang w:val="fr-CH"/>
        </w:rPr>
        <w:t xml:space="preserve">édération de Russie concernant la question du recouvrement des coûts </w:t>
      </w:r>
      <w:r>
        <w:rPr>
          <w:lang w:val="fr-CH"/>
        </w:rPr>
        <w:t xml:space="preserve">pour le traitement des fiches de notification de systèmes à satellites non géostationnaires </w:t>
      </w:r>
      <w:r w:rsidR="00E404C9">
        <w:rPr>
          <w:lang w:val="fr-CH"/>
        </w:rPr>
        <w:t xml:space="preserve">(non </w:t>
      </w:r>
      <w:r>
        <w:rPr>
          <w:lang w:val="fr-CH"/>
        </w:rPr>
        <w:t>OSG</w:t>
      </w:r>
      <w:r w:rsidRPr="00F53CD7">
        <w:rPr>
          <w:lang w:val="fr-CH"/>
        </w:rPr>
        <w:t xml:space="preserve">) </w:t>
      </w:r>
      <w:r>
        <w:rPr>
          <w:lang w:val="fr-CH"/>
        </w:rPr>
        <w:t>complexes</w:t>
      </w:r>
      <w:r w:rsidR="00E404C9">
        <w:rPr>
          <w:lang w:val="fr-CH"/>
        </w:rPr>
        <w:t>.</w:t>
      </w:r>
    </w:p>
    <w:p w:rsidR="00240D3C" w:rsidRPr="00240D3C" w:rsidRDefault="00240D3C" w:rsidP="00E404C9">
      <w:pPr>
        <w:pStyle w:val="Headingb"/>
      </w:pPr>
      <w:r w:rsidRPr="00240D3C">
        <w:t xml:space="preserve">Analyse </w:t>
      </w:r>
    </w:p>
    <w:p w:rsidR="00240D3C" w:rsidRPr="00CC399A" w:rsidRDefault="00240D3C" w:rsidP="00001825">
      <w:pPr>
        <w:spacing w:after="120"/>
        <w:rPr>
          <w:rFonts w:asciiTheme="minorHAnsi" w:hAnsiTheme="minorHAnsi"/>
          <w:lang w:val="fr-CH"/>
        </w:rPr>
      </w:pPr>
      <w:r w:rsidRPr="00CC399A">
        <w:rPr>
          <w:lang w:val="fr-CH"/>
        </w:rPr>
        <w:t xml:space="preserve">Conformément aux instructions données par le Conseil à sa session de 2017, le Bureau des radiocommunications a procédé à une étude des </w:t>
      </w:r>
      <w:r w:rsidRPr="00CC399A">
        <w:rPr>
          <w:color w:val="000000"/>
          <w:lang w:val="fr-CH"/>
        </w:rPr>
        <w:t>problèmes techniques que soulève le traitement des fiches de notification de systèmes à satellites non géostationnaires (non OSG) complexes</w:t>
      </w:r>
      <w:r w:rsidR="00E404C9">
        <w:rPr>
          <w:color w:val="000000"/>
          <w:lang w:val="fr-CH"/>
        </w:rPr>
        <w:t>,</w:t>
      </w:r>
      <w:r w:rsidRPr="00CC399A">
        <w:rPr>
          <w:color w:val="000000"/>
          <w:lang w:val="fr-CH"/>
        </w:rPr>
        <w:t xml:space="preserve"> </w:t>
      </w:r>
      <w:r>
        <w:rPr>
          <w:color w:val="000000"/>
          <w:lang w:val="fr-CH"/>
        </w:rPr>
        <w:t xml:space="preserve">ainsi qu’à une </w:t>
      </w:r>
      <w:r w:rsidRPr="00CC399A">
        <w:rPr>
          <w:color w:val="000000"/>
          <w:lang w:val="fr-CH"/>
        </w:rPr>
        <w:t>analyse des principaux problèmes d'ordre technique et réglementaire associés à la proposition visant à subdiviser les fiches de notification de réseaux non OSG contenant des orbites de satellites non homogènes</w:t>
      </w:r>
      <w:r>
        <w:rPr>
          <w:color w:val="000000"/>
          <w:lang w:val="fr-CH"/>
        </w:rPr>
        <w:t>. A partir</w:t>
      </w:r>
      <w:r w:rsidRPr="00CC399A">
        <w:rPr>
          <w:color w:val="000000"/>
          <w:lang w:val="fr-CH"/>
        </w:rPr>
        <w:t xml:space="preserve"> des résultats de cette étude, le Bureau des radiocommunications a proposé de</w:t>
      </w:r>
      <w:r>
        <w:rPr>
          <w:color w:val="000000"/>
          <w:lang w:val="fr-CH"/>
        </w:rPr>
        <w:t xml:space="preserve"> réviser</w:t>
      </w:r>
      <w:r w:rsidRPr="00CC399A">
        <w:rPr>
          <w:color w:val="000000"/>
          <w:lang w:val="fr-CH"/>
        </w:rPr>
        <w:t xml:space="preserve"> la</w:t>
      </w:r>
      <w:r w:rsidRPr="00CC399A">
        <w:rPr>
          <w:rFonts w:asciiTheme="minorHAnsi" w:hAnsiTheme="minorHAnsi"/>
          <w:lang w:val="fr-CH"/>
        </w:rPr>
        <w:t xml:space="preserve"> Décision 482 (modifiée en 2017) </w:t>
      </w:r>
      <w:r>
        <w:rPr>
          <w:color w:val="000000"/>
          <w:lang w:val="fr-CH"/>
        </w:rPr>
        <w:t>sur la base de</w:t>
      </w:r>
      <w:r>
        <w:rPr>
          <w:rFonts w:asciiTheme="minorHAnsi" w:hAnsiTheme="minorHAnsi"/>
          <w:lang w:val="fr-CH"/>
        </w:rPr>
        <w:t xml:space="preserve"> </w:t>
      </w:r>
      <w:r w:rsidRPr="00CC399A">
        <w:rPr>
          <w:rFonts w:asciiTheme="minorHAnsi" w:hAnsiTheme="minorHAnsi"/>
          <w:lang w:val="fr-CH"/>
        </w:rPr>
        <w:t>trois procédures possibles qui ne s'excluent pas mutuellement, afin d'améliorer le système de recouvrement des coûts</w:t>
      </w:r>
      <w:r w:rsidRPr="00CC399A">
        <w:rPr>
          <w:color w:val="000000"/>
          <w:lang w:val="fr-CH"/>
        </w:rPr>
        <w:t xml:space="preserve"> applicable</w:t>
      </w:r>
      <w:r>
        <w:rPr>
          <w:color w:val="000000"/>
          <w:lang w:val="fr-CH"/>
        </w:rPr>
        <w:t xml:space="preserve"> </w:t>
      </w:r>
      <w:r w:rsidRPr="00CC399A">
        <w:rPr>
          <w:color w:val="000000"/>
          <w:lang w:val="fr-CH"/>
        </w:rPr>
        <w:t>aux systèmes à satellites non OSG</w:t>
      </w:r>
      <w:r>
        <w:rPr>
          <w:color w:val="000000"/>
          <w:lang w:val="fr-CH"/>
        </w:rPr>
        <w:t>:</w:t>
      </w:r>
    </w:p>
    <w:p w:rsidR="00E404C9" w:rsidRDefault="00E404C9" w:rsidP="00E404C9">
      <w:pPr>
        <w:pStyle w:val="enumlev1"/>
        <w:rPr>
          <w:lang w:val="fr-CH"/>
        </w:rPr>
      </w:pPr>
      <w:r w:rsidRPr="00E404C9">
        <w:rPr>
          <w:lang w:val="fr-CH"/>
        </w:rPr>
        <w:t>•</w:t>
      </w:r>
      <w:r>
        <w:rPr>
          <w:lang w:val="fr-CH"/>
        </w:rPr>
        <w:tab/>
      </w:r>
      <w:r w:rsidRPr="00CC399A">
        <w:rPr>
          <w:lang w:val="fr-CH"/>
        </w:rPr>
        <w:t>Procédure</w:t>
      </w:r>
      <w:r w:rsidR="00001825">
        <w:rPr>
          <w:lang w:val="fr-CH"/>
        </w:rPr>
        <w:t xml:space="preserve"> A: </w:t>
      </w:r>
      <w:r w:rsidR="007E5892">
        <w:rPr>
          <w:lang w:val="fr-CH"/>
        </w:rPr>
        <w:t>C</w:t>
      </w:r>
      <w:r w:rsidR="00240D3C" w:rsidRPr="00CC399A">
        <w:rPr>
          <w:lang w:val="fr-CH"/>
        </w:rPr>
        <w:t>alculer séparément les droits pour les configurations qui s'excluent mutuellement et additionner ces droits</w:t>
      </w:r>
      <w:r w:rsidR="00001825">
        <w:rPr>
          <w:lang w:val="fr-CH"/>
        </w:rPr>
        <w:t>.</w:t>
      </w:r>
    </w:p>
    <w:p w:rsidR="00E404C9" w:rsidRDefault="00E404C9" w:rsidP="00001825">
      <w:pPr>
        <w:pStyle w:val="enumlev1"/>
        <w:rPr>
          <w:rFonts w:asciiTheme="minorHAnsi" w:hAnsiTheme="minorHAnsi" w:cstheme="majorBidi"/>
          <w:lang w:val="fr-CH"/>
        </w:rPr>
      </w:pPr>
      <w:r w:rsidRPr="00E404C9">
        <w:rPr>
          <w:lang w:val="fr-CH"/>
        </w:rPr>
        <w:t>•</w:t>
      </w:r>
      <w:r>
        <w:rPr>
          <w:lang w:val="fr-CH"/>
        </w:rPr>
        <w:tab/>
      </w:r>
      <w:r w:rsidRPr="00CC399A">
        <w:rPr>
          <w:rFonts w:asciiTheme="minorHAnsi" w:hAnsiTheme="minorHAnsi" w:cstheme="majorBidi"/>
          <w:lang w:val="fr-CH"/>
        </w:rPr>
        <w:t>Procédure</w:t>
      </w:r>
      <w:r w:rsidR="00240D3C" w:rsidRPr="00CC399A">
        <w:rPr>
          <w:rFonts w:asciiTheme="minorHAnsi" w:hAnsiTheme="minorHAnsi" w:cstheme="majorBidi"/>
          <w:lang w:val="fr-CH"/>
        </w:rPr>
        <w:t xml:space="preserve"> B: </w:t>
      </w:r>
      <w:r w:rsidR="007E5892">
        <w:rPr>
          <w:lang w:val="fr-CH"/>
        </w:rPr>
        <w:t>L</w:t>
      </w:r>
      <w:r w:rsidR="00240D3C" w:rsidRPr="006C6873">
        <w:rPr>
          <w:lang w:val="fr-CH"/>
        </w:rPr>
        <w:t>imiter le droit fixe à un nombre maximal d</w:t>
      </w:r>
      <w:r w:rsidR="00240D3C">
        <w:rPr>
          <w:lang w:val="fr-CH"/>
        </w:rPr>
        <w:t>'</w:t>
      </w:r>
      <w:r w:rsidR="00240D3C" w:rsidRPr="006C6873">
        <w:rPr>
          <w:lang w:val="fr-CH"/>
        </w:rPr>
        <w:t>unités</w:t>
      </w:r>
      <w:r w:rsidR="00001825">
        <w:rPr>
          <w:rFonts w:asciiTheme="minorHAnsi" w:hAnsiTheme="minorHAnsi" w:cstheme="majorBidi"/>
          <w:lang w:val="fr-CH"/>
        </w:rPr>
        <w:t>.</w:t>
      </w:r>
    </w:p>
    <w:p w:rsidR="00240D3C" w:rsidRPr="00E404C9" w:rsidRDefault="00E404C9" w:rsidP="00E404C9">
      <w:pPr>
        <w:pStyle w:val="enumlev1"/>
        <w:rPr>
          <w:rFonts w:cstheme="majorBidi"/>
          <w:lang w:val="fr-CH"/>
        </w:rPr>
      </w:pPr>
      <w:r w:rsidRPr="00E404C9">
        <w:rPr>
          <w:rFonts w:asciiTheme="minorHAnsi" w:hAnsiTheme="minorHAnsi" w:cstheme="majorBidi"/>
          <w:lang w:val="fr-CH"/>
        </w:rPr>
        <w:t>•</w:t>
      </w:r>
      <w:r>
        <w:rPr>
          <w:rFonts w:asciiTheme="minorHAnsi" w:hAnsiTheme="minorHAnsi" w:cstheme="majorBidi"/>
          <w:lang w:val="fr-CH"/>
        </w:rPr>
        <w:tab/>
      </w:r>
      <w:r w:rsidRPr="00CC399A">
        <w:rPr>
          <w:rFonts w:asciiTheme="minorHAnsi" w:hAnsiTheme="minorHAnsi" w:cstheme="majorBidi"/>
          <w:lang w:val="fr-CH"/>
        </w:rPr>
        <w:t>Procédure</w:t>
      </w:r>
      <w:r w:rsidR="00240D3C" w:rsidRPr="00CC399A">
        <w:rPr>
          <w:rFonts w:asciiTheme="minorHAnsi" w:hAnsiTheme="minorHAnsi" w:cstheme="majorBidi"/>
          <w:lang w:val="fr-CH"/>
        </w:rPr>
        <w:t xml:space="preserve"> C: </w:t>
      </w:r>
      <w:r w:rsidR="007E5892">
        <w:rPr>
          <w:lang w:val="fr-CH"/>
        </w:rPr>
        <w:t>I</w:t>
      </w:r>
      <w:r w:rsidR="00240D3C" w:rsidRPr="00116357">
        <w:rPr>
          <w:lang w:val="fr-CH"/>
        </w:rPr>
        <w:t>nstaurer une surtaxe pour les cas assujettis aux limites d</w:t>
      </w:r>
      <w:r w:rsidR="00240D3C">
        <w:rPr>
          <w:lang w:val="fr-CH"/>
        </w:rPr>
        <w:t>'</w:t>
      </w:r>
      <w:proofErr w:type="spellStart"/>
      <w:r w:rsidR="00240D3C" w:rsidRPr="00116357">
        <w:rPr>
          <w:lang w:val="fr-CH"/>
        </w:rPr>
        <w:t>epfd</w:t>
      </w:r>
      <w:proofErr w:type="spellEnd"/>
      <w:r w:rsidR="00240D3C" w:rsidRPr="00116357">
        <w:rPr>
          <w:lang w:val="fr-CH"/>
        </w:rPr>
        <w:t xml:space="preserve"> prescrites dans l</w:t>
      </w:r>
      <w:r w:rsidR="00240D3C">
        <w:rPr>
          <w:lang w:val="fr-CH"/>
        </w:rPr>
        <w:t>'</w:t>
      </w:r>
      <w:r w:rsidR="00240D3C" w:rsidRPr="00116357">
        <w:rPr>
          <w:lang w:val="fr-CH"/>
        </w:rPr>
        <w:t>Article 22</w:t>
      </w:r>
      <w:r w:rsidR="00001825">
        <w:rPr>
          <w:lang w:val="fr-CH"/>
        </w:rPr>
        <w:t>.</w:t>
      </w:r>
      <w:bookmarkStart w:id="10" w:name="_GoBack"/>
      <w:bookmarkEnd w:id="10"/>
    </w:p>
    <w:p w:rsidR="00240D3C" w:rsidRPr="00CC399A" w:rsidRDefault="00240D3C" w:rsidP="007243C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rFonts w:asciiTheme="minorHAnsi" w:hAnsiTheme="minorHAnsi" w:cstheme="majorBidi"/>
          <w:lang w:val="fr-CH"/>
        </w:rPr>
      </w:pPr>
      <w:r w:rsidRPr="00CC399A">
        <w:rPr>
          <w:rFonts w:asciiTheme="minorHAnsi" w:hAnsiTheme="minorHAnsi" w:cstheme="majorBidi"/>
          <w:lang w:val="fr-CH"/>
        </w:rPr>
        <w:t>Les résultats de l’étude ont été</w:t>
      </w:r>
      <w:r>
        <w:rPr>
          <w:rFonts w:asciiTheme="minorHAnsi" w:hAnsiTheme="minorHAnsi" w:cstheme="majorBidi"/>
          <w:lang w:val="fr-CH"/>
        </w:rPr>
        <w:t xml:space="preserve"> présentés</w:t>
      </w:r>
      <w:r w:rsidRPr="00CC399A">
        <w:rPr>
          <w:rFonts w:asciiTheme="minorHAnsi" w:hAnsiTheme="minorHAnsi" w:cstheme="majorBidi"/>
          <w:lang w:val="fr-CH"/>
        </w:rPr>
        <w:t xml:space="preserve"> au Comité du Règlement des radiocommunications</w:t>
      </w:r>
      <w:r w:rsidR="00001825">
        <w:rPr>
          <w:rFonts w:asciiTheme="minorHAnsi" w:hAnsiTheme="minorHAnsi" w:cstheme="majorBidi"/>
          <w:lang w:val="fr-CH"/>
        </w:rPr>
        <w:t xml:space="preserve"> </w:t>
      </w:r>
      <w:r w:rsidRPr="00CC399A">
        <w:rPr>
          <w:rFonts w:asciiTheme="minorHAnsi" w:hAnsiTheme="minorHAnsi" w:cstheme="majorBidi"/>
          <w:lang w:val="fr-CH"/>
        </w:rPr>
        <w:t>(RRB)</w:t>
      </w:r>
      <w:r>
        <w:rPr>
          <w:rFonts w:asciiTheme="minorHAnsi" w:hAnsiTheme="minorHAnsi" w:cstheme="majorBidi"/>
          <w:lang w:val="fr-CH"/>
        </w:rPr>
        <w:t xml:space="preserve"> </w:t>
      </w:r>
      <w:r w:rsidRPr="00CC399A">
        <w:rPr>
          <w:rFonts w:asciiTheme="minorHAnsi" w:hAnsiTheme="minorHAnsi" w:cstheme="majorBidi"/>
          <w:lang w:val="fr-CH"/>
        </w:rPr>
        <w:t>et aux Groupes de travail</w:t>
      </w:r>
      <w:r>
        <w:rPr>
          <w:rFonts w:asciiTheme="minorHAnsi" w:hAnsiTheme="minorHAnsi" w:cstheme="majorBidi"/>
          <w:lang w:val="fr-CH"/>
        </w:rPr>
        <w:t xml:space="preserve"> </w:t>
      </w:r>
      <w:r w:rsidRPr="00CC399A">
        <w:rPr>
          <w:rFonts w:asciiTheme="minorHAnsi" w:hAnsiTheme="minorHAnsi" w:cstheme="majorBidi"/>
          <w:lang w:val="fr-CH"/>
        </w:rPr>
        <w:t>4A, 4B, 4C, 7B</w:t>
      </w:r>
      <w:r>
        <w:rPr>
          <w:rFonts w:asciiTheme="minorHAnsi" w:hAnsiTheme="minorHAnsi" w:cstheme="majorBidi"/>
          <w:lang w:val="fr-CH"/>
        </w:rPr>
        <w:t xml:space="preserve"> et </w:t>
      </w:r>
      <w:r w:rsidRPr="00CC399A">
        <w:rPr>
          <w:rFonts w:asciiTheme="minorHAnsi" w:hAnsiTheme="minorHAnsi" w:cstheme="majorBidi"/>
          <w:lang w:val="fr-CH"/>
        </w:rPr>
        <w:t>7C, qui les</w:t>
      </w:r>
      <w:r>
        <w:rPr>
          <w:rFonts w:asciiTheme="minorHAnsi" w:hAnsiTheme="minorHAnsi" w:cstheme="majorBidi"/>
          <w:lang w:val="fr-CH"/>
        </w:rPr>
        <w:t xml:space="preserve"> ont </w:t>
      </w:r>
      <w:r w:rsidRPr="00CC399A">
        <w:rPr>
          <w:rFonts w:asciiTheme="minorHAnsi" w:hAnsiTheme="minorHAnsi" w:cstheme="majorBidi"/>
          <w:lang w:val="fr-CH"/>
        </w:rPr>
        <w:t xml:space="preserve">examinés, </w:t>
      </w:r>
      <w:r>
        <w:rPr>
          <w:rFonts w:asciiTheme="minorHAnsi" w:hAnsiTheme="minorHAnsi" w:cstheme="majorBidi"/>
          <w:lang w:val="fr-CH"/>
        </w:rPr>
        <w:t xml:space="preserve">et soumis au Conseil pour examen dans le Document </w:t>
      </w:r>
      <w:r w:rsidRPr="00CC399A">
        <w:rPr>
          <w:rFonts w:asciiTheme="minorHAnsi" w:hAnsiTheme="minorHAnsi" w:cstheme="majorBidi"/>
          <w:lang w:val="fr-CH"/>
        </w:rPr>
        <w:t>C18/36</w:t>
      </w:r>
      <w:r w:rsidR="007243C9">
        <w:rPr>
          <w:rFonts w:asciiTheme="minorHAnsi" w:hAnsiTheme="minorHAnsi" w:cstheme="majorBidi"/>
          <w:lang w:val="fr-CH"/>
        </w:rPr>
        <w:t>.</w:t>
      </w:r>
    </w:p>
    <w:p w:rsidR="00240D3C" w:rsidRPr="00EB0D41" w:rsidRDefault="00240D3C" w:rsidP="007243C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rFonts w:asciiTheme="minorHAnsi" w:hAnsiTheme="minorHAnsi" w:cstheme="majorBidi"/>
          <w:lang w:val="fr-CH"/>
        </w:rPr>
      </w:pPr>
      <w:r w:rsidRPr="00EB0D41">
        <w:rPr>
          <w:rFonts w:asciiTheme="minorHAnsi" w:hAnsiTheme="minorHAnsi" w:cstheme="majorBidi"/>
          <w:lang w:val="fr-CH"/>
        </w:rPr>
        <w:lastRenderedPageBreak/>
        <w:t>Il ressort</w:t>
      </w:r>
      <w:r w:rsidR="007243C9">
        <w:rPr>
          <w:rFonts w:asciiTheme="minorHAnsi" w:hAnsiTheme="minorHAnsi" w:cstheme="majorBidi"/>
          <w:lang w:val="fr-CH"/>
        </w:rPr>
        <w:t xml:space="preserve"> de l’analyse de ces procédures</w:t>
      </w:r>
      <w:r w:rsidRPr="00EB0D41">
        <w:rPr>
          <w:rFonts w:asciiTheme="minorHAnsi" w:hAnsiTheme="minorHAnsi" w:cstheme="majorBidi"/>
          <w:lang w:val="fr-CH"/>
        </w:rPr>
        <w:t xml:space="preserve"> par les groupes de travail</w:t>
      </w:r>
      <w:r>
        <w:rPr>
          <w:rFonts w:asciiTheme="minorHAnsi" w:hAnsiTheme="minorHAnsi" w:cstheme="majorBidi"/>
          <w:lang w:val="fr-CH"/>
        </w:rPr>
        <w:t xml:space="preserve"> </w:t>
      </w:r>
      <w:r w:rsidRPr="00EB0D41">
        <w:rPr>
          <w:rFonts w:asciiTheme="minorHAnsi" w:hAnsiTheme="minorHAnsi" w:cstheme="majorBidi"/>
          <w:lang w:val="fr-CH"/>
        </w:rPr>
        <w:t>de l’UIT qu’il se p</w:t>
      </w:r>
      <w:r w:rsidR="007243C9">
        <w:rPr>
          <w:rFonts w:asciiTheme="minorHAnsi" w:hAnsiTheme="minorHAnsi" w:cstheme="majorBidi"/>
          <w:lang w:val="fr-CH"/>
        </w:rPr>
        <w:t>eut</w:t>
      </w:r>
      <w:r w:rsidRPr="00EB0D41">
        <w:rPr>
          <w:rFonts w:asciiTheme="minorHAnsi" w:hAnsiTheme="minorHAnsi" w:cstheme="majorBidi"/>
          <w:lang w:val="fr-CH"/>
        </w:rPr>
        <w:t xml:space="preserve"> que le Conseil adopte une décision à sa session de 2018 en vue d’appliquer la Procédure</w:t>
      </w:r>
      <w:r>
        <w:rPr>
          <w:rFonts w:asciiTheme="minorHAnsi" w:hAnsiTheme="minorHAnsi" w:cstheme="majorBidi"/>
          <w:lang w:val="fr-CH"/>
        </w:rPr>
        <w:t xml:space="preserve"> </w:t>
      </w:r>
      <w:r w:rsidRPr="00EB0D41">
        <w:rPr>
          <w:rFonts w:asciiTheme="minorHAnsi" w:hAnsiTheme="minorHAnsi" w:cstheme="majorBidi"/>
          <w:lang w:val="fr-CH"/>
        </w:rPr>
        <w:t>A.</w:t>
      </w:r>
    </w:p>
    <w:p w:rsidR="00240D3C" w:rsidRPr="00492DB9" w:rsidRDefault="007243C9" w:rsidP="000018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rFonts w:asciiTheme="minorHAnsi" w:hAnsiTheme="minorHAnsi"/>
          <w:lang w:val="fr-CH"/>
        </w:rPr>
      </w:pPr>
      <w:r>
        <w:rPr>
          <w:rFonts w:asciiTheme="minorHAnsi" w:hAnsiTheme="minorHAnsi" w:cstheme="majorBidi"/>
          <w:lang w:val="fr-CH"/>
        </w:rPr>
        <w:t>Or</w:t>
      </w:r>
      <w:r w:rsidR="00240D3C" w:rsidRPr="00492DB9">
        <w:rPr>
          <w:rFonts w:asciiTheme="minorHAnsi" w:hAnsiTheme="minorHAnsi" w:cstheme="majorBidi"/>
          <w:lang w:val="fr-CH"/>
        </w:rPr>
        <w:t>, la Fédération de Russie considère que l’adoption de la Procédure</w:t>
      </w:r>
      <w:r w:rsidR="00240D3C">
        <w:rPr>
          <w:rFonts w:asciiTheme="minorHAnsi" w:hAnsiTheme="minorHAnsi" w:cstheme="majorBidi"/>
          <w:lang w:val="fr-CH"/>
        </w:rPr>
        <w:t xml:space="preserve"> A</w:t>
      </w:r>
      <w:r w:rsidR="00240D3C" w:rsidRPr="00492DB9">
        <w:rPr>
          <w:rFonts w:asciiTheme="minorHAnsi" w:hAnsiTheme="minorHAnsi" w:cstheme="majorBidi"/>
          <w:lang w:val="fr-CH"/>
        </w:rPr>
        <w:t xml:space="preserve"> ne suffit pas à résoudre les problèmes découlant du traitement de</w:t>
      </w:r>
      <w:r w:rsidR="00240D3C">
        <w:rPr>
          <w:rFonts w:asciiTheme="minorHAnsi" w:hAnsiTheme="minorHAnsi" w:cstheme="majorBidi"/>
          <w:lang w:val="fr-CH"/>
        </w:rPr>
        <w:t>s</w:t>
      </w:r>
      <w:r w:rsidR="00240D3C" w:rsidRPr="00492DB9">
        <w:rPr>
          <w:rFonts w:asciiTheme="minorHAnsi" w:hAnsiTheme="minorHAnsi" w:cstheme="majorBidi"/>
          <w:lang w:val="fr-CH"/>
        </w:rPr>
        <w:t xml:space="preserve"> fiches de notification de systèmes à satellites non géostationnaires</w:t>
      </w:r>
      <w:r w:rsidR="00240D3C">
        <w:rPr>
          <w:rFonts w:asciiTheme="minorHAnsi" w:hAnsiTheme="minorHAnsi" w:cstheme="majorBidi"/>
          <w:lang w:val="fr-CH"/>
        </w:rPr>
        <w:t xml:space="preserve"> </w:t>
      </w:r>
      <w:r>
        <w:rPr>
          <w:rFonts w:asciiTheme="minorHAnsi" w:hAnsiTheme="minorHAnsi"/>
          <w:lang w:val="fr-CH"/>
        </w:rPr>
        <w:t xml:space="preserve">(non </w:t>
      </w:r>
      <w:r w:rsidR="000F0E78">
        <w:rPr>
          <w:rFonts w:asciiTheme="minorHAnsi" w:hAnsiTheme="minorHAnsi"/>
          <w:lang w:val="fr-CH"/>
        </w:rPr>
        <w:t>OSG</w:t>
      </w:r>
      <w:r w:rsidR="00240D3C" w:rsidRPr="00492DB9">
        <w:rPr>
          <w:rFonts w:asciiTheme="minorHAnsi" w:hAnsiTheme="minorHAnsi"/>
          <w:lang w:val="fr-CH"/>
        </w:rPr>
        <w:t>)</w:t>
      </w:r>
      <w:r w:rsidR="00240D3C">
        <w:rPr>
          <w:rFonts w:asciiTheme="minorHAnsi" w:hAnsiTheme="minorHAnsi"/>
          <w:lang w:val="fr-CH"/>
        </w:rPr>
        <w:t xml:space="preserve"> </w:t>
      </w:r>
      <w:r w:rsidR="00240D3C" w:rsidRPr="00492DB9">
        <w:rPr>
          <w:rFonts w:asciiTheme="minorHAnsi" w:hAnsiTheme="minorHAnsi" w:cstheme="majorBidi"/>
          <w:lang w:val="fr-CH"/>
        </w:rPr>
        <w:t>complexes, et ce pour les raisons suivantes</w:t>
      </w:r>
      <w:r w:rsidR="00240D3C">
        <w:rPr>
          <w:rFonts w:asciiTheme="minorHAnsi" w:hAnsiTheme="minorHAnsi" w:cstheme="majorBidi"/>
          <w:lang w:val="fr-CH"/>
        </w:rPr>
        <w:t>:</w:t>
      </w:r>
    </w:p>
    <w:p w:rsidR="007243C9" w:rsidRDefault="007243C9" w:rsidP="007243C9">
      <w:pPr>
        <w:pStyle w:val="enumlev1"/>
        <w:rPr>
          <w:lang w:val="fr-CH"/>
        </w:rPr>
      </w:pPr>
      <w:r w:rsidRPr="007243C9">
        <w:rPr>
          <w:lang w:val="fr-CH"/>
        </w:rPr>
        <w:t>•</w:t>
      </w:r>
      <w:r>
        <w:rPr>
          <w:lang w:val="fr-CH"/>
        </w:rPr>
        <w:tab/>
      </w:r>
      <w:r w:rsidR="00240D3C" w:rsidRPr="00492DB9">
        <w:rPr>
          <w:lang w:val="fr-CH"/>
        </w:rPr>
        <w:t>Le nombre de fiches de notification relative</w:t>
      </w:r>
      <w:r w:rsidR="00240D3C">
        <w:rPr>
          <w:lang w:val="fr-CH"/>
        </w:rPr>
        <w:t>s</w:t>
      </w:r>
      <w:r w:rsidR="00240D3C" w:rsidRPr="00492DB9">
        <w:rPr>
          <w:lang w:val="fr-CH"/>
        </w:rPr>
        <w:t xml:space="preserve"> à des systèmes non OSG complexe</w:t>
      </w:r>
      <w:r w:rsidR="00240D3C">
        <w:rPr>
          <w:lang w:val="fr-CH"/>
        </w:rPr>
        <w:t>s</w:t>
      </w:r>
      <w:r w:rsidR="00240D3C" w:rsidRPr="00492DB9">
        <w:rPr>
          <w:lang w:val="fr-CH"/>
        </w:rPr>
        <w:t xml:space="preserve"> n’a pas diminué dernièrement</w:t>
      </w:r>
      <w:r w:rsidR="00240D3C">
        <w:rPr>
          <w:lang w:val="fr-CH"/>
        </w:rPr>
        <w:t>.</w:t>
      </w:r>
    </w:p>
    <w:p w:rsidR="007243C9" w:rsidRDefault="007243C9" w:rsidP="007243C9">
      <w:pPr>
        <w:pStyle w:val="enumlev1"/>
        <w:rPr>
          <w:rFonts w:asciiTheme="minorHAnsi" w:hAnsiTheme="minorHAnsi" w:cstheme="majorBidi"/>
          <w:lang w:val="fr-CH"/>
        </w:rPr>
      </w:pPr>
      <w:r w:rsidRPr="007243C9">
        <w:rPr>
          <w:lang w:val="fr-CH"/>
        </w:rPr>
        <w:t>•</w:t>
      </w:r>
      <w:r>
        <w:rPr>
          <w:lang w:val="fr-CH"/>
        </w:rPr>
        <w:tab/>
      </w:r>
      <w:r w:rsidR="00240D3C" w:rsidRPr="008E2D43">
        <w:rPr>
          <w:rFonts w:asciiTheme="minorHAnsi" w:hAnsiTheme="minorHAnsi" w:cstheme="majorBidi"/>
          <w:lang w:val="fr-CH"/>
        </w:rPr>
        <w:t xml:space="preserve">Il </w:t>
      </w:r>
      <w:r>
        <w:rPr>
          <w:rFonts w:asciiTheme="minorHAnsi" w:hAnsiTheme="minorHAnsi" w:cstheme="majorBidi"/>
          <w:lang w:val="fr-CH"/>
        </w:rPr>
        <w:t>arrive que</w:t>
      </w:r>
      <w:r w:rsidR="00240D3C" w:rsidRPr="008E2D43">
        <w:rPr>
          <w:rFonts w:asciiTheme="minorHAnsi" w:hAnsiTheme="minorHAnsi" w:cstheme="majorBidi"/>
          <w:lang w:val="fr-CH"/>
        </w:rPr>
        <w:t xml:space="preserve"> même </w:t>
      </w:r>
      <w:r>
        <w:rPr>
          <w:rFonts w:asciiTheme="minorHAnsi" w:hAnsiTheme="minorHAnsi" w:cstheme="majorBidi"/>
          <w:lang w:val="fr-CH"/>
        </w:rPr>
        <w:t>une fiche</w:t>
      </w:r>
      <w:r w:rsidR="00240D3C" w:rsidRPr="008E2D43">
        <w:rPr>
          <w:rFonts w:asciiTheme="minorHAnsi" w:hAnsiTheme="minorHAnsi" w:cstheme="majorBidi"/>
          <w:lang w:val="fr-CH"/>
        </w:rPr>
        <w:t xml:space="preserve"> de notification comportant une seule configuration </w:t>
      </w:r>
      <w:r w:rsidR="00240D3C" w:rsidRPr="000F0E78">
        <w:rPr>
          <w:rFonts w:asciiTheme="minorHAnsi" w:hAnsiTheme="minorHAnsi" w:cstheme="majorBidi"/>
          <w:lang w:val="fr-CH"/>
        </w:rPr>
        <w:t>comprenne</w:t>
      </w:r>
      <w:r w:rsidR="00240D3C" w:rsidRPr="008E2D43">
        <w:rPr>
          <w:rFonts w:asciiTheme="minorHAnsi" w:hAnsiTheme="minorHAnsi" w:cstheme="majorBidi"/>
          <w:lang w:val="fr-CH"/>
        </w:rPr>
        <w:t xml:space="preserve"> des combinaisons de modes d’exploitation</w:t>
      </w:r>
      <w:r w:rsidR="00240D3C">
        <w:rPr>
          <w:rFonts w:asciiTheme="minorHAnsi" w:hAnsiTheme="minorHAnsi" w:cstheme="majorBidi"/>
          <w:lang w:val="fr-CH"/>
        </w:rPr>
        <w:t xml:space="preserve"> </w:t>
      </w:r>
      <w:r w:rsidR="00240D3C" w:rsidRPr="008E2D43">
        <w:rPr>
          <w:rFonts w:asciiTheme="minorHAnsi" w:hAnsiTheme="minorHAnsi" w:cstheme="majorBidi"/>
          <w:lang w:val="fr-CH"/>
        </w:rPr>
        <w:t xml:space="preserve">qui ne sont pas caractéristiques des systèmes </w:t>
      </w:r>
      <w:r w:rsidR="00240D3C">
        <w:rPr>
          <w:rFonts w:asciiTheme="minorHAnsi" w:hAnsiTheme="minorHAnsi" w:cstheme="majorBidi"/>
          <w:lang w:val="fr-CH"/>
        </w:rPr>
        <w:t xml:space="preserve">non </w:t>
      </w:r>
      <w:r w:rsidR="00240D3C" w:rsidRPr="008E2D43">
        <w:rPr>
          <w:rFonts w:asciiTheme="minorHAnsi" w:hAnsiTheme="minorHAnsi" w:cstheme="majorBidi"/>
          <w:lang w:val="fr-CH"/>
        </w:rPr>
        <w:t>OSG classique</w:t>
      </w:r>
      <w:r w:rsidR="00240D3C">
        <w:rPr>
          <w:rFonts w:asciiTheme="minorHAnsi" w:hAnsiTheme="minorHAnsi" w:cstheme="majorBidi"/>
          <w:lang w:val="fr-CH"/>
        </w:rPr>
        <w:t xml:space="preserve">s. </w:t>
      </w:r>
      <w:r w:rsidR="00240D3C" w:rsidRPr="008E2D43">
        <w:rPr>
          <w:rFonts w:asciiTheme="minorHAnsi" w:hAnsiTheme="minorHAnsi" w:cstheme="majorBidi"/>
          <w:lang w:val="fr-CH"/>
        </w:rPr>
        <w:t>Ces combinaisons peuvent comprendre la subdivision de</w:t>
      </w:r>
      <w:r>
        <w:rPr>
          <w:rFonts w:asciiTheme="minorHAnsi" w:hAnsiTheme="minorHAnsi" w:cstheme="majorBidi"/>
          <w:lang w:val="fr-CH"/>
        </w:rPr>
        <w:t>s</w:t>
      </w:r>
      <w:r w:rsidR="00240D3C" w:rsidRPr="008E2D43">
        <w:rPr>
          <w:rFonts w:asciiTheme="minorHAnsi" w:hAnsiTheme="minorHAnsi" w:cstheme="majorBidi"/>
          <w:lang w:val="fr-CH"/>
        </w:rPr>
        <w:t xml:space="preserve"> plans orbitaux pour l’exploitation de différents faisceaux</w:t>
      </w:r>
      <w:r>
        <w:rPr>
          <w:rFonts w:asciiTheme="minorHAnsi" w:hAnsiTheme="minorHAnsi" w:cstheme="majorBidi"/>
          <w:lang w:val="fr-CH"/>
        </w:rPr>
        <w:t>.</w:t>
      </w:r>
    </w:p>
    <w:p w:rsidR="00240D3C" w:rsidRPr="007243C9" w:rsidRDefault="007243C9" w:rsidP="007243C9">
      <w:pPr>
        <w:pStyle w:val="enumlev1"/>
        <w:rPr>
          <w:lang w:val="fr-CH"/>
        </w:rPr>
      </w:pPr>
      <w:r w:rsidRPr="007243C9">
        <w:rPr>
          <w:rFonts w:asciiTheme="minorHAnsi" w:hAnsiTheme="minorHAnsi" w:cstheme="majorBidi"/>
          <w:lang w:val="fr-CH"/>
        </w:rPr>
        <w:t>•</w:t>
      </w:r>
      <w:r>
        <w:rPr>
          <w:rFonts w:asciiTheme="minorHAnsi" w:hAnsiTheme="minorHAnsi" w:cstheme="majorBidi"/>
          <w:lang w:val="fr-CH"/>
        </w:rPr>
        <w:tab/>
      </w:r>
      <w:r w:rsidR="00240D3C" w:rsidRPr="008E2D43">
        <w:rPr>
          <w:rFonts w:asciiTheme="minorHAnsi" w:hAnsiTheme="minorHAnsi" w:cstheme="majorBidi"/>
          <w:lang w:val="fr-CH"/>
        </w:rPr>
        <w:t xml:space="preserve">Le temps nécessaire au traitement des fiches de notification de </w:t>
      </w:r>
      <w:r w:rsidRPr="008E2D43">
        <w:rPr>
          <w:rFonts w:asciiTheme="minorHAnsi" w:hAnsiTheme="minorHAnsi" w:cstheme="majorBidi"/>
          <w:lang w:val="fr-CH"/>
        </w:rPr>
        <w:t>systèmes</w:t>
      </w:r>
      <w:r w:rsidR="00240D3C">
        <w:rPr>
          <w:rFonts w:asciiTheme="minorHAnsi" w:hAnsiTheme="minorHAnsi" w:cstheme="majorBidi"/>
          <w:lang w:val="fr-CH"/>
        </w:rPr>
        <w:t xml:space="preserve"> </w:t>
      </w:r>
      <w:r>
        <w:rPr>
          <w:rFonts w:asciiTheme="minorHAnsi" w:hAnsiTheme="minorHAnsi" w:cstheme="majorBidi"/>
          <w:lang w:val="fr-CH"/>
        </w:rPr>
        <w:t xml:space="preserve">non </w:t>
      </w:r>
      <w:r w:rsidR="00240D3C" w:rsidRPr="008E2D43">
        <w:rPr>
          <w:rFonts w:asciiTheme="minorHAnsi" w:hAnsiTheme="minorHAnsi" w:cstheme="majorBidi"/>
          <w:lang w:val="fr-CH"/>
        </w:rPr>
        <w:t>OSG</w:t>
      </w:r>
      <w:r w:rsidR="00240D3C">
        <w:rPr>
          <w:rFonts w:asciiTheme="minorHAnsi" w:hAnsiTheme="minorHAnsi" w:cstheme="majorBidi"/>
          <w:lang w:val="fr-CH"/>
        </w:rPr>
        <w:t xml:space="preserve"> </w:t>
      </w:r>
      <w:r w:rsidR="00240D3C" w:rsidRPr="008E2D43">
        <w:rPr>
          <w:rFonts w:asciiTheme="minorHAnsi" w:hAnsiTheme="minorHAnsi" w:cstheme="majorBidi"/>
          <w:lang w:val="fr-CH"/>
        </w:rPr>
        <w:t xml:space="preserve">n’est pas réduit, </w:t>
      </w:r>
      <w:r w:rsidR="00240D3C">
        <w:rPr>
          <w:rFonts w:asciiTheme="minorHAnsi" w:hAnsiTheme="minorHAnsi" w:cstheme="majorBidi"/>
          <w:lang w:val="fr-CH"/>
        </w:rPr>
        <w:t xml:space="preserve">en raison évidemment de la complexité du traitement des grands réseaux. </w:t>
      </w:r>
      <w:r w:rsidR="00240D3C" w:rsidRPr="00846D25">
        <w:rPr>
          <w:rFonts w:asciiTheme="minorHAnsi" w:hAnsiTheme="minorHAnsi" w:cstheme="majorBidi"/>
          <w:lang w:val="fr-CH"/>
        </w:rPr>
        <w:t>En conséquence, un autre facteur dissuasif est nécessaire pour</w:t>
      </w:r>
      <w:r>
        <w:rPr>
          <w:rFonts w:asciiTheme="minorHAnsi" w:hAnsiTheme="minorHAnsi" w:cstheme="majorBidi"/>
          <w:lang w:val="fr-CH"/>
        </w:rPr>
        <w:t xml:space="preserve"> les notifications de réseaux "non réalistes"</w:t>
      </w:r>
      <w:r w:rsidR="00240D3C" w:rsidRPr="00846D25">
        <w:rPr>
          <w:rFonts w:asciiTheme="minorHAnsi" w:hAnsiTheme="minorHAnsi" w:cstheme="majorBidi"/>
          <w:lang w:val="fr-CH"/>
        </w:rPr>
        <w:t xml:space="preserve"> comportant de nombre</w:t>
      </w:r>
      <w:r>
        <w:rPr>
          <w:rFonts w:asciiTheme="minorHAnsi" w:hAnsiTheme="minorHAnsi" w:cstheme="majorBidi"/>
          <w:lang w:val="fr-CH"/>
        </w:rPr>
        <w:t>uses</w:t>
      </w:r>
      <w:r w:rsidR="00240D3C" w:rsidRPr="00846D25">
        <w:rPr>
          <w:rFonts w:asciiTheme="minorHAnsi" w:hAnsiTheme="minorHAnsi" w:cstheme="majorBidi"/>
          <w:lang w:val="fr-CH"/>
        </w:rPr>
        <w:t xml:space="preserve"> combinaisons d’assignations de fréquence</w:t>
      </w:r>
      <w:r w:rsidR="00001825">
        <w:rPr>
          <w:rFonts w:asciiTheme="minorHAnsi" w:hAnsiTheme="minorHAnsi" w:cstheme="majorBidi"/>
          <w:lang w:val="fr-CH"/>
        </w:rPr>
        <w:t>.</w:t>
      </w:r>
    </w:p>
    <w:p w:rsidR="00240D3C" w:rsidRPr="00846D25" w:rsidRDefault="00240D3C" w:rsidP="007243C9">
      <w:pPr>
        <w:rPr>
          <w:lang w:val="fr-CH"/>
        </w:rPr>
      </w:pPr>
      <w:r w:rsidRPr="00846D25">
        <w:rPr>
          <w:lang w:val="fr-CH"/>
        </w:rPr>
        <w:t>E</w:t>
      </w:r>
      <w:r w:rsidR="007243C9">
        <w:rPr>
          <w:lang w:val="fr-CH"/>
        </w:rPr>
        <w:t>n conséquence, l’A</w:t>
      </w:r>
      <w:r w:rsidRPr="00846D25">
        <w:rPr>
          <w:lang w:val="fr-CH"/>
        </w:rPr>
        <w:t>dministration de la Fédération de Russie suggère que l’on envisage la possibilité d’adopter la Procédure</w:t>
      </w:r>
      <w:r>
        <w:rPr>
          <w:lang w:val="fr-CH"/>
        </w:rPr>
        <w:t xml:space="preserve"> </w:t>
      </w:r>
      <w:r w:rsidRPr="00846D25">
        <w:rPr>
          <w:lang w:val="fr-CH"/>
        </w:rPr>
        <w:t>B</w:t>
      </w:r>
      <w:r w:rsidR="007243C9">
        <w:rPr>
          <w:lang w:val="fr-CH"/>
        </w:rPr>
        <w:t xml:space="preserve"> qui, appliquée en association</w:t>
      </w:r>
      <w:r w:rsidRPr="00846D25">
        <w:rPr>
          <w:lang w:val="fr-CH"/>
        </w:rPr>
        <w:t xml:space="preserve"> avec la Procédure A, permettra de remédier</w:t>
      </w:r>
      <w:r>
        <w:rPr>
          <w:lang w:val="fr-CH"/>
        </w:rPr>
        <w:t xml:space="preserve"> aux disparités</w:t>
      </w:r>
      <w:r w:rsidRPr="00846D25">
        <w:rPr>
          <w:lang w:val="fr-CH"/>
        </w:rPr>
        <w:t xml:space="preserve"> entre les coûts</w:t>
      </w:r>
      <w:r>
        <w:rPr>
          <w:lang w:val="fr-CH"/>
        </w:rPr>
        <w:t xml:space="preserve"> </w:t>
      </w:r>
      <w:r w:rsidRPr="00846D25">
        <w:rPr>
          <w:lang w:val="fr-CH"/>
        </w:rPr>
        <w:t>encouru</w:t>
      </w:r>
      <w:r>
        <w:rPr>
          <w:lang w:val="fr-CH"/>
        </w:rPr>
        <w:t xml:space="preserve">s </w:t>
      </w:r>
      <w:r w:rsidRPr="00846D25">
        <w:rPr>
          <w:lang w:val="fr-CH"/>
        </w:rPr>
        <w:t>par le Bureau pour</w:t>
      </w:r>
      <w:r>
        <w:rPr>
          <w:lang w:val="fr-CH"/>
        </w:rPr>
        <w:t xml:space="preserve"> le traitement des </w:t>
      </w:r>
      <w:r w:rsidRPr="00846D25">
        <w:rPr>
          <w:lang w:val="fr-CH"/>
        </w:rPr>
        <w:t xml:space="preserve">fiches de notification de systèmes non OSG complexes </w:t>
      </w:r>
      <w:r>
        <w:rPr>
          <w:lang w:val="fr-CH"/>
        </w:rPr>
        <w:t xml:space="preserve">et le recouvrement des coûts pour ces fiches de notification. </w:t>
      </w:r>
      <w:r w:rsidRPr="00846D25">
        <w:rPr>
          <w:lang w:val="fr-CH"/>
        </w:rPr>
        <w:t>Cette procédure devrait également permettre de réduire le</w:t>
      </w:r>
      <w:r>
        <w:rPr>
          <w:lang w:val="fr-CH"/>
        </w:rPr>
        <w:t xml:space="preserve"> laps </w:t>
      </w:r>
      <w:r w:rsidRPr="00846D25">
        <w:rPr>
          <w:lang w:val="fr-CH"/>
        </w:rPr>
        <w:t xml:space="preserve">de temps </w:t>
      </w:r>
      <w:r w:rsidR="007243C9">
        <w:rPr>
          <w:lang w:val="fr-CH"/>
        </w:rPr>
        <w:t>requis pour le</w:t>
      </w:r>
      <w:r w:rsidRPr="00846D25">
        <w:rPr>
          <w:lang w:val="fr-CH"/>
        </w:rPr>
        <w:t xml:space="preserve"> traitement des fiches de notification, étant donné</w:t>
      </w:r>
      <w:r>
        <w:rPr>
          <w:lang w:val="fr-CH"/>
        </w:rPr>
        <w:t xml:space="preserve"> qu’il </w:t>
      </w:r>
      <w:r w:rsidR="007243C9">
        <w:rPr>
          <w:lang w:val="fr-CH"/>
        </w:rPr>
        <w:t>ne sera plus</w:t>
      </w:r>
      <w:r>
        <w:rPr>
          <w:lang w:val="fr-CH"/>
        </w:rPr>
        <w:t xml:space="preserve"> rentable de notifier des systèmes non OSG non réalistes</w:t>
      </w:r>
      <w:r w:rsidR="007243C9">
        <w:rPr>
          <w:lang w:val="fr-CH"/>
        </w:rPr>
        <w:t>.</w:t>
      </w:r>
    </w:p>
    <w:p w:rsidR="00240D3C" w:rsidRPr="00846D25" w:rsidRDefault="007243C9" w:rsidP="007243C9">
      <w:pPr>
        <w:rPr>
          <w:rFonts w:cstheme="majorBidi"/>
          <w:lang w:val="fr-CH"/>
        </w:rPr>
      </w:pPr>
      <w:r>
        <w:rPr>
          <w:rFonts w:cstheme="majorBidi"/>
          <w:lang w:val="fr-CH"/>
        </w:rPr>
        <w:t>I</w:t>
      </w:r>
      <w:r w:rsidR="00240D3C" w:rsidRPr="00846D25">
        <w:rPr>
          <w:rFonts w:cstheme="majorBidi"/>
          <w:lang w:val="fr-CH"/>
        </w:rPr>
        <w:t>l y a lieu de noter que l’application de la Procédure</w:t>
      </w:r>
      <w:r w:rsidR="00240D3C">
        <w:rPr>
          <w:rFonts w:cstheme="majorBidi"/>
          <w:lang w:val="fr-CH"/>
        </w:rPr>
        <w:t xml:space="preserve"> </w:t>
      </w:r>
      <w:r w:rsidR="00240D3C" w:rsidRPr="00846D25">
        <w:rPr>
          <w:rFonts w:cstheme="majorBidi"/>
          <w:lang w:val="fr-CH"/>
        </w:rPr>
        <w:t xml:space="preserve">A, qui consiste à </w:t>
      </w:r>
      <w:r w:rsidR="00240D3C" w:rsidRPr="00846D25">
        <w:rPr>
          <w:lang w:val="fr-CH"/>
        </w:rPr>
        <w:t>calculer séparément les droits pour les configurations qui s'excluent mutuellement d’un réseau non OSG</w:t>
      </w:r>
      <w:r w:rsidR="00240D3C">
        <w:rPr>
          <w:lang w:val="fr-CH"/>
        </w:rPr>
        <w:t xml:space="preserve"> </w:t>
      </w:r>
      <w:r w:rsidR="00240D3C" w:rsidRPr="00846D25">
        <w:rPr>
          <w:lang w:val="fr-CH"/>
        </w:rPr>
        <w:t>et à additionner ces droits</w:t>
      </w:r>
      <w:r w:rsidR="00240D3C">
        <w:rPr>
          <w:lang w:val="fr-CH"/>
        </w:rPr>
        <w:t>, aura pour effet de limiter</w:t>
      </w:r>
      <w:r w:rsidR="00240D3C" w:rsidRPr="00846D25">
        <w:rPr>
          <w:lang w:val="fr-CH"/>
        </w:rPr>
        <w:t xml:space="preserve"> </w:t>
      </w:r>
      <w:r w:rsidR="00240D3C" w:rsidRPr="008A7549">
        <w:rPr>
          <w:lang w:val="fr-CH"/>
        </w:rPr>
        <w:t xml:space="preserve">les coûts maximaux </w:t>
      </w:r>
      <w:r w:rsidR="00240D3C">
        <w:rPr>
          <w:lang w:val="fr-CH"/>
        </w:rPr>
        <w:t>selon la Procédure B, en raison des contraintes physiques qui empêchent de notifier un nombre infini d’assignations de fréquence dans une configuration unique</w:t>
      </w:r>
      <w:r>
        <w:rPr>
          <w:lang w:val="fr-CH"/>
        </w:rPr>
        <w:t>.</w:t>
      </w:r>
    </w:p>
    <w:p w:rsidR="00240D3C" w:rsidRPr="008A7549" w:rsidRDefault="00240D3C" w:rsidP="007243C9">
      <w:pPr>
        <w:rPr>
          <w:lang w:val="fr-CH"/>
        </w:rPr>
      </w:pPr>
      <w:r w:rsidRPr="008A7549">
        <w:rPr>
          <w:lang w:val="fr-CH"/>
        </w:rPr>
        <w:t>En outre, pour empêcher que des droits indûment élevés ne soient facturés dans le cadre de l’application de la Procédure</w:t>
      </w:r>
      <w:r>
        <w:rPr>
          <w:lang w:val="fr-CH"/>
        </w:rPr>
        <w:t xml:space="preserve"> </w:t>
      </w:r>
      <w:r w:rsidRPr="008A7549">
        <w:rPr>
          <w:lang w:val="fr-CH"/>
        </w:rPr>
        <w:t xml:space="preserve">B, </w:t>
      </w:r>
      <w:r>
        <w:rPr>
          <w:lang w:val="fr-CH"/>
        </w:rPr>
        <w:t xml:space="preserve">il est possible d’assujettir à une limite le nombre maximal d’unités, comme le propose le Groupe de travail </w:t>
      </w:r>
      <w:r w:rsidRPr="008A7549">
        <w:rPr>
          <w:lang w:val="fr-CH"/>
        </w:rPr>
        <w:t>4A</w:t>
      </w:r>
      <w:r>
        <w:rPr>
          <w:lang w:val="fr-CH"/>
        </w:rPr>
        <w:t xml:space="preserve"> de l’UIT-R </w:t>
      </w:r>
      <w:r w:rsidRPr="008A7549">
        <w:rPr>
          <w:lang w:val="fr-CH"/>
        </w:rPr>
        <w:t>(Addendum 1</w:t>
      </w:r>
      <w:r>
        <w:rPr>
          <w:lang w:val="fr-CH"/>
        </w:rPr>
        <w:t xml:space="preserve"> au </w:t>
      </w:r>
      <w:r w:rsidRPr="008A7549">
        <w:rPr>
          <w:lang w:val="fr-CH"/>
        </w:rPr>
        <w:t xml:space="preserve">Document C18/36), </w:t>
      </w:r>
      <w:r>
        <w:rPr>
          <w:lang w:val="fr-CH"/>
        </w:rPr>
        <w:t>au-delà de laquelle un droit fixe sera appliqué</w:t>
      </w:r>
      <w:r w:rsidR="007243C9">
        <w:rPr>
          <w:lang w:val="fr-CH"/>
        </w:rPr>
        <w:t>.</w:t>
      </w:r>
    </w:p>
    <w:p w:rsidR="00240D3C" w:rsidRPr="007243C9" w:rsidRDefault="007243C9" w:rsidP="007243C9">
      <w:pPr>
        <w:rPr>
          <w:lang w:val="fr-CH"/>
        </w:rPr>
      </w:pPr>
      <w:proofErr w:type="spellStart"/>
      <w:r>
        <w:rPr>
          <w:lang w:val="fr-CH"/>
        </w:rPr>
        <w:t>E</w:t>
      </w:r>
      <w:r w:rsidR="00240D3C" w:rsidRPr="00F46577">
        <w:rPr>
          <w:lang w:val="fr-CH"/>
        </w:rPr>
        <w:t>tant</w:t>
      </w:r>
      <w:proofErr w:type="spellEnd"/>
      <w:r w:rsidR="00240D3C" w:rsidRPr="00F46577">
        <w:rPr>
          <w:lang w:val="fr-CH"/>
        </w:rPr>
        <w:t xml:space="preserve"> donné que l’on dispose de peu de données statistiques sur l’application des </w:t>
      </w:r>
      <w:r w:rsidR="00240D3C" w:rsidRPr="00F46577">
        <w:rPr>
          <w:color w:val="000000"/>
          <w:lang w:val="fr-CH"/>
        </w:rPr>
        <w:t>limites d'</w:t>
      </w:r>
      <w:proofErr w:type="spellStart"/>
      <w:r w:rsidR="00240D3C" w:rsidRPr="00F46577">
        <w:rPr>
          <w:color w:val="000000"/>
          <w:lang w:val="fr-CH"/>
        </w:rPr>
        <w:t>epfd</w:t>
      </w:r>
      <w:proofErr w:type="spellEnd"/>
      <w:r w:rsidR="00240D3C" w:rsidRPr="00F46577">
        <w:rPr>
          <w:color w:val="000000"/>
          <w:lang w:val="fr-CH"/>
        </w:rPr>
        <w:t xml:space="preserve"> prescrites dans l’</w:t>
      </w:r>
      <w:r w:rsidR="00240D3C" w:rsidRPr="00F46577">
        <w:rPr>
          <w:lang w:val="fr-CH"/>
        </w:rPr>
        <w:t xml:space="preserve">Article 22 </w:t>
      </w:r>
      <w:r w:rsidR="00240D3C">
        <w:rPr>
          <w:lang w:val="fr-CH"/>
        </w:rPr>
        <w:t>du Règlement des radiocommunications, la Fédération de Russie considère qu’il est essentiel de mener</w:t>
      </w:r>
      <w:r w:rsidR="00240D3C" w:rsidRPr="00F46577">
        <w:rPr>
          <w:lang w:val="fr-CH"/>
        </w:rPr>
        <w:t xml:space="preserve"> </w:t>
      </w:r>
      <w:r w:rsidR="00240D3C">
        <w:rPr>
          <w:lang w:val="fr-CH"/>
        </w:rPr>
        <w:t xml:space="preserve">d’urgence des études complémentaires sur la mise en œuvre de la Procédure C, à partir de données statistiques actualisées. </w:t>
      </w:r>
      <w:r>
        <w:rPr>
          <w:lang w:val="fr-CH"/>
        </w:rPr>
        <w:t>Comme</w:t>
      </w:r>
      <w:r w:rsidR="00240D3C" w:rsidRPr="00F46577">
        <w:rPr>
          <w:lang w:val="fr-CH"/>
        </w:rPr>
        <w:t xml:space="preserve"> la création d’un groupe spécial d’experts chargé de procéder </w:t>
      </w:r>
      <w:r>
        <w:rPr>
          <w:lang w:val="fr-CH"/>
        </w:rPr>
        <w:t>à ces études urgentes imposera une charge financière additionnelle</w:t>
      </w:r>
      <w:r w:rsidR="00240D3C" w:rsidRPr="00F46577">
        <w:rPr>
          <w:lang w:val="fr-CH"/>
        </w:rPr>
        <w:t>,</w:t>
      </w:r>
      <w:r w:rsidR="00240D3C">
        <w:rPr>
          <w:lang w:val="fr-CH"/>
        </w:rPr>
        <w:t xml:space="preserve"> </w:t>
      </w:r>
      <w:r w:rsidR="00240D3C" w:rsidRPr="00F46577">
        <w:rPr>
          <w:lang w:val="fr-CH"/>
        </w:rPr>
        <w:t>tant au</w:t>
      </w:r>
      <w:r w:rsidR="00240D3C">
        <w:rPr>
          <w:lang w:val="fr-CH"/>
        </w:rPr>
        <w:t xml:space="preserve"> </w:t>
      </w:r>
      <w:r w:rsidR="00240D3C" w:rsidRPr="00F46577">
        <w:rPr>
          <w:lang w:val="fr-CH"/>
        </w:rPr>
        <w:t>Bureau des radiocommunications qu’aux</w:t>
      </w:r>
      <w:r w:rsidR="00240D3C">
        <w:rPr>
          <w:lang w:val="fr-CH"/>
        </w:rPr>
        <w:t xml:space="preserve"> </w:t>
      </w:r>
      <w:r w:rsidR="00001825">
        <w:rPr>
          <w:lang w:val="fr-CH"/>
        </w:rPr>
        <w:t>M</w:t>
      </w:r>
      <w:r w:rsidR="00240D3C" w:rsidRPr="00F46577">
        <w:rPr>
          <w:lang w:val="fr-CH"/>
        </w:rPr>
        <w:t xml:space="preserve">embres de l’UIT, nous </w:t>
      </w:r>
      <w:r w:rsidR="00240D3C">
        <w:rPr>
          <w:lang w:val="fr-CH"/>
        </w:rPr>
        <w:t xml:space="preserve">pensons </w:t>
      </w:r>
      <w:r w:rsidR="00240D3C" w:rsidRPr="00F46577">
        <w:rPr>
          <w:lang w:val="fr-CH"/>
        </w:rPr>
        <w:t>que ces études</w:t>
      </w:r>
      <w:r w:rsidR="00240D3C">
        <w:rPr>
          <w:lang w:val="fr-CH"/>
        </w:rPr>
        <w:t xml:space="preserve"> peuvent être effectuées dans le cadre des groupes de travail compétents de l’UIT-R </w:t>
      </w:r>
      <w:r w:rsidR="00240D3C" w:rsidRPr="00F46577">
        <w:rPr>
          <w:lang w:val="fr-CH"/>
        </w:rPr>
        <w:t>(</w:t>
      </w:r>
      <w:r w:rsidR="00240D3C">
        <w:rPr>
          <w:lang w:val="fr-CH"/>
        </w:rPr>
        <w:t>GT</w:t>
      </w:r>
      <w:r w:rsidR="00240D3C" w:rsidRPr="00F46577">
        <w:rPr>
          <w:lang w:val="fr-CH"/>
        </w:rPr>
        <w:t xml:space="preserve"> 4A, 4B, 4C, 7B</w:t>
      </w:r>
      <w:r w:rsidR="00240D3C">
        <w:rPr>
          <w:lang w:val="fr-CH"/>
        </w:rPr>
        <w:t xml:space="preserve"> et </w:t>
      </w:r>
      <w:r w:rsidR="00240D3C" w:rsidRPr="00F46577">
        <w:rPr>
          <w:lang w:val="fr-CH"/>
        </w:rPr>
        <w:t xml:space="preserve">7C) </w:t>
      </w:r>
      <w:r w:rsidR="00240D3C">
        <w:rPr>
          <w:lang w:val="fr-CH"/>
        </w:rPr>
        <w:t xml:space="preserve">et d’autres instances de l’UIT </w:t>
      </w:r>
      <w:r w:rsidR="00240D3C" w:rsidRPr="00F46577">
        <w:rPr>
          <w:lang w:val="fr-CH"/>
        </w:rPr>
        <w:t>(RRB</w:t>
      </w:r>
      <w:r w:rsidR="00240D3C">
        <w:rPr>
          <w:lang w:val="fr-CH"/>
        </w:rPr>
        <w:t xml:space="preserve"> et </w:t>
      </w:r>
      <w:r w:rsidR="00240D3C">
        <w:rPr>
          <w:color w:val="000000"/>
          <w:lang w:val="fr-CH"/>
        </w:rPr>
        <w:t>GTC</w:t>
      </w:r>
      <w:r w:rsidR="00240D3C" w:rsidRPr="00F46577">
        <w:rPr>
          <w:color w:val="000000"/>
          <w:lang w:val="fr-CH"/>
        </w:rPr>
        <w:t>-FHR</w:t>
      </w:r>
      <w:r w:rsidR="00240D3C">
        <w:rPr>
          <w:color w:val="000000"/>
          <w:lang w:val="fr-CH"/>
        </w:rPr>
        <w:t xml:space="preserve"> par exemple</w:t>
      </w:r>
      <w:r w:rsidR="00240D3C" w:rsidRPr="00F46577">
        <w:rPr>
          <w:color w:val="000000"/>
          <w:lang w:val="fr-CH"/>
        </w:rPr>
        <w:t>)</w:t>
      </w:r>
      <w:r w:rsidR="00240D3C">
        <w:rPr>
          <w:color w:val="000000"/>
          <w:lang w:val="fr-CH"/>
        </w:rPr>
        <w:t xml:space="preserve">, conformément à leurs mandats respectifs. </w:t>
      </w:r>
      <w:r w:rsidR="00240D3C" w:rsidRPr="00F46577">
        <w:rPr>
          <w:color w:val="000000"/>
          <w:lang w:val="fr-CH"/>
        </w:rPr>
        <w:t>De l’avis de la Fédération de Russie, il conviendrait également d’examiner les conditions régissant l’application de la Procédu</w:t>
      </w:r>
      <w:r>
        <w:rPr>
          <w:color w:val="000000"/>
          <w:lang w:val="fr-CH"/>
        </w:rPr>
        <w:t>re C aux fiches de notification</w:t>
      </w:r>
      <w:r w:rsidR="00240D3C" w:rsidRPr="00F46577">
        <w:rPr>
          <w:color w:val="000000"/>
          <w:lang w:val="fr-CH"/>
        </w:rPr>
        <w:t xml:space="preserve"> reçues par le BR, mais qui n’ont pas été examiné</w:t>
      </w:r>
      <w:r w:rsidR="00240D3C">
        <w:rPr>
          <w:color w:val="000000"/>
          <w:lang w:val="fr-CH"/>
        </w:rPr>
        <w:t>es</w:t>
      </w:r>
      <w:r w:rsidR="00240D3C" w:rsidRPr="00F46577">
        <w:rPr>
          <w:color w:val="000000"/>
          <w:lang w:val="fr-CH"/>
        </w:rPr>
        <w:t xml:space="preserve"> afin de vérifier</w:t>
      </w:r>
      <w:r w:rsidR="00240D3C">
        <w:rPr>
          <w:color w:val="000000"/>
          <w:lang w:val="fr-CH"/>
        </w:rPr>
        <w:t xml:space="preserve"> qu’elles respectent les limites</w:t>
      </w:r>
      <w:r w:rsidR="00240D3C" w:rsidRPr="00F46577">
        <w:rPr>
          <w:color w:val="000000"/>
          <w:lang w:val="fr-CH"/>
        </w:rPr>
        <w:t xml:space="preserve"> d'</w:t>
      </w:r>
      <w:proofErr w:type="spellStart"/>
      <w:r w:rsidR="00240D3C" w:rsidRPr="00F46577">
        <w:rPr>
          <w:color w:val="000000"/>
          <w:lang w:val="fr-CH"/>
        </w:rPr>
        <w:t>epfd</w:t>
      </w:r>
      <w:proofErr w:type="spellEnd"/>
      <w:r w:rsidR="00240D3C" w:rsidRPr="00F46577">
        <w:rPr>
          <w:color w:val="000000"/>
          <w:lang w:val="fr-CH"/>
        </w:rPr>
        <w:t xml:space="preserve"> fixées dans l'Article 22 </w:t>
      </w:r>
      <w:r w:rsidR="00240D3C">
        <w:rPr>
          <w:color w:val="000000"/>
          <w:lang w:val="fr-CH"/>
        </w:rPr>
        <w:t xml:space="preserve">au moment de l’entrée en vigueur de la </w:t>
      </w:r>
      <w:r w:rsidRPr="00F46577">
        <w:rPr>
          <w:lang w:val="fr-CH"/>
        </w:rPr>
        <w:t>Procédure</w:t>
      </w:r>
      <w:r w:rsidR="00240D3C" w:rsidRPr="00F46577">
        <w:rPr>
          <w:lang w:val="fr-CH"/>
        </w:rPr>
        <w:t xml:space="preserve"> C.</w:t>
      </w:r>
    </w:p>
    <w:p w:rsidR="00240D3C" w:rsidRPr="00573108" w:rsidRDefault="00240D3C" w:rsidP="007243C9">
      <w:pPr>
        <w:pStyle w:val="Headingb"/>
      </w:pPr>
      <w:r>
        <w:lastRenderedPageBreak/>
        <w:t>Conclusion</w:t>
      </w:r>
    </w:p>
    <w:p w:rsidR="00240D3C" w:rsidRPr="00F46577" w:rsidRDefault="00240D3C" w:rsidP="0000182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rPr>
          <w:rFonts w:asciiTheme="minorHAnsi" w:hAnsiTheme="minorHAnsi" w:cstheme="majorBidi"/>
          <w:lang w:val="fr-CH"/>
        </w:rPr>
      </w:pPr>
      <w:r w:rsidRPr="00F46577">
        <w:rPr>
          <w:rFonts w:asciiTheme="minorHAnsi" w:hAnsiTheme="minorHAnsi" w:cstheme="majorBidi"/>
          <w:lang w:val="fr-CH"/>
        </w:rPr>
        <w:t>La Fédération de Russie considère que l’adoption des</w:t>
      </w:r>
      <w:r>
        <w:rPr>
          <w:rFonts w:asciiTheme="minorHAnsi" w:hAnsiTheme="minorHAnsi" w:cstheme="majorBidi"/>
          <w:lang w:val="fr-CH"/>
        </w:rPr>
        <w:t xml:space="preserve"> </w:t>
      </w:r>
      <w:r w:rsidRPr="00F46577">
        <w:rPr>
          <w:rFonts w:asciiTheme="minorHAnsi" w:hAnsiTheme="minorHAnsi" w:cstheme="majorBidi"/>
          <w:lang w:val="fr-CH"/>
        </w:rPr>
        <w:t>propositions de modification de la Décision</w:t>
      </w:r>
      <w:r w:rsidR="00B877BD">
        <w:rPr>
          <w:rFonts w:asciiTheme="minorHAnsi" w:hAnsiTheme="minorHAnsi" w:cstheme="majorBidi"/>
          <w:lang w:val="fr-CH"/>
        </w:rPr>
        <w:t> </w:t>
      </w:r>
      <w:r w:rsidRPr="00F46577">
        <w:rPr>
          <w:rFonts w:asciiTheme="minorHAnsi" w:hAnsiTheme="minorHAnsi" w:cstheme="majorBidi"/>
          <w:lang w:val="fr-CH"/>
        </w:rPr>
        <w:t>482 (modifiée en 2017)</w:t>
      </w:r>
      <w:r>
        <w:rPr>
          <w:rFonts w:asciiTheme="minorHAnsi" w:hAnsiTheme="minorHAnsi" w:cstheme="majorBidi"/>
          <w:lang w:val="fr-CH"/>
        </w:rPr>
        <w:t>,</w:t>
      </w:r>
      <w:r w:rsidRPr="00F46577">
        <w:rPr>
          <w:rFonts w:asciiTheme="minorHAnsi" w:hAnsiTheme="minorHAnsi" w:cstheme="majorBidi"/>
          <w:lang w:val="fr-CH"/>
        </w:rPr>
        <w:t xml:space="preserve"> </w:t>
      </w:r>
      <w:r w:rsidR="007243C9">
        <w:rPr>
          <w:rFonts w:asciiTheme="minorHAnsi" w:hAnsiTheme="minorHAnsi" w:cstheme="majorBidi"/>
          <w:lang w:val="fr-CH"/>
        </w:rPr>
        <w:t>visant à</w:t>
      </w:r>
      <w:r w:rsidRPr="00F46577">
        <w:rPr>
          <w:rFonts w:asciiTheme="minorHAnsi" w:hAnsiTheme="minorHAnsi" w:cstheme="majorBidi"/>
          <w:lang w:val="fr-CH"/>
        </w:rPr>
        <w:t xml:space="preserve"> mettre en œuvre les</w:t>
      </w:r>
      <w:r>
        <w:rPr>
          <w:rFonts w:asciiTheme="minorHAnsi" w:hAnsiTheme="minorHAnsi" w:cstheme="majorBidi"/>
          <w:lang w:val="fr-CH"/>
        </w:rPr>
        <w:t xml:space="preserve"> </w:t>
      </w:r>
      <w:r w:rsidR="007243C9" w:rsidRPr="00F46577">
        <w:rPr>
          <w:rFonts w:asciiTheme="minorHAnsi" w:hAnsiTheme="minorHAnsi" w:cstheme="majorBidi"/>
          <w:lang w:val="fr-CH"/>
        </w:rPr>
        <w:t>Procédures</w:t>
      </w:r>
      <w:r w:rsidRPr="00F46577">
        <w:rPr>
          <w:rFonts w:asciiTheme="minorHAnsi" w:hAnsiTheme="minorHAnsi" w:cstheme="majorBidi"/>
          <w:lang w:val="fr-CH"/>
        </w:rPr>
        <w:t xml:space="preserve"> A</w:t>
      </w:r>
      <w:r>
        <w:rPr>
          <w:rFonts w:asciiTheme="minorHAnsi" w:hAnsiTheme="minorHAnsi" w:cstheme="majorBidi"/>
          <w:lang w:val="fr-CH"/>
        </w:rPr>
        <w:t xml:space="preserve"> </w:t>
      </w:r>
      <w:r w:rsidRPr="00F46577">
        <w:rPr>
          <w:rFonts w:asciiTheme="minorHAnsi" w:hAnsiTheme="minorHAnsi" w:cstheme="majorBidi"/>
          <w:lang w:val="fr-CH"/>
        </w:rPr>
        <w:t>et</w:t>
      </w:r>
      <w:r>
        <w:rPr>
          <w:rFonts w:asciiTheme="minorHAnsi" w:hAnsiTheme="minorHAnsi" w:cstheme="majorBidi"/>
          <w:lang w:val="fr-CH"/>
        </w:rPr>
        <w:t xml:space="preserve"> </w:t>
      </w:r>
      <w:r w:rsidRPr="00F46577">
        <w:rPr>
          <w:rFonts w:asciiTheme="minorHAnsi" w:hAnsiTheme="minorHAnsi" w:cstheme="majorBidi"/>
          <w:lang w:val="fr-CH"/>
        </w:rPr>
        <w:t xml:space="preserve">B, telles </w:t>
      </w:r>
      <w:r w:rsidR="007243C9">
        <w:rPr>
          <w:rFonts w:asciiTheme="minorHAnsi" w:hAnsiTheme="minorHAnsi" w:cstheme="majorBidi"/>
          <w:lang w:val="fr-CH"/>
        </w:rPr>
        <w:t>que</w:t>
      </w:r>
      <w:r w:rsidRPr="00F46577">
        <w:rPr>
          <w:rFonts w:asciiTheme="minorHAnsi" w:hAnsiTheme="minorHAnsi" w:cstheme="majorBidi"/>
          <w:lang w:val="fr-CH"/>
        </w:rPr>
        <w:t xml:space="preserve"> présentées par le Bureau des radiocommunications dans le</w:t>
      </w:r>
      <w:r>
        <w:rPr>
          <w:rFonts w:asciiTheme="minorHAnsi" w:hAnsiTheme="minorHAnsi" w:cstheme="majorBidi"/>
          <w:lang w:val="fr-CH"/>
        </w:rPr>
        <w:t xml:space="preserve"> </w:t>
      </w:r>
      <w:r w:rsidRPr="00F46577">
        <w:rPr>
          <w:rFonts w:asciiTheme="minorHAnsi" w:hAnsiTheme="minorHAnsi" w:cstheme="majorBidi"/>
          <w:lang w:val="fr-CH"/>
        </w:rPr>
        <w:t xml:space="preserve">Document C18/36 </w:t>
      </w:r>
      <w:r w:rsidR="00B877BD">
        <w:rPr>
          <w:rFonts w:asciiTheme="minorHAnsi" w:hAnsiTheme="minorHAnsi" w:cstheme="majorBidi"/>
          <w:lang w:val="fr-CH"/>
        </w:rPr>
        <w:t>et complétées par le </w:t>
      </w:r>
      <w:r>
        <w:rPr>
          <w:rFonts w:asciiTheme="minorHAnsi" w:hAnsiTheme="minorHAnsi" w:cstheme="majorBidi"/>
          <w:lang w:val="fr-CH"/>
        </w:rPr>
        <w:t>GT</w:t>
      </w:r>
      <w:r w:rsidRPr="00F46577">
        <w:rPr>
          <w:rFonts w:asciiTheme="minorHAnsi" w:hAnsiTheme="minorHAnsi" w:cstheme="majorBidi"/>
          <w:lang w:val="fr-CH"/>
        </w:rPr>
        <w:t xml:space="preserve"> 4A</w:t>
      </w:r>
      <w:r>
        <w:rPr>
          <w:rFonts w:asciiTheme="minorHAnsi" w:hAnsiTheme="minorHAnsi" w:cstheme="majorBidi"/>
          <w:lang w:val="fr-CH"/>
        </w:rPr>
        <w:t xml:space="preserve"> de l’UIT-R, permettra de remédier aux disparités entre les coûts à la charge du Bureau pour le traitement des fiches de notification </w:t>
      </w:r>
      <w:r w:rsidR="007243C9">
        <w:rPr>
          <w:rFonts w:asciiTheme="minorHAnsi" w:hAnsiTheme="minorHAnsi" w:cstheme="majorBidi"/>
          <w:lang w:val="fr-CH"/>
        </w:rPr>
        <w:t>de</w:t>
      </w:r>
      <w:r>
        <w:rPr>
          <w:rFonts w:asciiTheme="minorHAnsi" w:hAnsiTheme="minorHAnsi" w:cstheme="majorBidi"/>
          <w:lang w:val="fr-CH"/>
        </w:rPr>
        <w:t xml:space="preserve"> systèmes non OSG complexes et le recouvrement des coûts pour </w:t>
      </w:r>
      <w:r w:rsidR="007243C9">
        <w:rPr>
          <w:rFonts w:asciiTheme="minorHAnsi" w:hAnsiTheme="minorHAnsi" w:cstheme="majorBidi"/>
          <w:lang w:val="fr-CH"/>
        </w:rPr>
        <w:t>ces fiches de notification.</w:t>
      </w:r>
      <w:r>
        <w:rPr>
          <w:rFonts w:asciiTheme="minorHAnsi" w:hAnsiTheme="minorHAnsi" w:cstheme="majorBidi"/>
          <w:lang w:val="fr-CH"/>
        </w:rPr>
        <w:t xml:space="preserve"> </w:t>
      </w:r>
      <w:r w:rsidRPr="00F46577">
        <w:rPr>
          <w:rFonts w:asciiTheme="minorHAnsi" w:hAnsiTheme="minorHAnsi" w:cstheme="majorBidi"/>
          <w:lang w:val="fr-CH"/>
        </w:rPr>
        <w:t>En outre, cela contribuera à</w:t>
      </w:r>
      <w:r>
        <w:rPr>
          <w:rFonts w:asciiTheme="minorHAnsi" w:hAnsiTheme="minorHAnsi" w:cstheme="majorBidi"/>
          <w:lang w:val="fr-CH"/>
        </w:rPr>
        <w:t xml:space="preserve"> </w:t>
      </w:r>
      <w:r w:rsidRPr="00846D25">
        <w:rPr>
          <w:rFonts w:asciiTheme="minorHAnsi" w:hAnsiTheme="minorHAnsi" w:cstheme="majorBidi"/>
          <w:lang w:val="fr-CH"/>
        </w:rPr>
        <w:t>réduire le</w:t>
      </w:r>
      <w:r>
        <w:rPr>
          <w:rFonts w:asciiTheme="minorHAnsi" w:hAnsiTheme="minorHAnsi" w:cstheme="majorBidi"/>
          <w:lang w:val="fr-CH"/>
        </w:rPr>
        <w:t xml:space="preserve"> laps </w:t>
      </w:r>
      <w:r w:rsidRPr="00846D25">
        <w:rPr>
          <w:rFonts w:asciiTheme="minorHAnsi" w:hAnsiTheme="minorHAnsi" w:cstheme="majorBidi"/>
          <w:lang w:val="fr-CH"/>
        </w:rPr>
        <w:t>de temps nécessaire au traitement des fiches de notification, étant donné</w:t>
      </w:r>
      <w:r>
        <w:rPr>
          <w:rFonts w:asciiTheme="minorHAnsi" w:hAnsiTheme="minorHAnsi" w:cstheme="majorBidi"/>
          <w:lang w:val="fr-CH"/>
        </w:rPr>
        <w:t xml:space="preserve"> qu’il ne sera pas économiquement </w:t>
      </w:r>
      <w:r>
        <w:rPr>
          <w:lang w:val="fr-CH"/>
        </w:rPr>
        <w:t>rentable de notifier des systèmes non OSG non réalistes</w:t>
      </w:r>
      <w:r w:rsidR="007243C9">
        <w:rPr>
          <w:rFonts w:asciiTheme="minorHAnsi" w:hAnsiTheme="minorHAnsi" w:cstheme="majorBidi"/>
          <w:lang w:val="fr-CH"/>
        </w:rPr>
        <w:t>.</w:t>
      </w:r>
    </w:p>
    <w:p w:rsidR="00240D3C" w:rsidRDefault="00240D3C" w:rsidP="007243C9">
      <w:pPr>
        <w:rPr>
          <w:color w:val="000000"/>
          <w:lang w:val="fr-CH"/>
        </w:rPr>
      </w:pPr>
      <w:r w:rsidRPr="00B10783">
        <w:rPr>
          <w:lang w:val="fr-CH"/>
        </w:rPr>
        <w:t>Pour ce qui est de la Procédure</w:t>
      </w:r>
      <w:r>
        <w:rPr>
          <w:lang w:val="fr-CH"/>
        </w:rPr>
        <w:t xml:space="preserve"> </w:t>
      </w:r>
      <w:r w:rsidRPr="00B10783">
        <w:rPr>
          <w:lang w:val="fr-CH"/>
        </w:rPr>
        <w:t xml:space="preserve">C, la Fédération de Russie considère que des études complémentaires doivent être entreprises d’urgence, avec le concours des groupes de travail compétents de l’UIT-R </w:t>
      </w:r>
      <w:r>
        <w:rPr>
          <w:rFonts w:asciiTheme="minorHAnsi" w:hAnsiTheme="minorHAnsi" w:cstheme="majorBidi"/>
          <w:lang w:val="fr-CH"/>
        </w:rPr>
        <w:t xml:space="preserve">et d’autres instances de l’UIT </w:t>
      </w:r>
      <w:r w:rsidRPr="00F46577">
        <w:rPr>
          <w:rFonts w:asciiTheme="minorHAnsi" w:hAnsiTheme="minorHAnsi" w:cstheme="majorBidi"/>
          <w:lang w:val="fr-CH"/>
        </w:rPr>
        <w:t>(</w:t>
      </w:r>
      <w:r>
        <w:rPr>
          <w:rFonts w:asciiTheme="minorHAnsi" w:hAnsiTheme="minorHAnsi" w:cstheme="majorBidi"/>
          <w:lang w:val="fr-CH"/>
        </w:rPr>
        <w:t xml:space="preserve"> </w:t>
      </w:r>
      <w:r w:rsidRPr="00F46577">
        <w:rPr>
          <w:rFonts w:asciiTheme="minorHAnsi" w:hAnsiTheme="minorHAnsi" w:cstheme="majorBidi"/>
          <w:lang w:val="fr-CH"/>
        </w:rPr>
        <w:t>RRB</w:t>
      </w:r>
      <w:r>
        <w:rPr>
          <w:rFonts w:asciiTheme="minorHAnsi" w:hAnsiTheme="minorHAnsi" w:cstheme="majorBidi"/>
          <w:lang w:val="fr-CH"/>
        </w:rPr>
        <w:t xml:space="preserve"> et </w:t>
      </w:r>
      <w:r>
        <w:rPr>
          <w:color w:val="000000"/>
          <w:lang w:val="fr-CH"/>
        </w:rPr>
        <w:t>GTC</w:t>
      </w:r>
      <w:r w:rsidRPr="00F46577">
        <w:rPr>
          <w:color w:val="000000"/>
          <w:lang w:val="fr-CH"/>
        </w:rPr>
        <w:t>-FHR</w:t>
      </w:r>
      <w:r>
        <w:rPr>
          <w:color w:val="000000"/>
          <w:lang w:val="fr-CH"/>
        </w:rPr>
        <w:t xml:space="preserve"> par exemple</w:t>
      </w:r>
      <w:r w:rsidRPr="00F46577">
        <w:rPr>
          <w:color w:val="000000"/>
          <w:lang w:val="fr-CH"/>
        </w:rPr>
        <w:t>)</w:t>
      </w:r>
      <w:r>
        <w:rPr>
          <w:color w:val="000000"/>
          <w:lang w:val="fr-CH"/>
        </w:rPr>
        <w:t>, conformément à leurs mandats respectifs,</w:t>
      </w:r>
      <w:r w:rsidRPr="00B10783">
        <w:rPr>
          <w:color w:val="000000"/>
          <w:lang w:val="fr-CH"/>
        </w:rPr>
        <w:t xml:space="preserve"> </w:t>
      </w:r>
      <w:r w:rsidR="007243C9">
        <w:rPr>
          <w:color w:val="000000"/>
          <w:lang w:val="fr-CH"/>
        </w:rPr>
        <w:t>afin</w:t>
      </w:r>
      <w:r w:rsidRPr="00B10783">
        <w:rPr>
          <w:color w:val="000000"/>
          <w:lang w:val="fr-CH"/>
        </w:rPr>
        <w:t xml:space="preserve"> qu'une décision mûrement réfléchie </w:t>
      </w:r>
      <w:r>
        <w:rPr>
          <w:color w:val="000000"/>
          <w:lang w:val="fr-CH"/>
        </w:rPr>
        <w:t xml:space="preserve">soit </w:t>
      </w:r>
      <w:r w:rsidR="007243C9">
        <w:rPr>
          <w:color w:val="000000"/>
          <w:lang w:val="fr-CH"/>
        </w:rPr>
        <w:t xml:space="preserve">prise concernant </w:t>
      </w:r>
      <w:r>
        <w:rPr>
          <w:color w:val="000000"/>
          <w:lang w:val="fr-CH"/>
        </w:rPr>
        <w:t xml:space="preserve">le </w:t>
      </w:r>
      <w:r>
        <w:rPr>
          <w:rFonts w:asciiTheme="minorHAnsi" w:hAnsiTheme="minorHAnsi" w:cstheme="majorBidi"/>
          <w:lang w:val="fr-CH"/>
        </w:rPr>
        <w:t>recouvrement des coûts</w:t>
      </w:r>
      <w:r>
        <w:rPr>
          <w:color w:val="000000"/>
          <w:lang w:val="fr-CH"/>
        </w:rPr>
        <w:t xml:space="preserve"> </w:t>
      </w:r>
      <w:r>
        <w:rPr>
          <w:rFonts w:asciiTheme="minorHAnsi" w:hAnsiTheme="minorHAnsi" w:cstheme="majorBidi"/>
          <w:lang w:val="fr-CH"/>
        </w:rPr>
        <w:t xml:space="preserve">pour le traitement des fiches de notification </w:t>
      </w:r>
      <w:r w:rsidR="007243C9">
        <w:rPr>
          <w:rFonts w:asciiTheme="minorHAnsi" w:hAnsiTheme="minorHAnsi" w:cstheme="majorBidi"/>
          <w:lang w:val="fr-CH"/>
        </w:rPr>
        <w:t>de</w:t>
      </w:r>
      <w:r>
        <w:rPr>
          <w:rFonts w:asciiTheme="minorHAnsi" w:hAnsiTheme="minorHAnsi" w:cstheme="majorBidi"/>
          <w:lang w:val="fr-CH"/>
        </w:rPr>
        <w:t xml:space="preserve"> systèmes non OSG complexes</w:t>
      </w:r>
      <w:r w:rsidR="007243C9">
        <w:rPr>
          <w:rFonts w:asciiTheme="minorHAnsi" w:hAnsiTheme="minorHAnsi" w:cstheme="majorBidi"/>
          <w:lang w:val="fr-CH"/>
        </w:rPr>
        <w:t>.</w:t>
      </w:r>
    </w:p>
    <w:p w:rsidR="007243C9" w:rsidRDefault="007243C9" w:rsidP="0032202E">
      <w:pPr>
        <w:pStyle w:val="Reasons"/>
      </w:pPr>
    </w:p>
    <w:p w:rsidR="007243C9" w:rsidRDefault="007243C9">
      <w:pPr>
        <w:jc w:val="center"/>
      </w:pPr>
      <w:r>
        <w:t>______________</w:t>
      </w:r>
    </w:p>
    <w:p w:rsidR="007243C9" w:rsidRPr="007243C9" w:rsidRDefault="007243C9" w:rsidP="007243C9">
      <w:pPr>
        <w:rPr>
          <w:color w:val="000000"/>
          <w:lang w:val="fr-CH"/>
        </w:rPr>
      </w:pPr>
    </w:p>
    <w:sectPr w:rsidR="007243C9" w:rsidRPr="007243C9" w:rsidSect="005C389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3C" w:rsidRDefault="00240D3C">
      <w:r>
        <w:separator/>
      </w:r>
    </w:p>
  </w:endnote>
  <w:endnote w:type="continuationSeparator" w:id="0">
    <w:p w:rsidR="00240D3C" w:rsidRDefault="0024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001825">
    <w:pPr>
      <w:pStyle w:val="Footer"/>
    </w:pPr>
    <w:fldSimple w:instr=" FILENAME \p \* MERGEFORMAT ">
      <w:r>
        <w:t>P:\FRA\SG\CONSEIL\C18\000\083F.docx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725F78">
      <w:t>09.04.18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09.04.18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001825" w:rsidP="00E404C9">
    <w:pPr>
      <w:pStyle w:val="Footer"/>
    </w:pPr>
    <w:fldSimple w:instr=" FILENAME \p \* MERGEFORMAT ">
      <w:r>
        <w:t>P:\FRA\SG\CONSEIL\C18\000\083F.docx</w:t>
      </w:r>
    </w:fldSimple>
    <w:r w:rsidR="00E404C9">
      <w:t xml:space="preserve"> (434480)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 w:rsidP="00240D3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3C" w:rsidRDefault="00240D3C">
      <w:r>
        <w:t>____________________</w:t>
      </w:r>
    </w:p>
  </w:footnote>
  <w:footnote w:type="continuationSeparator" w:id="0">
    <w:p w:rsidR="00240D3C" w:rsidRDefault="00240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7E5892">
      <w:rPr>
        <w:noProof/>
      </w:rPr>
      <w:t>4</w:t>
    </w:r>
    <w:r>
      <w:rPr>
        <w:noProof/>
      </w:rPr>
      <w:fldChar w:fldCharType="end"/>
    </w:r>
  </w:p>
  <w:p w:rsidR="00732045" w:rsidRDefault="00732045" w:rsidP="003C3FAE">
    <w:pPr>
      <w:pStyle w:val="Header"/>
    </w:pPr>
    <w:r>
      <w:t>C1</w:t>
    </w:r>
    <w:r w:rsidR="003C3FAE">
      <w:t>8</w:t>
    </w:r>
    <w:r w:rsidR="00240D3C">
      <w:t>/83</w:t>
    </w:r>
    <w:r>
      <w:t>-F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427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04C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06A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6D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5665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EC4D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9CF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6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44A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326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584A12"/>
    <w:multiLevelType w:val="hybridMultilevel"/>
    <w:tmpl w:val="F07C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C"/>
    <w:rsid w:val="00001825"/>
    <w:rsid w:val="000D0D0A"/>
    <w:rsid w:val="000F0E78"/>
    <w:rsid w:val="00103163"/>
    <w:rsid w:val="00115D93"/>
    <w:rsid w:val="001247A8"/>
    <w:rsid w:val="001378C0"/>
    <w:rsid w:val="0018694A"/>
    <w:rsid w:val="001A3287"/>
    <w:rsid w:val="001A6508"/>
    <w:rsid w:val="001D4C31"/>
    <w:rsid w:val="001E4D21"/>
    <w:rsid w:val="00207CD1"/>
    <w:rsid w:val="00240D3C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C3FAE"/>
    <w:rsid w:val="004038CB"/>
    <w:rsid w:val="0040546F"/>
    <w:rsid w:val="0042404A"/>
    <w:rsid w:val="0044618F"/>
    <w:rsid w:val="0046769A"/>
    <w:rsid w:val="00475FB3"/>
    <w:rsid w:val="004C37A9"/>
    <w:rsid w:val="004F259E"/>
    <w:rsid w:val="00511F1D"/>
    <w:rsid w:val="00520F36"/>
    <w:rsid w:val="00540615"/>
    <w:rsid w:val="00540A6D"/>
    <w:rsid w:val="00571EEA"/>
    <w:rsid w:val="00575417"/>
    <w:rsid w:val="005768E1"/>
    <w:rsid w:val="005B1938"/>
    <w:rsid w:val="005C3890"/>
    <w:rsid w:val="005F7BFE"/>
    <w:rsid w:val="00600017"/>
    <w:rsid w:val="006235CA"/>
    <w:rsid w:val="006643AB"/>
    <w:rsid w:val="006A6835"/>
    <w:rsid w:val="007210CD"/>
    <w:rsid w:val="007243C9"/>
    <w:rsid w:val="00725F78"/>
    <w:rsid w:val="00732045"/>
    <w:rsid w:val="007369DB"/>
    <w:rsid w:val="007956C2"/>
    <w:rsid w:val="007A187E"/>
    <w:rsid w:val="007C72C2"/>
    <w:rsid w:val="007D4436"/>
    <w:rsid w:val="007E5892"/>
    <w:rsid w:val="007F257A"/>
    <w:rsid w:val="007F3665"/>
    <w:rsid w:val="00800037"/>
    <w:rsid w:val="00861D73"/>
    <w:rsid w:val="008A4E87"/>
    <w:rsid w:val="008D76E6"/>
    <w:rsid w:val="00903FED"/>
    <w:rsid w:val="0092392D"/>
    <w:rsid w:val="0093234A"/>
    <w:rsid w:val="009C307F"/>
    <w:rsid w:val="00A2113E"/>
    <w:rsid w:val="00A23A51"/>
    <w:rsid w:val="00A24607"/>
    <w:rsid w:val="00A25CD3"/>
    <w:rsid w:val="00A82767"/>
    <w:rsid w:val="00AA332F"/>
    <w:rsid w:val="00AA7BBB"/>
    <w:rsid w:val="00AB64A8"/>
    <w:rsid w:val="00AC0266"/>
    <w:rsid w:val="00AD24EC"/>
    <w:rsid w:val="00B309F9"/>
    <w:rsid w:val="00B32B60"/>
    <w:rsid w:val="00B61619"/>
    <w:rsid w:val="00B877BD"/>
    <w:rsid w:val="00BB4545"/>
    <w:rsid w:val="00BD5873"/>
    <w:rsid w:val="00C04BE3"/>
    <w:rsid w:val="00C25D29"/>
    <w:rsid w:val="00C27A7C"/>
    <w:rsid w:val="00CA08ED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404C9"/>
    <w:rsid w:val="00EB6350"/>
    <w:rsid w:val="00F15B57"/>
    <w:rsid w:val="00F427DB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FF893BF-DAC8-452C-B616-04300490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styleId="ListParagraph">
    <w:name w:val="List Paragraph"/>
    <w:basedOn w:val="Normal"/>
    <w:uiPriority w:val="34"/>
    <w:qFormat/>
    <w:rsid w:val="00240D3C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m\AppData\Roaming\Microsoft\Templates\POOL%20F%20-%20ITU\PF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PF_C18.dotx</Template>
  <TotalTime>47</TotalTime>
  <Pages>4</Pages>
  <Words>1177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7657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Da Silva, Margaux</dc:creator>
  <cp:keywords>C2018, C18</cp:keywords>
  <dc:description/>
  <cp:lastModifiedBy>Geneux</cp:lastModifiedBy>
  <cp:revision>7</cp:revision>
  <cp:lastPrinted>2018-04-09T09:25:00Z</cp:lastPrinted>
  <dcterms:created xsi:type="dcterms:W3CDTF">2018-04-05T13:51:00Z</dcterms:created>
  <dcterms:modified xsi:type="dcterms:W3CDTF">2018-04-09T10:03:00Z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